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18571">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123BB7C8">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工程</w:t>
      </w:r>
      <w:r>
        <w:rPr>
          <w:rFonts w:hint="eastAsia" w:cs="宋体"/>
          <w:b/>
          <w:bCs/>
          <w:color w:val="auto"/>
          <w:sz w:val="52"/>
          <w:szCs w:val="52"/>
          <w:highlight w:val="none"/>
        </w:rPr>
        <w:t>类</w:t>
      </w:r>
      <w:r>
        <w:rPr>
          <w:rFonts w:hint="eastAsia" w:cs="宋体"/>
          <w:b/>
          <w:bCs/>
          <w:color w:val="auto"/>
          <w:sz w:val="52"/>
          <w:szCs w:val="52"/>
          <w:highlight w:val="none"/>
          <w:lang w:eastAsia="zh-CN"/>
        </w:rPr>
        <w:t>磋商</w:t>
      </w:r>
      <w:r>
        <w:rPr>
          <w:rFonts w:hint="eastAsia" w:cs="宋体"/>
          <w:b/>
          <w:bCs/>
          <w:color w:val="auto"/>
          <w:sz w:val="52"/>
          <w:szCs w:val="52"/>
          <w:highlight w:val="none"/>
        </w:rPr>
        <w:t>文件</w:t>
      </w:r>
    </w:p>
    <w:p w14:paraId="47A485B3">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0926113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3AAE9665">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45339ED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7F24A58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5F053A2">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3810CFB">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BAE76">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4BB6A">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49ED99A">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6C39E738">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22680584">
      <w:pPr>
        <w:tabs>
          <w:tab w:val="left" w:pos="2410"/>
        </w:tabs>
        <w:autoSpaceDE w:val="0"/>
        <w:autoSpaceDN w:val="0"/>
        <w:adjustRightInd w:val="0"/>
        <w:snapToGrid w:val="0"/>
        <w:spacing w:line="360" w:lineRule="auto"/>
        <w:ind w:left="1806" w:hanging="1806" w:hangingChars="500"/>
        <w:rPr>
          <w:rFonts w:hint="eastAsia" w:cs="宋体"/>
          <w:b/>
          <w:color w:val="auto"/>
          <w:spacing w:val="0"/>
          <w:sz w:val="32"/>
          <w:szCs w:val="32"/>
          <w:highlight w:val="none"/>
          <w:u w:val="single"/>
          <w:lang w:eastAsia="zh-CN"/>
        </w:rPr>
      </w:pPr>
      <w:r>
        <w:rPr>
          <w:rFonts w:hint="eastAsia" w:cs="宋体"/>
          <w:b/>
          <w:color w:val="auto"/>
          <w:spacing w:val="20"/>
          <w:sz w:val="32"/>
          <w:szCs w:val="32"/>
          <w:highlight w:val="none"/>
        </w:rPr>
        <w:t>项目名称：</w:t>
      </w:r>
      <w:r>
        <w:rPr>
          <w:rFonts w:hint="eastAsia" w:cs="宋体"/>
          <w:b/>
          <w:color w:val="auto"/>
          <w:spacing w:val="23"/>
          <w:w w:val="100"/>
          <w:sz w:val="32"/>
          <w:szCs w:val="32"/>
          <w:highlight w:val="none"/>
          <w:u w:val="single"/>
          <w:lang w:eastAsia="zh-CN"/>
        </w:rPr>
        <w:t>上派中学、肥西三中手球及排球考试场地新建项目</w:t>
      </w:r>
    </w:p>
    <w:p w14:paraId="2C57E504">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eastAsia="zh-CN"/>
        </w:rPr>
        <w:t>2026PHGN115</w:t>
      </w:r>
    </w:p>
    <w:p w14:paraId="12C7977A">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val="en-US" w:eastAsia="zh-CN"/>
        </w:rPr>
        <w:t>肥西县教育体育局</w:t>
      </w:r>
    </w:p>
    <w:p w14:paraId="3D0D5A13">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4A8F50B7">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3B1A2282">
      <w:pPr>
        <w:tabs>
          <w:tab w:val="left" w:pos="2410"/>
        </w:tabs>
        <w:autoSpaceDE w:val="0"/>
        <w:autoSpaceDN w:val="0"/>
        <w:adjustRightInd w:val="0"/>
        <w:snapToGrid w:val="0"/>
        <w:spacing w:line="360" w:lineRule="auto"/>
        <w:jc w:val="center"/>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3</w:t>
      </w:r>
      <w:r>
        <w:rPr>
          <w:rFonts w:hint="eastAsia" w:cs="宋体"/>
          <w:b/>
          <w:color w:val="auto"/>
          <w:sz w:val="36"/>
          <w:highlight w:val="none"/>
        </w:rPr>
        <w:t>月</w:t>
      </w:r>
    </w:p>
    <w:p w14:paraId="020A7B2B">
      <w:pPr>
        <w:jc w:val="center"/>
        <w:rPr>
          <w:rFonts w:cs="宋体"/>
          <w:b/>
          <w:color w:val="auto"/>
          <w:sz w:val="24"/>
          <w:szCs w:val="24"/>
          <w:highlight w:val="none"/>
        </w:rPr>
      </w:pPr>
      <w:r>
        <w:rPr>
          <w:rFonts w:hint="eastAsia" w:cs="宋体"/>
          <w:b/>
          <w:color w:val="auto"/>
          <w:sz w:val="24"/>
          <w:szCs w:val="24"/>
          <w:highlight w:val="none"/>
        </w:rPr>
        <w:t>目  录</w:t>
      </w:r>
    </w:p>
    <w:p w14:paraId="16B09014">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_Toc6573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第一章  </w:t>
      </w:r>
      <w:r>
        <w:rPr>
          <w:rFonts w:hint="eastAsia" w:cs="宋体"/>
          <w:b/>
          <w:bCs/>
          <w:sz w:val="24"/>
          <w:szCs w:val="24"/>
          <w:highlight w:val="none"/>
          <w:lang w:eastAsia="zh-CN"/>
        </w:rPr>
        <w:t>磋商</w:t>
      </w:r>
      <w:r>
        <w:rPr>
          <w:rFonts w:hint="eastAsia" w:ascii="宋体" w:hAnsi="宋体" w:eastAsia="宋体" w:cs="宋体"/>
          <w:b/>
          <w:bCs/>
          <w:sz w:val="24"/>
          <w:szCs w:val="24"/>
          <w:highlight w:val="none"/>
        </w:rPr>
        <w:t>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_Toc6573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6AAC775">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_Toc29250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5F5C9FD4">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_Toc14519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项目需求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3067ED6">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_Toc19404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  评审方法和标准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_Toc19404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0BC3F680">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_Toc14989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  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_Toc14989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85C8A2B">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_Toc30959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_Toc30959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E23A98C">
      <w:pPr>
        <w:pStyle w:val="16"/>
        <w:keepNext w:val="0"/>
        <w:keepLines w:val="0"/>
        <w:pageBreakBefore w:val="0"/>
        <w:tabs>
          <w:tab w:val="right" w:leader="dot" w:pos="8296"/>
        </w:tabs>
        <w:kinsoku/>
        <w:wordWrap/>
        <w:overflowPunct/>
        <w:topLinePunct w:val="0"/>
        <w:autoSpaceDE/>
        <w:autoSpaceDN/>
        <w:bidi w:val="0"/>
        <w:adjustRightInd/>
        <w:snapToGrid/>
        <w:spacing w:before="233" w:beforeLines="50" w:after="233" w:afterLines="50" w:line="360" w:lineRule="auto"/>
        <w:ind w:left="0"/>
        <w:textAlignment w:val="auto"/>
        <w:rPr>
          <w:rFonts w:ascii="宋体" w:hAnsi="宋体"/>
          <w:b/>
          <w:color w:val="auto"/>
          <w:sz w:val="32"/>
          <w:highlight w:val="none"/>
        </w:rPr>
      </w:pPr>
      <w:r>
        <w:rPr>
          <w:rFonts w:hint="eastAsia" w:ascii="宋体" w:hAnsi="宋体" w:eastAsia="宋体" w:cs="宋体"/>
          <w:b/>
          <w:bCs/>
          <w:color w:val="auto"/>
          <w:sz w:val="24"/>
          <w:szCs w:val="24"/>
          <w:highlight w:val="none"/>
        </w:rPr>
        <w:fldChar w:fldCharType="end"/>
      </w:r>
    </w:p>
    <w:p w14:paraId="7D33E875">
      <w:pPr>
        <w:spacing w:line="360" w:lineRule="auto"/>
        <w:jc w:val="center"/>
        <w:outlineLvl w:val="1"/>
        <w:rPr>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6D6CFFB5">
      <w:pPr>
        <w:spacing w:line="360" w:lineRule="auto"/>
        <w:jc w:val="center"/>
        <w:outlineLvl w:val="0"/>
        <w:rPr>
          <w:b/>
          <w:color w:val="auto"/>
          <w:sz w:val="28"/>
          <w:highlight w:val="none"/>
        </w:rPr>
      </w:pPr>
      <w:bookmarkStart w:id="1" w:name="_Toc6573"/>
      <w:r>
        <w:rPr>
          <w:rFonts w:hint="eastAsia"/>
          <w:b/>
          <w:color w:val="auto"/>
          <w:sz w:val="28"/>
          <w:highlight w:val="none"/>
        </w:rPr>
        <w:t xml:space="preserve">第一章 </w:t>
      </w:r>
      <w:r>
        <w:rPr>
          <w:b/>
          <w:color w:val="auto"/>
          <w:sz w:val="28"/>
          <w:highlight w:val="none"/>
        </w:rPr>
        <w:t xml:space="preserve"> </w:t>
      </w:r>
      <w:r>
        <w:rPr>
          <w:rFonts w:hint="eastAsia"/>
          <w:b/>
          <w:color w:val="auto"/>
          <w:sz w:val="28"/>
          <w:highlight w:val="none"/>
          <w:lang w:eastAsia="zh-CN"/>
        </w:rPr>
        <w:t>磋商</w:t>
      </w:r>
      <w:r>
        <w:rPr>
          <w:rFonts w:hint="eastAsia"/>
          <w:b/>
          <w:color w:val="auto"/>
          <w:sz w:val="28"/>
          <w:highlight w:val="none"/>
        </w:rPr>
        <w:t>邀请</w:t>
      </w:r>
      <w:bookmarkEnd w:id="1"/>
    </w:p>
    <w:p w14:paraId="121224C2">
      <w:pPr>
        <w:spacing w:line="360" w:lineRule="auto"/>
        <w:ind w:firstLine="435"/>
        <w:outlineLvl w:val="1"/>
        <w:rPr>
          <w:b/>
          <w:bCs/>
          <w:color w:val="auto"/>
          <w:sz w:val="24"/>
          <w:szCs w:val="18"/>
          <w:highlight w:val="none"/>
        </w:rPr>
      </w:pPr>
      <w:bookmarkStart w:id="2" w:name="_Toc11391"/>
      <w:bookmarkStart w:id="3" w:name="_Toc19937"/>
      <w:r>
        <w:rPr>
          <w:rFonts w:hint="eastAsia"/>
          <w:b/>
          <w:bCs/>
          <w:color w:val="auto"/>
          <w:sz w:val="24"/>
          <w:szCs w:val="18"/>
          <w:highlight w:val="none"/>
        </w:rPr>
        <w:t>一、项目名称及内容</w:t>
      </w:r>
      <w:bookmarkEnd w:id="2"/>
      <w:bookmarkEnd w:id="3"/>
    </w:p>
    <w:p w14:paraId="3FB8718F">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2026PHGN115</w:t>
      </w:r>
    </w:p>
    <w:p w14:paraId="3693A34D">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上派中学、肥西三中手球及排球考试场地新建项目</w:t>
      </w:r>
    </w:p>
    <w:p w14:paraId="74EEF151">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12402219">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r>
        <w:rPr>
          <w:rFonts w:hint="eastAsia"/>
          <w:color w:val="auto"/>
          <w:sz w:val="24"/>
          <w:szCs w:val="18"/>
          <w:highlight w:val="none"/>
          <w:u w:val="none"/>
          <w:lang w:eastAsia="zh-CN"/>
        </w:rPr>
        <w:t>肥西县教育体育局</w:t>
      </w:r>
    </w:p>
    <w:p w14:paraId="552E8F79">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w:t>
      </w:r>
      <w:r>
        <w:rPr>
          <w:rFonts w:hint="eastAsia"/>
          <w:color w:val="auto"/>
          <w:sz w:val="24"/>
          <w:szCs w:val="18"/>
          <w:highlight w:val="none"/>
          <w:u w:val="none"/>
          <w:lang w:val="en-US" w:eastAsia="zh-CN"/>
        </w:rPr>
        <w:t>本项目为上派中学、肥西三中手球及排球考试场地建设等内容，具体以招标清单和图纸为准</w:t>
      </w:r>
    </w:p>
    <w:p w14:paraId="1EAA1C55">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auto"/>
          <w:sz w:val="24"/>
          <w:szCs w:val="18"/>
          <w:highlight w:val="none"/>
          <w:u w:val="none"/>
          <w:lang w:val="en-US" w:eastAsia="zh-CN"/>
        </w:rPr>
        <w:t>财政投资</w:t>
      </w:r>
    </w:p>
    <w:p w14:paraId="31BA496D">
      <w:pPr>
        <w:autoSpaceDE w:val="0"/>
        <w:autoSpaceDN w:val="0"/>
        <w:adjustRightInd w:val="0"/>
        <w:spacing w:line="360" w:lineRule="auto"/>
        <w:ind w:firstLine="436" w:firstLineChars="182"/>
        <w:jc w:val="left"/>
        <w:rPr>
          <w:rFonts w:hint="default"/>
          <w:color w:val="auto"/>
          <w:sz w:val="24"/>
          <w:szCs w:val="18"/>
          <w:highlight w:val="none"/>
          <w:u w:val="none"/>
          <w:lang w:val="en-US"/>
        </w:rPr>
      </w:pPr>
      <w:r>
        <w:rPr>
          <w:rFonts w:hint="eastAsia"/>
          <w:color w:val="auto"/>
          <w:sz w:val="24"/>
          <w:szCs w:val="18"/>
          <w:highlight w:val="none"/>
          <w:u w:val="none"/>
        </w:rPr>
        <w:t>7.项目预算：</w:t>
      </w:r>
      <w:r>
        <w:rPr>
          <w:rFonts w:hint="eastAsia"/>
          <w:color w:val="auto"/>
          <w:sz w:val="24"/>
          <w:szCs w:val="18"/>
          <w:highlight w:val="none"/>
          <w:u w:val="none"/>
          <w:lang w:val="en-US" w:eastAsia="zh-CN"/>
        </w:rPr>
        <w:t>87075.85元</w:t>
      </w:r>
    </w:p>
    <w:p w14:paraId="093E1939">
      <w:pPr>
        <w:autoSpaceDE w:val="0"/>
        <w:autoSpaceDN w:val="0"/>
        <w:adjustRightInd w:val="0"/>
        <w:spacing w:line="360" w:lineRule="auto"/>
        <w:ind w:firstLine="436" w:firstLineChars="182"/>
        <w:jc w:val="left"/>
        <w:rPr>
          <w:rFonts w:hint="eastAsia"/>
          <w:color w:val="auto"/>
          <w:sz w:val="24"/>
          <w:szCs w:val="18"/>
          <w:highlight w:val="none"/>
          <w:u w:val="none"/>
        </w:rPr>
      </w:pPr>
      <w:r>
        <w:rPr>
          <w:rFonts w:hint="eastAsia"/>
          <w:color w:val="auto"/>
          <w:sz w:val="24"/>
          <w:szCs w:val="18"/>
          <w:highlight w:val="none"/>
          <w:u w:val="none"/>
        </w:rPr>
        <w:t>8.项目类别：工程施工</w:t>
      </w:r>
    </w:p>
    <w:p w14:paraId="415DC75B">
      <w:pPr>
        <w:spacing w:line="360" w:lineRule="auto"/>
        <w:ind w:firstLine="435"/>
        <w:outlineLvl w:val="1"/>
        <w:rPr>
          <w:b/>
          <w:bCs/>
          <w:color w:val="auto"/>
          <w:sz w:val="24"/>
          <w:szCs w:val="18"/>
          <w:highlight w:val="none"/>
        </w:rPr>
      </w:pPr>
      <w:bookmarkStart w:id="4" w:name="_Toc9804"/>
      <w:bookmarkStart w:id="5" w:name="_Toc2076"/>
      <w:r>
        <w:rPr>
          <w:rFonts w:hint="eastAsia"/>
          <w:b/>
          <w:bCs/>
          <w:color w:val="auto"/>
          <w:sz w:val="24"/>
          <w:szCs w:val="18"/>
          <w:highlight w:val="none"/>
        </w:rPr>
        <w:t>二</w:t>
      </w:r>
      <w:r>
        <w:rPr>
          <w:rFonts w:hint="eastAsia"/>
          <w:b/>
          <w:color w:val="auto"/>
          <w:sz w:val="24"/>
          <w:highlight w:val="none"/>
        </w:rPr>
        <w:t>、</w:t>
      </w:r>
      <w:r>
        <w:rPr>
          <w:rFonts w:hint="eastAsia"/>
          <w:b/>
          <w:bCs/>
          <w:color w:val="auto"/>
          <w:sz w:val="24"/>
          <w:szCs w:val="18"/>
          <w:highlight w:val="none"/>
          <w:lang w:eastAsia="zh-CN"/>
        </w:rPr>
        <w:t>供应商</w:t>
      </w:r>
      <w:r>
        <w:rPr>
          <w:rFonts w:hint="eastAsia"/>
          <w:b/>
          <w:bCs/>
          <w:color w:val="auto"/>
          <w:sz w:val="24"/>
          <w:szCs w:val="18"/>
          <w:highlight w:val="none"/>
        </w:rPr>
        <w:t>资格</w:t>
      </w:r>
      <w:bookmarkEnd w:id="4"/>
      <w:bookmarkEnd w:id="5"/>
    </w:p>
    <w:p w14:paraId="1D5574C3">
      <w:pPr>
        <w:spacing w:line="360" w:lineRule="auto"/>
        <w:ind w:firstLine="435"/>
        <w:rPr>
          <w:rFonts w:hint="eastAsia" w:eastAsia="宋体"/>
          <w:color w:val="auto"/>
          <w:sz w:val="24"/>
          <w:szCs w:val="18"/>
          <w:highlight w:val="none"/>
          <w:lang w:eastAsia="zh-CN"/>
        </w:rPr>
      </w:pPr>
      <w:bookmarkStart w:id="6" w:name="OLE_LINK3"/>
      <w:r>
        <w:rPr>
          <w:rFonts w:hint="eastAsia"/>
          <w:color w:val="auto"/>
          <w:sz w:val="24"/>
          <w:szCs w:val="18"/>
          <w:highlight w:val="none"/>
        </w:rPr>
        <w:t>1.</w:t>
      </w:r>
      <w:r>
        <w:rPr>
          <w:rFonts w:hint="eastAsia"/>
          <w:color w:val="auto"/>
          <w:sz w:val="24"/>
          <w:szCs w:val="18"/>
          <w:highlight w:val="none"/>
          <w:lang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5F5B7137">
      <w:pPr>
        <w:spacing w:line="360" w:lineRule="auto"/>
        <w:ind w:firstLine="435"/>
        <w:rPr>
          <w:rFonts w:hint="eastAsia"/>
          <w:color w:val="auto"/>
          <w:sz w:val="24"/>
          <w:szCs w:val="18"/>
          <w:highlight w:val="none"/>
          <w:lang w:eastAsia="zh-CN"/>
        </w:rPr>
      </w:pPr>
      <w:r>
        <w:rPr>
          <w:rFonts w:hint="eastAsia"/>
          <w:color w:val="auto"/>
          <w:sz w:val="24"/>
          <w:szCs w:val="18"/>
          <w:highlight w:val="none"/>
        </w:rPr>
        <w:t>2.</w:t>
      </w:r>
      <w:r>
        <w:rPr>
          <w:rFonts w:hint="eastAsia"/>
          <w:color w:val="auto"/>
          <w:sz w:val="24"/>
          <w:szCs w:val="18"/>
          <w:highlight w:val="none"/>
          <w:lang w:eastAsia="zh-CN"/>
        </w:rPr>
        <w:t>供应商</w:t>
      </w:r>
      <w:r>
        <w:rPr>
          <w:rFonts w:hint="eastAsia"/>
          <w:color w:val="auto"/>
          <w:sz w:val="24"/>
          <w:szCs w:val="18"/>
          <w:highlight w:val="none"/>
        </w:rPr>
        <w:t>资质：</w:t>
      </w:r>
      <w:r>
        <w:rPr>
          <w:rFonts w:hint="eastAsia"/>
          <w:color w:val="auto"/>
          <w:sz w:val="24"/>
          <w:szCs w:val="18"/>
          <w:highlight w:val="none"/>
          <w:lang w:eastAsia="zh-CN"/>
        </w:rPr>
        <w:t>具备有效的</w:t>
      </w:r>
      <w:r>
        <w:rPr>
          <w:rFonts w:hint="eastAsia"/>
          <w:color w:val="auto"/>
          <w:sz w:val="24"/>
          <w:szCs w:val="18"/>
          <w:highlight w:val="none"/>
          <w:lang w:val="en-US" w:eastAsia="zh-CN"/>
        </w:rPr>
        <w:t>建筑工程施工总承包叁</w:t>
      </w:r>
      <w:r>
        <w:rPr>
          <w:rFonts w:hint="eastAsia"/>
          <w:color w:val="auto"/>
          <w:sz w:val="24"/>
          <w:szCs w:val="18"/>
          <w:highlight w:val="none"/>
          <w:lang w:eastAsia="zh-CN"/>
        </w:rPr>
        <w:t>级及以上</w:t>
      </w:r>
      <w:r>
        <w:rPr>
          <w:rFonts w:hint="eastAsia"/>
          <w:color w:val="auto"/>
          <w:sz w:val="24"/>
          <w:szCs w:val="18"/>
          <w:highlight w:val="none"/>
          <w:lang w:val="en-US" w:eastAsia="zh-CN"/>
        </w:rPr>
        <w:t>资质</w:t>
      </w:r>
      <w:r>
        <w:rPr>
          <w:rFonts w:hint="eastAsia"/>
          <w:color w:val="auto"/>
          <w:sz w:val="24"/>
          <w:szCs w:val="18"/>
          <w:highlight w:val="none"/>
        </w:rPr>
        <w:t>，具备有效的安全生产许可证</w:t>
      </w:r>
      <w:r>
        <w:rPr>
          <w:rFonts w:hint="eastAsia"/>
          <w:color w:val="auto"/>
          <w:sz w:val="24"/>
          <w:szCs w:val="18"/>
          <w:highlight w:val="none"/>
          <w:lang w:eastAsia="zh-CN"/>
        </w:rPr>
        <w:t>。</w:t>
      </w:r>
    </w:p>
    <w:p w14:paraId="1D833A94">
      <w:pPr>
        <w:spacing w:line="360" w:lineRule="auto"/>
        <w:ind w:firstLine="435"/>
        <w:rPr>
          <w:rFonts w:hint="default"/>
          <w:color w:val="auto"/>
          <w:sz w:val="24"/>
          <w:szCs w:val="18"/>
          <w:highlight w:val="none"/>
          <w:lang w:val="en-US" w:eastAsia="zh-CN"/>
        </w:rPr>
      </w:pPr>
      <w:r>
        <w:rPr>
          <w:rFonts w:hint="eastAsia"/>
          <w:color w:val="auto"/>
          <w:sz w:val="24"/>
          <w:szCs w:val="18"/>
          <w:highlight w:val="none"/>
          <w:lang w:val="en-US" w:eastAsia="zh-CN"/>
        </w:rPr>
        <w:t>3.供应商业绩：无。</w:t>
      </w:r>
    </w:p>
    <w:p w14:paraId="7B14E1F3">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4</w:t>
      </w:r>
      <w:r>
        <w:rPr>
          <w:rFonts w:hint="eastAsia"/>
          <w:color w:val="auto"/>
          <w:sz w:val="24"/>
          <w:szCs w:val="18"/>
          <w:highlight w:val="none"/>
        </w:rPr>
        <w:t>.项目经理：具有</w:t>
      </w:r>
      <w:r>
        <w:rPr>
          <w:rFonts w:hint="eastAsia"/>
          <w:color w:val="auto"/>
          <w:sz w:val="24"/>
          <w:szCs w:val="18"/>
          <w:highlight w:val="none"/>
          <w:lang w:val="en-US" w:eastAsia="zh-CN"/>
        </w:rPr>
        <w:t>建筑工程专业二级及以上注册建造师证书，具备住房和</w:t>
      </w:r>
      <w:r>
        <w:rPr>
          <w:rFonts w:hint="eastAsia" w:cs="宋体"/>
          <w:b w:val="0"/>
          <w:bCs w:val="0"/>
          <w:color w:val="auto"/>
          <w:sz w:val="24"/>
          <w:szCs w:val="24"/>
          <w:highlight w:val="none"/>
          <w:lang w:val="en-US" w:eastAsia="zh-CN"/>
        </w:rPr>
        <w:t>城乡建设主管部门颁发的安全生产考核合格证书（B证），且目前未在其他项目上任职或虽在其他项目上任职但本项目成交后能够从该项目撤离。</w:t>
      </w:r>
    </w:p>
    <w:p w14:paraId="3750FECD">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5</w:t>
      </w:r>
      <w:r>
        <w:rPr>
          <w:rFonts w:hint="eastAsia"/>
          <w:color w:val="auto"/>
          <w:sz w:val="24"/>
          <w:szCs w:val="18"/>
          <w:highlight w:val="none"/>
        </w:rPr>
        <w:t>.本项目不接受联合体</w:t>
      </w:r>
      <w:r>
        <w:rPr>
          <w:rFonts w:hint="eastAsia"/>
          <w:color w:val="auto"/>
          <w:sz w:val="24"/>
          <w:szCs w:val="18"/>
          <w:highlight w:val="none"/>
          <w:lang w:eastAsia="zh-CN"/>
        </w:rPr>
        <w:t>磋商。</w:t>
      </w:r>
    </w:p>
    <w:bookmarkEnd w:id="6"/>
    <w:p w14:paraId="3E14E17A">
      <w:pPr>
        <w:spacing w:line="360" w:lineRule="auto"/>
        <w:ind w:firstLine="435"/>
        <w:outlineLvl w:val="1"/>
        <w:rPr>
          <w:b/>
          <w:bCs/>
          <w:color w:val="auto"/>
          <w:sz w:val="24"/>
          <w:szCs w:val="18"/>
          <w:highlight w:val="none"/>
        </w:rPr>
      </w:pPr>
      <w:bookmarkStart w:id="7" w:name="_Toc5738"/>
      <w:bookmarkStart w:id="8" w:name="_Toc8618"/>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磋商</w:t>
      </w:r>
      <w:r>
        <w:rPr>
          <w:rFonts w:hint="eastAsia"/>
          <w:b/>
          <w:bCs/>
          <w:color w:val="auto"/>
          <w:sz w:val="24"/>
          <w:szCs w:val="18"/>
          <w:highlight w:val="none"/>
        </w:rPr>
        <w:t>文件的获取</w:t>
      </w:r>
      <w:bookmarkEnd w:id="7"/>
      <w:bookmarkEnd w:id="8"/>
    </w:p>
    <w:p w14:paraId="3C6A15AD">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w:t>
      </w:r>
      <w:r>
        <w:rPr>
          <w:rFonts w:hint="eastAsia" w:cs="宋体"/>
          <w:color w:val="auto"/>
          <w:sz w:val="24"/>
          <w:szCs w:val="18"/>
          <w:highlight w:val="none"/>
          <w:lang w:eastAsia="zh-CN"/>
        </w:rPr>
        <w:t>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03</w:t>
      </w:r>
      <w:r>
        <w:rPr>
          <w:rFonts w:hint="eastAsia" w:cs="宋体"/>
          <w:color w:val="auto"/>
          <w:sz w:val="24"/>
          <w:szCs w:val="18"/>
          <w:highlight w:val="none"/>
        </w:rPr>
        <w:t>月</w:t>
      </w:r>
      <w:r>
        <w:rPr>
          <w:rFonts w:hint="eastAsia" w:cs="宋体"/>
          <w:color w:val="auto"/>
          <w:sz w:val="24"/>
          <w:szCs w:val="18"/>
          <w:highlight w:val="none"/>
          <w:lang w:val="en-US" w:eastAsia="zh-CN"/>
        </w:rPr>
        <w:t>17</w:t>
      </w:r>
      <w:r>
        <w:rPr>
          <w:rFonts w:hint="eastAsia" w:cs="宋体"/>
          <w:color w:val="auto"/>
          <w:sz w:val="24"/>
          <w:szCs w:val="18"/>
          <w:highlight w:val="none"/>
        </w:rPr>
        <w:t>日至</w:t>
      </w:r>
      <w:r>
        <w:rPr>
          <w:rFonts w:hint="eastAsia" w:cs="宋体"/>
          <w:color w:val="auto"/>
          <w:sz w:val="24"/>
          <w:szCs w:val="18"/>
          <w:highlight w:val="none"/>
          <w:lang w:val="en-US" w:eastAsia="zh-CN"/>
        </w:rPr>
        <w:t>磋商时间</w:t>
      </w:r>
    </w:p>
    <w:p w14:paraId="0C2A6A71">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18E74A36">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486D3A5F">
      <w:pPr>
        <w:spacing w:line="360" w:lineRule="auto"/>
        <w:ind w:firstLine="435"/>
        <w:outlineLvl w:val="1"/>
        <w:rPr>
          <w:b/>
          <w:bCs/>
          <w:color w:val="auto"/>
          <w:sz w:val="24"/>
          <w:szCs w:val="18"/>
          <w:highlight w:val="none"/>
        </w:rPr>
      </w:pPr>
      <w:bookmarkStart w:id="9" w:name="_Toc13982"/>
      <w:bookmarkStart w:id="10"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磋商</w:t>
      </w:r>
      <w:r>
        <w:rPr>
          <w:rFonts w:hint="eastAsia"/>
          <w:b/>
          <w:bCs/>
          <w:color w:val="auto"/>
          <w:sz w:val="24"/>
          <w:highlight w:val="none"/>
        </w:rPr>
        <w:t>时间及地点</w:t>
      </w:r>
      <w:bookmarkEnd w:id="9"/>
      <w:bookmarkEnd w:id="10"/>
    </w:p>
    <w:p w14:paraId="452569A7">
      <w:pPr>
        <w:spacing w:line="360" w:lineRule="auto"/>
        <w:ind w:firstLine="435"/>
        <w:rPr>
          <w:rFonts w:hint="eastAsia" w:eastAsia="宋体" w:cs="宋体"/>
          <w:color w:val="auto"/>
          <w:sz w:val="24"/>
          <w:szCs w:val="18"/>
          <w:highlight w:val="none"/>
          <w:lang w:eastAsia="zh-CN"/>
        </w:rPr>
      </w:pPr>
      <w:r>
        <w:rPr>
          <w:rFonts w:hint="eastAsia" w:cs="宋体"/>
          <w:color w:val="auto"/>
          <w:sz w:val="24"/>
          <w:szCs w:val="18"/>
          <w:highlight w:val="none"/>
        </w:rPr>
        <w:t>1.</w:t>
      </w:r>
      <w:r>
        <w:rPr>
          <w:rFonts w:hint="eastAsia" w:cs="宋体"/>
          <w:color w:val="auto"/>
          <w:sz w:val="24"/>
          <w:szCs w:val="18"/>
          <w:highlight w:val="none"/>
          <w:lang w:eastAsia="zh-CN"/>
        </w:rPr>
        <w:t>磋商</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03</w:t>
      </w:r>
      <w:r>
        <w:rPr>
          <w:rFonts w:hint="eastAsia" w:cs="宋体"/>
          <w:color w:val="auto"/>
          <w:sz w:val="24"/>
          <w:szCs w:val="18"/>
          <w:highlight w:val="none"/>
        </w:rPr>
        <w:t>月</w:t>
      </w:r>
      <w:r>
        <w:rPr>
          <w:rFonts w:hint="eastAsia" w:cs="宋体"/>
          <w:color w:val="auto"/>
          <w:sz w:val="24"/>
          <w:szCs w:val="18"/>
          <w:highlight w:val="none"/>
          <w:lang w:val="en-US" w:eastAsia="zh-CN"/>
        </w:rPr>
        <w:t>25</w:t>
      </w:r>
      <w:r>
        <w:rPr>
          <w:rFonts w:hint="eastAsia" w:cs="宋体"/>
          <w:color w:val="auto"/>
          <w:sz w:val="24"/>
          <w:szCs w:val="18"/>
          <w:highlight w:val="none"/>
        </w:rPr>
        <w:t>日1</w:t>
      </w:r>
      <w:r>
        <w:rPr>
          <w:rFonts w:hint="eastAsia" w:cs="宋体"/>
          <w:color w:val="auto"/>
          <w:sz w:val="24"/>
          <w:szCs w:val="18"/>
          <w:highlight w:val="none"/>
          <w:lang w:val="en-US" w:eastAsia="zh-CN"/>
        </w:rPr>
        <w:t>0</w:t>
      </w:r>
      <w:r>
        <w:rPr>
          <w:rFonts w:hint="eastAsia" w:cs="宋体"/>
          <w:color w:val="auto"/>
          <w:sz w:val="24"/>
          <w:szCs w:val="18"/>
          <w:highlight w:val="none"/>
        </w:rPr>
        <w:t>时00分</w:t>
      </w:r>
    </w:p>
    <w:p w14:paraId="0C1814C5">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磋商</w:t>
      </w:r>
      <w:r>
        <w:rPr>
          <w:rFonts w:hint="eastAsia" w:cs="宋体"/>
          <w:color w:val="auto"/>
          <w:sz w:val="24"/>
          <w:szCs w:val="18"/>
          <w:highlight w:val="none"/>
        </w:rPr>
        <w:t>地点：优质采云采购平台（http://www.youzhicai.com/）</w:t>
      </w:r>
    </w:p>
    <w:p w14:paraId="612B3C4E">
      <w:pPr>
        <w:spacing w:line="360" w:lineRule="auto"/>
        <w:ind w:firstLine="435"/>
        <w:outlineLvl w:val="1"/>
        <w:rPr>
          <w:b/>
          <w:bCs/>
          <w:color w:val="auto"/>
          <w:sz w:val="24"/>
          <w:szCs w:val="18"/>
          <w:highlight w:val="none"/>
        </w:rPr>
      </w:pPr>
      <w:bookmarkStart w:id="11" w:name="_Toc23523"/>
      <w:bookmarkStart w:id="12" w:name="_Toc25545"/>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11"/>
      <w:bookmarkEnd w:id="12"/>
    </w:p>
    <w:p w14:paraId="24F4CE4E">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磋商</w:t>
      </w:r>
      <w:r>
        <w:rPr>
          <w:rFonts w:hint="eastAsia"/>
          <w:color w:val="auto"/>
          <w:sz w:val="24"/>
          <w:szCs w:val="18"/>
          <w:highlight w:val="none"/>
        </w:rPr>
        <w:t>时间</w:t>
      </w:r>
      <w:r>
        <w:rPr>
          <w:rFonts w:hint="eastAsia"/>
          <w:color w:val="auto"/>
          <w:sz w:val="24"/>
          <w:szCs w:val="18"/>
          <w:highlight w:val="none"/>
          <w:lang w:eastAsia="zh-CN"/>
        </w:rPr>
        <w:t>。</w:t>
      </w:r>
    </w:p>
    <w:p w14:paraId="5BDD6B86">
      <w:pPr>
        <w:spacing w:line="360" w:lineRule="auto"/>
        <w:ind w:firstLine="435"/>
        <w:outlineLvl w:val="1"/>
        <w:rPr>
          <w:b/>
          <w:bCs/>
          <w:color w:val="auto"/>
          <w:sz w:val="24"/>
          <w:szCs w:val="18"/>
          <w:highlight w:val="none"/>
        </w:rPr>
      </w:pPr>
      <w:bookmarkStart w:id="13" w:name="_Toc5945"/>
      <w:bookmarkStart w:id="14" w:name="_Toc21674"/>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13"/>
      <w:bookmarkEnd w:id="14"/>
    </w:p>
    <w:p w14:paraId="4E03EB59">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786B6ED8">
      <w:pPr>
        <w:spacing w:line="360" w:lineRule="auto"/>
        <w:ind w:firstLine="435"/>
        <w:rPr>
          <w:rFonts w:hint="eastAsia" w:eastAsia="宋体" w:cs="@仿宋_GB2312"/>
          <w:color w:val="auto"/>
          <w:kern w:val="2"/>
          <w:sz w:val="24"/>
          <w:szCs w:val="18"/>
          <w:highlight w:val="none"/>
          <w:u w:val="none"/>
          <w:lang w:eastAsia="zh-CN"/>
        </w:rPr>
      </w:pPr>
      <w:r>
        <w:rPr>
          <w:color w:val="auto"/>
          <w:sz w:val="24"/>
          <w:szCs w:val="18"/>
          <w:highlight w:val="none"/>
        </w:rPr>
        <w:t>业主</w:t>
      </w:r>
      <w:r>
        <w:rPr>
          <w:rFonts w:hint="eastAsia"/>
          <w:color w:val="auto"/>
          <w:sz w:val="24"/>
          <w:szCs w:val="18"/>
          <w:highlight w:val="none"/>
        </w:rPr>
        <w:t>单位</w:t>
      </w:r>
      <w:r>
        <w:rPr>
          <w:rFonts w:hint="eastAsia" w:cs="@仿宋_GB2312"/>
          <w:color w:val="auto"/>
          <w:kern w:val="2"/>
          <w:sz w:val="24"/>
          <w:szCs w:val="18"/>
          <w:highlight w:val="none"/>
        </w:rPr>
        <w:t>：</w:t>
      </w:r>
      <w:r>
        <w:rPr>
          <w:rFonts w:hint="eastAsia" w:cs="@仿宋_GB2312"/>
          <w:color w:val="auto"/>
          <w:kern w:val="2"/>
          <w:sz w:val="24"/>
          <w:szCs w:val="18"/>
          <w:highlight w:val="none"/>
          <w:u w:val="none"/>
          <w:lang w:eastAsia="zh-CN"/>
        </w:rPr>
        <w:t>肥西县教育体育局</w:t>
      </w:r>
    </w:p>
    <w:p w14:paraId="707741E0">
      <w:pPr>
        <w:spacing w:line="360" w:lineRule="auto"/>
        <w:ind w:firstLine="435"/>
        <w:outlineLvl w:val="2"/>
        <w:rPr>
          <w:rFonts w:hint="eastAsia" w:cs="@仿宋_GB2312"/>
          <w:kern w:val="2"/>
          <w:sz w:val="24"/>
          <w:szCs w:val="18"/>
        </w:rPr>
      </w:pPr>
      <w:r>
        <w:rPr>
          <w:rFonts w:hint="eastAsia" w:cs="@仿宋_GB2312"/>
          <w:kern w:val="2"/>
          <w:sz w:val="24"/>
          <w:szCs w:val="18"/>
        </w:rPr>
        <w:t>地址：肥西县上派镇佛光路肥光办公区4号楼2-3楼</w:t>
      </w:r>
    </w:p>
    <w:p w14:paraId="3C8A4CBC">
      <w:pPr>
        <w:spacing w:line="360" w:lineRule="auto"/>
        <w:ind w:firstLine="435"/>
        <w:outlineLvl w:val="2"/>
        <w:rPr>
          <w:rFonts w:hint="eastAsia" w:cs="@仿宋_GB2312"/>
          <w:kern w:val="2"/>
          <w:sz w:val="24"/>
          <w:szCs w:val="18"/>
        </w:rPr>
      </w:pPr>
      <w:r>
        <w:rPr>
          <w:rFonts w:hint="eastAsia" w:cs="@仿宋_GB2312"/>
          <w:kern w:val="2"/>
          <w:sz w:val="24"/>
          <w:szCs w:val="18"/>
        </w:rPr>
        <w:t>联系人：</w:t>
      </w:r>
      <w:r>
        <w:rPr>
          <w:rFonts w:hint="eastAsia" w:cs="@仿宋_GB2312"/>
          <w:kern w:val="2"/>
          <w:sz w:val="24"/>
          <w:szCs w:val="18"/>
          <w:lang w:val="en-US" w:eastAsia="zh-CN"/>
        </w:rPr>
        <w:t>樊</w:t>
      </w:r>
      <w:r>
        <w:rPr>
          <w:rFonts w:hint="eastAsia" w:cs="@仿宋_GB2312"/>
          <w:kern w:val="2"/>
          <w:sz w:val="24"/>
          <w:szCs w:val="18"/>
        </w:rPr>
        <w:t>主任</w:t>
      </w:r>
    </w:p>
    <w:p w14:paraId="2B4E07E5">
      <w:pPr>
        <w:spacing w:line="360" w:lineRule="auto"/>
        <w:ind w:firstLine="435"/>
        <w:outlineLvl w:val="2"/>
        <w:rPr>
          <w:rFonts w:hint="eastAsia" w:cs="@仿宋_GB2312"/>
          <w:kern w:val="2"/>
          <w:sz w:val="24"/>
          <w:szCs w:val="18"/>
        </w:rPr>
      </w:pPr>
      <w:r>
        <w:rPr>
          <w:rFonts w:hint="eastAsia" w:cs="@仿宋_GB2312"/>
          <w:kern w:val="2"/>
          <w:sz w:val="24"/>
          <w:szCs w:val="18"/>
        </w:rPr>
        <w:t>电话：18855971021</w:t>
      </w:r>
    </w:p>
    <w:p w14:paraId="1F66C689">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2E21D3C1">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rPr>
        <w:t>代理机构：</w:t>
      </w:r>
      <w:r>
        <w:rPr>
          <w:rFonts w:hint="eastAsia"/>
          <w:color w:val="auto"/>
          <w:sz w:val="24"/>
          <w:szCs w:val="24"/>
          <w:highlight w:val="none"/>
          <w:u w:val="none"/>
          <w:lang w:eastAsia="zh-CN"/>
        </w:rPr>
        <w:t>肥西县公共资源交易有限责任公司</w:t>
      </w:r>
    </w:p>
    <w:p w14:paraId="5243E754">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地址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6BD47974">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徐工</w:t>
      </w:r>
    </w:p>
    <w:p w14:paraId="23DFA249">
      <w:pPr>
        <w:spacing w:line="360" w:lineRule="auto"/>
        <w:ind w:firstLine="435"/>
        <w:rPr>
          <w:rFonts w:hint="default" w:eastAsia="宋体" w:cs="@仿宋_GB2312"/>
          <w:color w:val="auto"/>
          <w:kern w:val="2"/>
          <w:sz w:val="24"/>
          <w:szCs w:val="18"/>
          <w:highlight w:val="none"/>
          <w:u w:val="single"/>
          <w:lang w:val="en-US" w:eastAsia="zh-CN"/>
        </w:rPr>
      </w:pP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color w:val="auto"/>
          <w:sz w:val="24"/>
          <w:szCs w:val="24"/>
          <w:highlight w:val="none"/>
          <w:u w:val="none"/>
          <w:lang w:val="en-US" w:eastAsia="zh-CN"/>
        </w:rPr>
        <w:t>68825007</w:t>
      </w:r>
    </w:p>
    <w:p w14:paraId="5F3F84B6">
      <w:pPr>
        <w:spacing w:line="360" w:lineRule="auto"/>
        <w:ind w:firstLine="435"/>
        <w:outlineLvl w:val="1"/>
        <w:rPr>
          <w:rFonts w:cs="宋体"/>
          <w:color w:val="auto"/>
          <w:sz w:val="24"/>
          <w:szCs w:val="18"/>
          <w:highlight w:val="none"/>
        </w:rPr>
      </w:pPr>
      <w:bookmarkStart w:id="15" w:name="_Toc28019"/>
      <w:bookmarkStart w:id="16" w:name="_Toc9100"/>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15"/>
      <w:bookmarkEnd w:id="16"/>
    </w:p>
    <w:p w14:paraId="7E837455">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eastAsia="zh-CN"/>
        </w:rPr>
        <w:t>肥西县</w:t>
      </w:r>
      <w:r>
        <w:rPr>
          <w:rFonts w:hint="eastAsia" w:cs="宋体"/>
          <w:color w:val="auto"/>
          <w:sz w:val="24"/>
          <w:szCs w:val="18"/>
          <w:highlight w:val="none"/>
          <w:lang w:val="en-US" w:eastAsia="zh-CN"/>
        </w:rPr>
        <w:t>公共资源交易有限责任公司</w:t>
      </w:r>
      <w:r>
        <w:rPr>
          <w:rFonts w:hint="eastAsia" w:cs="宋体"/>
          <w:color w:val="auto"/>
          <w:sz w:val="24"/>
          <w:szCs w:val="18"/>
          <w:highlight w:val="none"/>
        </w:rPr>
        <w:t>、优质采云采购平台、安徽省招标投标信息网、中国采购与招标网上发布；</w:t>
      </w:r>
    </w:p>
    <w:p w14:paraId="43937923">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0CDF9AB3">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lang w:eastAsia="zh-CN"/>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磋商</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val="en-US"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磋商</w:t>
      </w:r>
      <w:r>
        <w:rPr>
          <w:rFonts w:hint="eastAsia" w:cs="宋体"/>
          <w:color w:val="auto"/>
          <w:sz w:val="24"/>
          <w:szCs w:val="18"/>
          <w:highlight w:val="none"/>
        </w:rPr>
        <w:t>活动的，责任自负。</w:t>
      </w:r>
    </w:p>
    <w:p w14:paraId="4575557E">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lang w:eastAsia="zh-CN"/>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磋商</w:t>
      </w:r>
      <w:r>
        <w:rPr>
          <w:rFonts w:hint="eastAsia" w:cs="宋体"/>
          <w:color w:val="auto"/>
          <w:sz w:val="24"/>
          <w:szCs w:val="18"/>
          <w:highlight w:val="none"/>
        </w:rPr>
        <w:t>文件，本项目的</w:t>
      </w:r>
      <w:r>
        <w:rPr>
          <w:rFonts w:hint="eastAsia" w:cs="宋体"/>
          <w:color w:val="auto"/>
          <w:sz w:val="24"/>
          <w:szCs w:val="18"/>
          <w:highlight w:val="none"/>
          <w:lang w:eastAsia="zh-CN"/>
        </w:rPr>
        <w:t>磋商</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lang w:eastAsia="zh-CN"/>
        </w:rPr>
        <w:t>供应商</w:t>
      </w:r>
      <w:r>
        <w:rPr>
          <w:rFonts w:hint="eastAsia" w:cs="宋体"/>
          <w:color w:val="auto"/>
          <w:sz w:val="24"/>
          <w:szCs w:val="18"/>
          <w:highlight w:val="none"/>
        </w:rPr>
        <w:t>应及时关注、查阅优质采平台。因未及时查看导致不利后果的，责任自负。</w:t>
      </w:r>
    </w:p>
    <w:p w14:paraId="2331FC71">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lang w:eastAsia="zh-CN"/>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74BA2C3D">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磋商</w:t>
      </w:r>
      <w:r>
        <w:rPr>
          <w:rFonts w:hint="eastAsia" w:cs="宋体"/>
          <w:color w:val="auto"/>
          <w:sz w:val="24"/>
          <w:szCs w:val="18"/>
          <w:highlight w:val="none"/>
        </w:rPr>
        <w:t>方式，潜在</w:t>
      </w:r>
      <w:r>
        <w:rPr>
          <w:rFonts w:hint="eastAsia"/>
          <w:color w:val="auto"/>
          <w:sz w:val="24"/>
          <w:szCs w:val="18"/>
          <w:highlight w:val="none"/>
          <w:lang w:eastAsia="zh-CN"/>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52B95F90">
      <w:pPr>
        <w:spacing w:line="360" w:lineRule="auto"/>
        <w:ind w:firstLine="437"/>
        <w:rPr>
          <w:rFonts w:hint="eastAsia"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w:t>
      </w:r>
      <w:r>
        <w:rPr>
          <w:rFonts w:hint="eastAsia" w:cs="宋体"/>
          <w:color w:val="auto"/>
          <w:sz w:val="24"/>
          <w:szCs w:val="18"/>
          <w:highlight w:val="none"/>
          <w:lang w:eastAsia="zh-CN"/>
        </w:rPr>
        <w:t>：</w:t>
      </w:r>
      <w:r>
        <w:rPr>
          <w:rFonts w:hint="eastAsia" w:cs="宋体"/>
          <w:color w:val="auto"/>
          <w:sz w:val="24"/>
          <w:szCs w:val="18"/>
          <w:highlight w:val="none"/>
          <w:u w:val="none"/>
        </w:rPr>
        <w:t>http://file.youzhicai.com/files/BidderHelp.rar。</w:t>
      </w:r>
    </w:p>
    <w:p w14:paraId="371B163A">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szCs w:val="18"/>
          <w:highlight w:val="none"/>
        </w:rPr>
        <w:t>应合理安排</w:t>
      </w:r>
      <w:r>
        <w:rPr>
          <w:rFonts w:hint="eastAsia" w:cs="宋体"/>
          <w:color w:val="auto"/>
          <w:sz w:val="24"/>
          <w:szCs w:val="18"/>
          <w:highlight w:val="none"/>
          <w:lang w:eastAsia="zh-CN"/>
        </w:rPr>
        <w:t>磋商</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磋商</w:t>
      </w:r>
      <w:r>
        <w:rPr>
          <w:rFonts w:hint="eastAsia" w:cs="宋体"/>
          <w:color w:val="auto"/>
          <w:sz w:val="24"/>
          <w:szCs w:val="18"/>
          <w:highlight w:val="none"/>
        </w:rPr>
        <w:t>文件获取，责任自负。</w:t>
      </w:r>
    </w:p>
    <w:p w14:paraId="575B2CA7">
      <w:pPr>
        <w:spacing w:line="360" w:lineRule="auto"/>
        <w:jc w:val="center"/>
        <w:outlineLvl w:val="0"/>
        <w:rPr>
          <w:rFonts w:hint="eastAsia"/>
          <w:b/>
          <w:color w:val="auto"/>
          <w:sz w:val="28"/>
          <w:highlight w:val="none"/>
          <w:lang w:eastAsia="zh-CN"/>
        </w:rPr>
      </w:pPr>
      <w:r>
        <w:rPr>
          <w:rFonts w:hint="eastAsia" w:cs="宋体"/>
          <w:color w:val="auto"/>
          <w:sz w:val="24"/>
          <w:szCs w:val="18"/>
          <w:highlight w:val="none"/>
        </w:rPr>
        <w:br w:type="page"/>
      </w:r>
      <w:bookmarkStart w:id="17" w:name="_Toc29250"/>
      <w:r>
        <w:rPr>
          <w:rFonts w:hint="eastAsia"/>
          <w:b/>
          <w:color w:val="auto"/>
          <w:sz w:val="28"/>
          <w:highlight w:val="none"/>
          <w:lang w:eastAsia="zh-CN"/>
        </w:rPr>
        <w:t>第二章  供应商须知</w:t>
      </w:r>
      <w:bookmarkEnd w:id="17"/>
    </w:p>
    <w:p w14:paraId="592F6BB9">
      <w:pPr>
        <w:spacing w:line="360" w:lineRule="auto"/>
        <w:jc w:val="center"/>
        <w:outlineLvl w:val="1"/>
        <w:rPr>
          <w:b/>
          <w:color w:val="auto"/>
          <w:sz w:val="24"/>
          <w:highlight w:val="none"/>
        </w:rPr>
      </w:pPr>
      <w:bookmarkStart w:id="18" w:name="_Toc29910"/>
      <w:bookmarkStart w:id="19" w:name="_Toc13378"/>
      <w:r>
        <w:rPr>
          <w:rFonts w:hint="eastAsia"/>
          <w:b/>
          <w:color w:val="auto"/>
          <w:sz w:val="24"/>
          <w:highlight w:val="none"/>
        </w:rPr>
        <w:t>一、</w:t>
      </w:r>
      <w:r>
        <w:rPr>
          <w:rFonts w:hint="eastAsia"/>
          <w:b/>
          <w:color w:val="auto"/>
          <w:sz w:val="24"/>
          <w:szCs w:val="18"/>
          <w:highlight w:val="none"/>
          <w:lang w:eastAsia="zh-CN"/>
        </w:rPr>
        <w:t>供应商</w:t>
      </w:r>
      <w:r>
        <w:rPr>
          <w:b/>
          <w:color w:val="auto"/>
          <w:sz w:val="24"/>
          <w:highlight w:val="none"/>
        </w:rPr>
        <w:t>须知前附表</w:t>
      </w:r>
      <w:bookmarkEnd w:id="18"/>
      <w:bookmarkEnd w:id="19"/>
    </w:p>
    <w:p w14:paraId="276D0945">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供应商</w:t>
      </w:r>
      <w:r>
        <w:rPr>
          <w:rFonts w:hint="eastAsia"/>
          <w:color w:val="auto"/>
          <w:sz w:val="24"/>
          <w:szCs w:val="18"/>
          <w:highlight w:val="none"/>
        </w:rPr>
        <w:t>须知的具体补充和修改，如有不一致，以本表为准。</w:t>
      </w:r>
    </w:p>
    <w:tbl>
      <w:tblPr>
        <w:tblStyle w:val="2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7EEA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13F05F0">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75F9A0F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463BB1D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2A2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31AE53">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.1</w:t>
            </w:r>
          </w:p>
        </w:tc>
        <w:tc>
          <w:tcPr>
            <w:tcW w:w="2031" w:type="dxa"/>
            <w:vAlign w:val="center"/>
          </w:tcPr>
          <w:p w14:paraId="0F1A0334">
            <w:pPr>
              <w:pStyle w:val="39"/>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64318C7B">
            <w:pPr>
              <w:pStyle w:val="39"/>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肥西县教育体育局</w:t>
            </w:r>
          </w:p>
        </w:tc>
      </w:tr>
      <w:tr w14:paraId="30F5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07B23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.2</w:t>
            </w:r>
          </w:p>
        </w:tc>
        <w:tc>
          <w:tcPr>
            <w:tcW w:w="2031" w:type="dxa"/>
            <w:vAlign w:val="center"/>
          </w:tcPr>
          <w:p w14:paraId="3D181B81">
            <w:pPr>
              <w:pStyle w:val="39"/>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731E0737">
            <w:pPr>
              <w:pStyle w:val="39"/>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459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4AA453">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.4.</w:t>
            </w:r>
            <w:r>
              <w:rPr>
                <w:rFonts w:hint="eastAsia"/>
                <w:bCs/>
                <w:color w:val="auto"/>
                <w:kern w:val="2"/>
                <w:highlight w:val="none"/>
              </w:rPr>
              <w:t>4</w:t>
            </w:r>
          </w:p>
        </w:tc>
        <w:tc>
          <w:tcPr>
            <w:tcW w:w="2031" w:type="dxa"/>
            <w:vAlign w:val="center"/>
          </w:tcPr>
          <w:p w14:paraId="7F55812B">
            <w:pPr>
              <w:pStyle w:val="39"/>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磋商</w:t>
            </w:r>
          </w:p>
        </w:tc>
        <w:tc>
          <w:tcPr>
            <w:tcW w:w="6020" w:type="dxa"/>
            <w:vAlign w:val="center"/>
          </w:tcPr>
          <w:p w14:paraId="44E7F262">
            <w:pPr>
              <w:pStyle w:val="39"/>
              <w:widowControl w:val="0"/>
              <w:spacing w:before="0" w:beforeAutospacing="0" w:after="0" w:afterAutospacing="0" w:line="360" w:lineRule="auto"/>
              <w:jc w:val="both"/>
              <w:rPr>
                <w:b w:val="0"/>
                <w:bCs w:val="0"/>
                <w:color w:val="auto"/>
                <w:sz w:val="24"/>
                <w:szCs w:val="18"/>
                <w:highlight w:val="none"/>
              </w:rPr>
            </w:pPr>
            <w:r>
              <w:rPr>
                <w:rFonts w:hint="eastAsia"/>
                <w:b w:val="0"/>
                <w:color w:val="auto"/>
                <w:sz w:val="24"/>
                <w:highlight w:val="none"/>
              </w:rPr>
              <w:t>□是  ☑否</w:t>
            </w:r>
          </w:p>
        </w:tc>
      </w:tr>
      <w:tr w14:paraId="7D4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FE9E3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7</w:t>
            </w:r>
            <w:r>
              <w:rPr>
                <w:bCs/>
                <w:color w:val="auto"/>
                <w:kern w:val="2"/>
                <w:highlight w:val="none"/>
              </w:rPr>
              <w:t>.3</w:t>
            </w:r>
          </w:p>
        </w:tc>
        <w:tc>
          <w:tcPr>
            <w:tcW w:w="2031" w:type="dxa"/>
            <w:vAlign w:val="center"/>
          </w:tcPr>
          <w:p w14:paraId="4524691A">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261EED15">
            <w:pPr>
              <w:spacing w:line="360" w:lineRule="auto"/>
              <w:rPr>
                <w:rFonts w:cs="@仿宋_GB2312"/>
                <w:bCs/>
                <w:color w:val="auto"/>
                <w:kern w:val="2"/>
                <w:sz w:val="24"/>
                <w:highlight w:val="none"/>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p>
          <w:p w14:paraId="2EBDA8DC">
            <w:pPr>
              <w:spacing w:line="360" w:lineRule="auto"/>
              <w:rPr>
                <w:color w:val="auto"/>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tc>
      </w:tr>
      <w:tr w14:paraId="4016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26020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8</w:t>
            </w:r>
            <w:r>
              <w:rPr>
                <w:bCs/>
                <w:color w:val="auto"/>
                <w:kern w:val="2"/>
                <w:highlight w:val="none"/>
              </w:rPr>
              <w:t>.1</w:t>
            </w:r>
          </w:p>
        </w:tc>
        <w:tc>
          <w:tcPr>
            <w:tcW w:w="2031" w:type="dxa"/>
            <w:vAlign w:val="center"/>
          </w:tcPr>
          <w:p w14:paraId="4A9238EE">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678613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6</w:t>
            </w:r>
            <w:r>
              <w:rPr>
                <w:rFonts w:hint="eastAsia"/>
                <w:b w:val="0"/>
                <w:color w:val="auto"/>
                <w:sz w:val="24"/>
                <w:highlight w:val="none"/>
              </w:rPr>
              <w:t>年</w:t>
            </w:r>
            <w:r>
              <w:rPr>
                <w:rFonts w:hint="eastAsia"/>
                <w:b w:val="0"/>
                <w:color w:val="auto"/>
                <w:sz w:val="24"/>
                <w:highlight w:val="none"/>
                <w:u w:val="single"/>
                <w:lang w:val="en-US" w:eastAsia="zh-CN"/>
              </w:rPr>
              <w:t>03</w:t>
            </w:r>
            <w:r>
              <w:rPr>
                <w:rFonts w:hint="eastAsia"/>
                <w:b w:val="0"/>
                <w:color w:val="auto"/>
                <w:sz w:val="24"/>
                <w:highlight w:val="none"/>
              </w:rPr>
              <w:t>月</w:t>
            </w:r>
            <w:r>
              <w:rPr>
                <w:rFonts w:hint="eastAsia"/>
                <w:b w:val="0"/>
                <w:color w:val="auto"/>
                <w:sz w:val="24"/>
                <w:highlight w:val="none"/>
                <w:u w:val="single"/>
                <w:lang w:val="en-US" w:eastAsia="zh-CN"/>
              </w:rPr>
              <w:t>23</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磋商</w:t>
            </w:r>
            <w:r>
              <w:rPr>
                <w:rFonts w:hint="eastAsia"/>
                <w:b w:val="0"/>
                <w:color w:val="auto"/>
                <w:sz w:val="24"/>
                <w:highlight w:val="none"/>
              </w:rPr>
              <w:t>文件第二章</w:t>
            </w:r>
            <w:r>
              <w:rPr>
                <w:rFonts w:hint="eastAsia"/>
                <w:b w:val="0"/>
                <w:color w:val="auto"/>
                <w:sz w:val="24"/>
                <w:szCs w:val="18"/>
                <w:highlight w:val="none"/>
                <w:lang w:eastAsia="zh-CN"/>
              </w:rPr>
              <w:t>供应商</w:t>
            </w:r>
            <w:r>
              <w:rPr>
                <w:rFonts w:hint="eastAsia"/>
                <w:b w:val="0"/>
                <w:color w:val="auto"/>
                <w:sz w:val="24"/>
                <w:highlight w:val="none"/>
              </w:rPr>
              <w:t>须知。</w:t>
            </w:r>
          </w:p>
          <w:p w14:paraId="06703DB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磋商</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磋商</w:t>
            </w:r>
            <w:r>
              <w:rPr>
                <w:rFonts w:hint="eastAsia"/>
                <w:b w:val="0"/>
                <w:color w:val="auto"/>
                <w:sz w:val="24"/>
                <w:highlight w:val="none"/>
              </w:rPr>
              <w:t>文件的组成部分，对</w:t>
            </w:r>
            <w:r>
              <w:rPr>
                <w:rFonts w:hint="eastAsia"/>
                <w:b w:val="0"/>
                <w:color w:val="auto"/>
                <w:sz w:val="24"/>
                <w:szCs w:val="18"/>
                <w:highlight w:val="none"/>
                <w:lang w:eastAsia="zh-CN"/>
              </w:rPr>
              <w:t>供应商</w:t>
            </w:r>
            <w:r>
              <w:rPr>
                <w:rFonts w:hint="eastAsia"/>
                <w:b w:val="0"/>
                <w:color w:val="auto"/>
                <w:sz w:val="24"/>
                <w:highlight w:val="none"/>
              </w:rPr>
              <w:t>具有同样约束力效力。</w:t>
            </w:r>
            <w:r>
              <w:rPr>
                <w:rFonts w:hint="eastAsia"/>
                <w:b w:val="0"/>
                <w:color w:val="auto"/>
                <w:sz w:val="24"/>
                <w:szCs w:val="18"/>
                <w:highlight w:val="none"/>
                <w:lang w:eastAsia="zh-CN"/>
              </w:rPr>
              <w:t>供应商</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供应商</w:t>
            </w:r>
            <w:r>
              <w:rPr>
                <w:rFonts w:hint="eastAsia"/>
                <w:b w:val="0"/>
                <w:color w:val="auto"/>
                <w:sz w:val="24"/>
                <w:highlight w:val="none"/>
              </w:rPr>
              <w:t>未及时关注相关信息引发的相关责任。</w:t>
            </w:r>
          </w:p>
        </w:tc>
      </w:tr>
      <w:tr w14:paraId="2182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1F92922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9</w:t>
            </w:r>
            <w:r>
              <w:rPr>
                <w:bCs/>
                <w:color w:val="auto"/>
                <w:kern w:val="2"/>
                <w:highlight w:val="none"/>
              </w:rPr>
              <w:t>.1</w:t>
            </w:r>
          </w:p>
        </w:tc>
        <w:tc>
          <w:tcPr>
            <w:tcW w:w="2031" w:type="dxa"/>
            <w:vAlign w:val="center"/>
          </w:tcPr>
          <w:p w14:paraId="2F13FDD5">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020" w:type="dxa"/>
            <w:vAlign w:val="center"/>
          </w:tcPr>
          <w:p w14:paraId="7E2CBA3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highlight w:val="none"/>
              </w:rPr>
              <w:t>不分包     □分为  个包</w:t>
            </w:r>
          </w:p>
          <w:p w14:paraId="3B83720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bCs w:val="0"/>
                <w:color w:val="auto"/>
                <w:sz w:val="24"/>
                <w:szCs w:val="24"/>
                <w:highlight w:val="none"/>
              </w:rPr>
              <w:t>参加多个包</w:t>
            </w:r>
            <w:r>
              <w:rPr>
                <w:rFonts w:hint="eastAsia"/>
                <w:b w:val="0"/>
                <w:bCs w:val="0"/>
                <w:color w:val="auto"/>
                <w:sz w:val="24"/>
                <w:szCs w:val="24"/>
                <w:highlight w:val="none"/>
                <w:lang w:eastAsia="zh-CN"/>
              </w:rPr>
              <w:t>磋商</w:t>
            </w:r>
            <w:r>
              <w:rPr>
                <w:rFonts w:hint="eastAsia"/>
                <w:b w:val="0"/>
                <w:bCs w:val="0"/>
                <w:color w:val="auto"/>
                <w:sz w:val="24"/>
                <w:szCs w:val="24"/>
                <w:highlight w:val="none"/>
              </w:rPr>
              <w:t>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668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1EDD5E8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3.1</w:t>
            </w:r>
          </w:p>
        </w:tc>
        <w:tc>
          <w:tcPr>
            <w:tcW w:w="2031" w:type="dxa"/>
            <w:vAlign w:val="center"/>
          </w:tcPr>
          <w:p w14:paraId="609C772C">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保证金</w:t>
            </w:r>
          </w:p>
        </w:tc>
        <w:tc>
          <w:tcPr>
            <w:tcW w:w="6020" w:type="dxa"/>
            <w:vAlign w:val="center"/>
          </w:tcPr>
          <w:p w14:paraId="5EA0155B">
            <w:pPr>
              <w:spacing w:line="360" w:lineRule="auto"/>
              <w:jc w:val="left"/>
              <w:rPr>
                <w:b w:val="0"/>
                <w:color w:val="auto"/>
                <w:sz w:val="24"/>
                <w:highlight w:val="none"/>
              </w:rPr>
            </w:pPr>
            <w:r>
              <w:rPr>
                <w:rFonts w:hint="eastAsia" w:cs="宋体"/>
                <w:sz w:val="24"/>
                <w:highlight w:val="none"/>
              </w:rPr>
              <w:t>是否要求</w:t>
            </w:r>
            <w:r>
              <w:rPr>
                <w:rFonts w:hint="eastAsia"/>
                <w:sz w:val="24"/>
                <w:szCs w:val="18"/>
                <w:highlight w:val="none"/>
                <w:lang w:eastAsia="zh-CN"/>
              </w:rPr>
              <w:t>供应商</w:t>
            </w:r>
            <w:r>
              <w:rPr>
                <w:rFonts w:hint="eastAsia" w:cs="宋体"/>
                <w:sz w:val="24"/>
                <w:highlight w:val="none"/>
              </w:rPr>
              <w:t>递交</w:t>
            </w:r>
            <w:r>
              <w:rPr>
                <w:rFonts w:hint="eastAsia" w:cs="宋体"/>
                <w:sz w:val="24"/>
                <w:highlight w:val="none"/>
                <w:lang w:eastAsia="zh-CN"/>
              </w:rPr>
              <w:t>磋商</w:t>
            </w:r>
            <w:r>
              <w:rPr>
                <w:rFonts w:hint="eastAsia" w:cs="宋体"/>
                <w:sz w:val="24"/>
                <w:highlight w:val="none"/>
              </w:rPr>
              <w:t>保证金：</w:t>
            </w:r>
            <w:r>
              <w:rPr>
                <w:rFonts w:hint="eastAsia" w:cs="宋体"/>
                <w:sz w:val="24"/>
                <w:highlight w:val="none"/>
              </w:rPr>
              <w:sym w:font="Wingdings 2" w:char="0052"/>
            </w:r>
            <w:r>
              <w:rPr>
                <w:rFonts w:hint="eastAsia" w:cs="宋体"/>
                <w:sz w:val="24"/>
                <w:highlight w:val="none"/>
              </w:rPr>
              <w:t>不要求</w:t>
            </w:r>
            <w:r>
              <w:rPr>
                <w:rFonts w:hint="eastAsia" w:cs="宋体"/>
                <w:sz w:val="24"/>
                <w:highlight w:val="none"/>
                <w:lang w:val="en-US" w:eastAsia="zh-CN"/>
              </w:rPr>
              <w:t xml:space="preserve"> </w:t>
            </w:r>
            <w:r>
              <w:rPr>
                <w:rFonts w:hint="eastAsia" w:ascii="Segoe UI Symbol" w:hAnsi="Segoe UI Symbol" w:cs="Segoe UI Symbol"/>
                <w:b/>
                <w:bCs/>
                <w:sz w:val="24"/>
                <w:highlight w:val="none"/>
                <w:lang w:eastAsia="zh-CN"/>
              </w:rPr>
              <w:t>□</w:t>
            </w:r>
            <w:r>
              <w:rPr>
                <w:rFonts w:hint="eastAsia" w:cs="宋体"/>
                <w:b/>
                <w:bCs/>
                <w:sz w:val="24"/>
                <w:highlight w:val="none"/>
              </w:rPr>
              <w:t>要求</w:t>
            </w:r>
          </w:p>
        </w:tc>
      </w:tr>
      <w:tr w14:paraId="2DB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0D127E81">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13.2</w:t>
            </w:r>
          </w:p>
        </w:tc>
        <w:tc>
          <w:tcPr>
            <w:tcW w:w="2031" w:type="dxa"/>
            <w:shd w:val="clear" w:color="auto" w:fill="auto"/>
            <w:vAlign w:val="center"/>
          </w:tcPr>
          <w:p w14:paraId="70ABD9A1">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电子交易服务费</w:t>
            </w:r>
          </w:p>
        </w:tc>
        <w:tc>
          <w:tcPr>
            <w:tcW w:w="6020" w:type="dxa"/>
            <w:shd w:val="clear" w:color="auto" w:fill="auto"/>
            <w:vAlign w:val="center"/>
          </w:tcPr>
          <w:p w14:paraId="7373A39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5785EE7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3E70CA2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5C6FDF8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时间。</w:t>
            </w:r>
          </w:p>
          <w:p w14:paraId="5A956B0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应当从供应商账户转出，转出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的账户与供应商响应文件提供的账户信息不一致的，视为未按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2419D40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1C54151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3E5F7C9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5640605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账号：6232594999000545945</w:t>
            </w:r>
            <w:bookmarkStart w:id="694" w:name="_GoBack"/>
            <w:bookmarkEnd w:id="694"/>
            <w:r>
              <w:rPr>
                <w:rFonts w:hint="eastAsia" w:cs="@仿宋_GB2312"/>
                <w:b w:val="0"/>
                <w:bCs w:val="0"/>
                <w:kern w:val="2"/>
                <w:sz w:val="24"/>
                <w:szCs w:val="18"/>
                <w:highlight w:val="none"/>
                <w:lang w:val="en-US" w:eastAsia="zh-CN" w:bidi="ar-SA"/>
              </w:rPr>
              <w:t xml:space="preserve">  </w:t>
            </w:r>
          </w:p>
          <w:p w14:paraId="68F6A34F">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74CFE646">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48524E5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6C4D26EE">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到账情况导致响应文件被否决，责任由供应商自行承担。</w:t>
            </w:r>
          </w:p>
          <w:p w14:paraId="6D0EA89B">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457391F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4897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28601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4.1</w:t>
            </w:r>
          </w:p>
        </w:tc>
        <w:tc>
          <w:tcPr>
            <w:tcW w:w="2031" w:type="dxa"/>
            <w:vAlign w:val="center"/>
          </w:tcPr>
          <w:p w14:paraId="2D8A8F2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有效期</w:t>
            </w:r>
          </w:p>
        </w:tc>
        <w:tc>
          <w:tcPr>
            <w:tcW w:w="6020" w:type="dxa"/>
            <w:vAlign w:val="center"/>
          </w:tcPr>
          <w:p w14:paraId="55308ACB">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w:t>
            </w:r>
            <w:r>
              <w:rPr>
                <w:rFonts w:hint="eastAsia"/>
                <w:b w:val="0"/>
                <w:color w:val="auto"/>
                <w:sz w:val="24"/>
                <w:highlight w:val="none"/>
                <w:u w:val="single"/>
              </w:rPr>
              <w:t xml:space="preserve">0 </w:t>
            </w:r>
            <w:r>
              <w:rPr>
                <w:rFonts w:hint="eastAsia"/>
                <w:b w:val="0"/>
                <w:color w:val="auto"/>
                <w:sz w:val="24"/>
                <w:highlight w:val="none"/>
              </w:rPr>
              <w:t>日历</w:t>
            </w:r>
            <w:r>
              <w:rPr>
                <w:rFonts w:hint="eastAsia"/>
                <w:b w:val="0"/>
                <w:color w:val="auto"/>
                <w:sz w:val="24"/>
                <w:highlight w:val="none"/>
                <w:lang w:val="en-US" w:eastAsia="zh-CN"/>
              </w:rPr>
              <w:t>天</w:t>
            </w:r>
          </w:p>
        </w:tc>
      </w:tr>
      <w:tr w14:paraId="7703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523B67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5.1</w:t>
            </w:r>
          </w:p>
        </w:tc>
        <w:tc>
          <w:tcPr>
            <w:tcW w:w="2031" w:type="dxa"/>
            <w:vAlign w:val="center"/>
          </w:tcPr>
          <w:p w14:paraId="3A75F51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5DF15B7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56B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0D8825A">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5.3</w:t>
            </w:r>
          </w:p>
        </w:tc>
        <w:tc>
          <w:tcPr>
            <w:tcW w:w="2031" w:type="dxa"/>
            <w:vAlign w:val="center"/>
          </w:tcPr>
          <w:p w14:paraId="5373AA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现场提交的其他材料要求</w:t>
            </w:r>
          </w:p>
        </w:tc>
        <w:tc>
          <w:tcPr>
            <w:tcW w:w="6020" w:type="dxa"/>
            <w:vAlign w:val="center"/>
          </w:tcPr>
          <w:p w14:paraId="654DE685">
            <w:pPr>
              <w:pStyle w:val="39"/>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4F9F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3007BC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6.1</w:t>
            </w:r>
          </w:p>
        </w:tc>
        <w:tc>
          <w:tcPr>
            <w:tcW w:w="2031" w:type="dxa"/>
            <w:vAlign w:val="center"/>
          </w:tcPr>
          <w:p w14:paraId="26F58970">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4E2755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483B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B2EE8A1">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7.3</w:t>
            </w:r>
          </w:p>
        </w:tc>
        <w:tc>
          <w:tcPr>
            <w:tcW w:w="2031" w:type="dxa"/>
            <w:vAlign w:val="center"/>
          </w:tcPr>
          <w:p w14:paraId="207855D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50053660">
            <w:pPr>
              <w:pStyle w:val="39"/>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5E170340">
            <w:pPr>
              <w:pStyle w:val="39"/>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磋商</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lang w:eastAsia="zh-CN"/>
              </w:rPr>
              <w:t>供应商</w:t>
            </w:r>
            <w:r>
              <w:rPr>
                <w:rFonts w:hint="eastAsia" w:cs="宋体"/>
                <w:bCs w:val="0"/>
                <w:color w:val="auto"/>
                <w:sz w:val="24"/>
                <w:highlight w:val="none"/>
              </w:rPr>
              <w:t>自行承担。</w:t>
            </w:r>
          </w:p>
        </w:tc>
      </w:tr>
      <w:tr w14:paraId="5CE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7C43731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w:t>
            </w:r>
            <w:r>
              <w:rPr>
                <w:bCs/>
                <w:color w:val="auto"/>
                <w:kern w:val="2"/>
                <w:highlight w:val="none"/>
              </w:rPr>
              <w:t>.1</w:t>
            </w:r>
          </w:p>
        </w:tc>
        <w:tc>
          <w:tcPr>
            <w:tcW w:w="2031" w:type="dxa"/>
            <w:vAlign w:val="center"/>
          </w:tcPr>
          <w:p w14:paraId="2F3346C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时间</w:t>
            </w:r>
          </w:p>
        </w:tc>
        <w:tc>
          <w:tcPr>
            <w:tcW w:w="6020" w:type="dxa"/>
            <w:vAlign w:val="center"/>
          </w:tcPr>
          <w:p w14:paraId="3ABC919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3029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6031D764">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124403D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地点</w:t>
            </w:r>
          </w:p>
        </w:tc>
        <w:tc>
          <w:tcPr>
            <w:tcW w:w="6020" w:type="dxa"/>
            <w:vAlign w:val="center"/>
          </w:tcPr>
          <w:p w14:paraId="72D91DAE">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p w14:paraId="1FAEB25F">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磋商</w:t>
            </w:r>
          </w:p>
        </w:tc>
      </w:tr>
      <w:tr w14:paraId="30F5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465415">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19.3</w:t>
            </w:r>
          </w:p>
        </w:tc>
        <w:tc>
          <w:tcPr>
            <w:tcW w:w="2031" w:type="dxa"/>
            <w:vAlign w:val="center"/>
          </w:tcPr>
          <w:p w14:paraId="7755094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36754467">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636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5581DB7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24</w:t>
            </w:r>
            <w:r>
              <w:rPr>
                <w:bCs/>
                <w:color w:val="auto"/>
                <w:kern w:val="2"/>
                <w:highlight w:val="none"/>
              </w:rPr>
              <w:t>.</w:t>
            </w:r>
            <w:r>
              <w:rPr>
                <w:rFonts w:hint="eastAsia"/>
                <w:bCs/>
                <w:color w:val="auto"/>
                <w:kern w:val="2"/>
                <w:highlight w:val="none"/>
              </w:rPr>
              <w:t>1</w:t>
            </w:r>
          </w:p>
        </w:tc>
        <w:tc>
          <w:tcPr>
            <w:tcW w:w="2031" w:type="dxa"/>
            <w:vMerge w:val="restart"/>
            <w:vAlign w:val="center"/>
          </w:tcPr>
          <w:p w14:paraId="545CFDE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29A84194">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磋商</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val="0"/>
                <w:color w:val="auto"/>
                <w:sz w:val="24"/>
                <w:highlight w:val="none"/>
                <w:u w:val="single"/>
              </w:rPr>
              <w:t>1</w:t>
            </w:r>
            <w:r>
              <w:rPr>
                <w:b w:val="0"/>
                <w:color w:val="auto"/>
                <w:sz w:val="24"/>
                <w:highlight w:val="none"/>
                <w:u w:val="single"/>
              </w:rPr>
              <w:t>家</w:t>
            </w:r>
          </w:p>
        </w:tc>
      </w:tr>
      <w:tr w14:paraId="3D69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A4C8D9A">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0DF88F09">
            <w:pPr>
              <w:pStyle w:val="39"/>
              <w:widowControl w:val="0"/>
              <w:spacing w:before="0" w:beforeAutospacing="0" w:after="0" w:afterAutospacing="0" w:line="360" w:lineRule="auto"/>
              <w:jc w:val="both"/>
              <w:rPr>
                <w:b w:val="0"/>
                <w:color w:val="auto"/>
                <w:sz w:val="24"/>
                <w:highlight w:val="none"/>
              </w:rPr>
            </w:pPr>
          </w:p>
        </w:tc>
        <w:tc>
          <w:tcPr>
            <w:tcW w:w="6020" w:type="dxa"/>
            <w:vAlign w:val="center"/>
          </w:tcPr>
          <w:p w14:paraId="1D646BF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754B0FB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磋商</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06DE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F1C62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28</w:t>
            </w:r>
            <w:r>
              <w:rPr>
                <w:bCs/>
                <w:color w:val="auto"/>
                <w:kern w:val="2"/>
                <w:highlight w:val="none"/>
              </w:rPr>
              <w:t>.1</w:t>
            </w:r>
          </w:p>
        </w:tc>
        <w:tc>
          <w:tcPr>
            <w:tcW w:w="2031" w:type="dxa"/>
            <w:vAlign w:val="center"/>
          </w:tcPr>
          <w:p w14:paraId="6BE5AB5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09691E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4D46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E9F9F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29</w:t>
            </w:r>
            <w:r>
              <w:rPr>
                <w:bCs/>
                <w:color w:val="auto"/>
                <w:kern w:val="2"/>
                <w:highlight w:val="none"/>
              </w:rPr>
              <w:t>.1</w:t>
            </w:r>
          </w:p>
        </w:tc>
        <w:tc>
          <w:tcPr>
            <w:tcW w:w="2031" w:type="dxa"/>
            <w:vAlign w:val="center"/>
          </w:tcPr>
          <w:p w14:paraId="41F9B85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磋商</w:t>
            </w:r>
            <w:r>
              <w:rPr>
                <w:rFonts w:hint="eastAsia"/>
                <w:b w:val="0"/>
                <w:color w:val="auto"/>
                <w:sz w:val="24"/>
                <w:highlight w:val="none"/>
              </w:rPr>
              <w:t>结果的形式</w:t>
            </w:r>
          </w:p>
        </w:tc>
        <w:tc>
          <w:tcPr>
            <w:tcW w:w="6020" w:type="dxa"/>
            <w:vAlign w:val="center"/>
          </w:tcPr>
          <w:p w14:paraId="5D6C7D59">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供应商</w:t>
            </w:r>
            <w:r>
              <w:rPr>
                <w:rFonts w:hint="eastAsia" w:cs="宋体"/>
                <w:b w:val="0"/>
                <w:bCs w:val="0"/>
                <w:color w:val="auto"/>
                <w:sz w:val="24"/>
                <w:szCs w:val="24"/>
                <w:highlight w:val="none"/>
              </w:rPr>
              <w:t>自行登录系统查看</w:t>
            </w:r>
          </w:p>
          <w:p w14:paraId="6BC81213">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□磋商</w:t>
            </w:r>
            <w:r>
              <w:rPr>
                <w:rFonts w:hint="eastAsia"/>
                <w:b w:val="0"/>
                <w:color w:val="auto"/>
                <w:sz w:val="24"/>
                <w:highlight w:val="none"/>
              </w:rPr>
              <w:t>现场告知</w:t>
            </w:r>
          </w:p>
        </w:tc>
      </w:tr>
      <w:tr w14:paraId="3A7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A20E6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30</w:t>
            </w:r>
            <w:r>
              <w:rPr>
                <w:bCs/>
                <w:color w:val="auto"/>
                <w:kern w:val="2"/>
                <w:highlight w:val="none"/>
              </w:rPr>
              <w:t>.1</w:t>
            </w:r>
          </w:p>
        </w:tc>
        <w:tc>
          <w:tcPr>
            <w:tcW w:w="2031" w:type="dxa"/>
            <w:vAlign w:val="center"/>
          </w:tcPr>
          <w:p w14:paraId="460F080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0FF1C757">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bCs/>
                <w:color w:val="auto"/>
                <w:sz w:val="24"/>
                <w:highlight w:val="none"/>
              </w:rPr>
              <w:t>不收取</w:t>
            </w:r>
          </w:p>
          <w:p w14:paraId="303D81EE">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收取</w:t>
            </w:r>
          </w:p>
          <w:p w14:paraId="1A30894F">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24735250">
            <w:pPr>
              <w:pStyle w:val="39"/>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cs="宋体"/>
                <w:b w:val="0"/>
                <w:bCs/>
                <w:color w:val="auto"/>
                <w:sz w:val="24"/>
                <w:highlight w:val="none"/>
                <w:u w:val="single"/>
                <w:lang w:val="en-US" w:eastAsia="zh-CN"/>
              </w:rPr>
              <w:t>/</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w:t>
            </w:r>
          </w:p>
          <w:p w14:paraId="4FA9EA4A">
            <w:pPr>
              <w:pStyle w:val="50"/>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元</w:t>
            </w:r>
            <w:r>
              <w:rPr>
                <w:rFonts w:hint="eastAsia" w:ascii="宋体" w:hAnsi="宋体" w:eastAsia="宋体" w:cs="宋体"/>
                <w:b w:val="0"/>
                <w:bCs w:val="0"/>
                <w:color w:val="auto"/>
                <w:sz w:val="24"/>
                <w:szCs w:val="24"/>
                <w:highlight w:val="none"/>
              </w:rPr>
              <w:t>；</w:t>
            </w:r>
          </w:p>
          <w:p w14:paraId="0B48AB42">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098FA41E">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保函</w:t>
            </w:r>
          </w:p>
          <w:p w14:paraId="5BD5752A">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1911243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3B2AE8A9">
            <w:pPr>
              <w:pStyle w:val="39"/>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6AAC97F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7241F27F">
            <w:pPr>
              <w:pStyle w:val="39"/>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ascii="宋体" w:hAnsi="宋体" w:eastAsia="宋体" w:cs="宋体"/>
                <w:b w:val="0"/>
                <w:color w:val="auto"/>
                <w:sz w:val="24"/>
                <w:highlight w:val="none"/>
                <w:u w:val="single"/>
                <w:lang w:val="en-US" w:eastAsia="zh-CN"/>
              </w:rPr>
              <w:t xml:space="preserve">15 </w:t>
            </w:r>
            <w:r>
              <w:rPr>
                <w:rFonts w:hint="eastAsia" w:ascii="宋体" w:hAnsi="宋体" w:eastAsia="宋体" w:cs="宋体"/>
                <w:b w:val="0"/>
                <w:color w:val="auto"/>
                <w:sz w:val="24"/>
                <w:highlight w:val="none"/>
              </w:rPr>
              <w:t>日历日</w:t>
            </w:r>
          </w:p>
        </w:tc>
      </w:tr>
      <w:tr w14:paraId="319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049089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31</w:t>
            </w:r>
            <w:r>
              <w:rPr>
                <w:bCs/>
                <w:color w:val="auto"/>
                <w:kern w:val="2"/>
                <w:highlight w:val="none"/>
              </w:rPr>
              <w:t>.1</w:t>
            </w:r>
          </w:p>
        </w:tc>
        <w:tc>
          <w:tcPr>
            <w:tcW w:w="2031" w:type="dxa"/>
            <w:vAlign w:val="center"/>
          </w:tcPr>
          <w:p w14:paraId="736D167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3439AE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57F284EC">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rPr>
              <w:t>☑收取</w:t>
            </w:r>
          </w:p>
          <w:p w14:paraId="07DDF75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（1）金额</w:t>
            </w:r>
            <w:r>
              <w:rPr>
                <w:rFonts w:hint="eastAsia"/>
                <w:b w:val="0"/>
                <w:color w:val="auto"/>
                <w:sz w:val="24"/>
                <w:highlight w:val="none"/>
                <w:u w:val="single"/>
              </w:rPr>
              <w:t xml:space="preserve"> </w:t>
            </w:r>
          </w:p>
          <w:p w14:paraId="5528AE21">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w:t>
            </w:r>
            <w:r>
              <w:rPr>
                <w:rFonts w:hint="eastAsia"/>
                <w:b w:val="0"/>
                <w:color w:val="auto"/>
                <w:sz w:val="24"/>
                <w:highlight w:val="none"/>
              </w:rPr>
              <w:t>定额收取：人民币</w:t>
            </w:r>
            <w:r>
              <w:rPr>
                <w:rFonts w:hint="eastAsia"/>
                <w:b w:val="0"/>
                <w:color w:val="auto"/>
                <w:sz w:val="24"/>
                <w:highlight w:val="none"/>
                <w:u w:val="single"/>
                <w:lang w:val="en-US" w:eastAsia="zh-CN"/>
              </w:rPr>
              <w:t>2400</w:t>
            </w:r>
            <w:r>
              <w:rPr>
                <w:rFonts w:hint="eastAsia"/>
                <w:b w:val="0"/>
                <w:color w:val="auto"/>
                <w:sz w:val="24"/>
                <w:highlight w:val="none"/>
              </w:rPr>
              <w:t>元</w:t>
            </w:r>
          </w:p>
          <w:p w14:paraId="1487CDB7">
            <w:pPr>
              <w:pStyle w:val="39"/>
              <w:widowControl w:val="0"/>
              <w:spacing w:before="0" w:beforeAutospacing="0" w:after="0" w:afterAutospacing="0" w:line="360" w:lineRule="auto"/>
              <w:jc w:val="both"/>
              <w:rPr>
                <w:color w:val="auto"/>
                <w:sz w:val="24"/>
                <w:highlight w:val="none"/>
              </w:rPr>
            </w:pPr>
            <w:r>
              <w:rPr>
                <w:rFonts w:hint="eastAsia"/>
                <w:bCs w:val="0"/>
                <w:color w:val="auto"/>
                <w:sz w:val="24"/>
                <w:highlight w:val="none"/>
                <w:lang w:eastAsia="zh-CN"/>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供应商</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3547A984">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44CFB314">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7D18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C1C2275">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31.2</w:t>
            </w:r>
          </w:p>
        </w:tc>
        <w:tc>
          <w:tcPr>
            <w:tcW w:w="2031" w:type="dxa"/>
            <w:shd w:val="clear" w:color="auto" w:fill="auto"/>
            <w:vAlign w:val="center"/>
          </w:tcPr>
          <w:p w14:paraId="5BB5D07F">
            <w:pPr>
              <w:pStyle w:val="39"/>
              <w:rPr>
                <w:rFonts w:hint="eastAsia" w:ascii="宋体" w:hAnsi="宋体" w:eastAsia="宋体" w:cs="Times New Roman"/>
                <w:b/>
                <w:bCs/>
                <w:color w:val="auto"/>
                <w:sz w:val="24"/>
                <w:szCs w:val="28"/>
                <w:highlight w:val="none"/>
                <w:lang w:val="en-US" w:eastAsia="zh-CN" w:bidi="ar-SA"/>
              </w:rPr>
            </w:pPr>
            <w:r>
              <w:rPr>
                <w:rFonts w:hint="eastAsia" w:ascii="Times New Roman" w:hAnsi="Times New Roman" w:eastAsia="宋体" w:cs="宋体"/>
                <w:b w:val="0"/>
                <w:bCs w:val="0"/>
                <w:snapToGrid w:val="0"/>
                <w:color w:val="auto"/>
                <w:sz w:val="24"/>
                <w:szCs w:val="24"/>
                <w:highlight w:val="none"/>
                <w:u w:val="none"/>
                <w:lang w:val="en-US" w:eastAsia="zh-CN"/>
              </w:rPr>
              <w:t>工程量清单和最高投标限价（控制价）编制审核费</w:t>
            </w:r>
          </w:p>
        </w:tc>
        <w:tc>
          <w:tcPr>
            <w:tcW w:w="6020" w:type="dxa"/>
            <w:shd w:val="clear" w:color="auto" w:fill="auto"/>
            <w:vAlign w:val="center"/>
          </w:tcPr>
          <w:p w14:paraId="7642F1F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不收取</w:t>
            </w:r>
          </w:p>
          <w:p w14:paraId="59F821DF">
            <w:pPr>
              <w:pStyle w:val="39"/>
              <w:widowControl w:val="0"/>
              <w:spacing w:before="0" w:beforeAutospacing="0" w:after="0" w:afterAutospacing="0" w:line="360" w:lineRule="auto"/>
              <w:jc w:val="both"/>
              <w:rPr>
                <w:bCs w:val="0"/>
                <w:color w:val="auto"/>
                <w:sz w:val="24"/>
                <w:highlight w:val="none"/>
              </w:rPr>
            </w:pPr>
            <w:r>
              <w:rPr>
                <w:rFonts w:hint="eastAsia" w:ascii="Segoe UI Symbol" w:hAnsi="Segoe UI Symbol" w:cs="Segoe UI Symbol"/>
                <w:bCs w:val="0"/>
                <w:color w:val="auto"/>
                <w:sz w:val="24"/>
                <w:highlight w:val="none"/>
                <w:lang w:eastAsia="zh-CN"/>
              </w:rPr>
              <w:t>□</w:t>
            </w:r>
            <w:r>
              <w:rPr>
                <w:rFonts w:hint="eastAsia"/>
                <w:bCs w:val="0"/>
                <w:color w:val="auto"/>
                <w:sz w:val="24"/>
                <w:highlight w:val="none"/>
              </w:rPr>
              <w:t>收取</w:t>
            </w:r>
          </w:p>
          <w:p w14:paraId="24E31BBB">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47A5C5BF">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r>
              <w:rPr>
                <w:rFonts w:hint="eastAsia"/>
                <w:color w:val="auto"/>
                <w:sz w:val="24"/>
                <w:szCs w:val="28"/>
                <w:highlight w:val="none"/>
              </w:rPr>
              <w:t>元</w:t>
            </w:r>
          </w:p>
          <w:p w14:paraId="2EE3A58C">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按下列标准收取：以</w:t>
            </w:r>
            <w:r>
              <w:rPr>
                <w:rFonts w:hint="eastAsia"/>
                <w:color w:val="auto"/>
                <w:sz w:val="24"/>
                <w:szCs w:val="28"/>
                <w:highlight w:val="none"/>
                <w:lang w:val="en-US" w:eastAsia="zh-CN"/>
              </w:rPr>
              <w:t>成交金额</w:t>
            </w:r>
            <w:r>
              <w:rPr>
                <w:rFonts w:hint="eastAsia"/>
                <w:color w:val="auto"/>
                <w:sz w:val="24"/>
                <w:szCs w:val="28"/>
                <w:highlight w:val="none"/>
              </w:rPr>
              <w:t>为计算基数，分标段参照皖价服（2007）86号文件规定的标准收取，不足1000元的按1000元收取。</w:t>
            </w:r>
          </w:p>
          <w:p w14:paraId="0BB08A4F">
            <w:pPr>
              <w:numPr>
                <w:ilvl w:val="0"/>
                <w:numId w:val="1"/>
              </w:numPr>
              <w:spacing w:line="360" w:lineRule="auto"/>
              <w:rPr>
                <w:color w:val="auto"/>
                <w:sz w:val="24"/>
                <w:szCs w:val="28"/>
                <w:highlight w:val="none"/>
              </w:rPr>
            </w:pPr>
            <w:r>
              <w:rPr>
                <w:rFonts w:hint="eastAsia"/>
                <w:color w:val="auto"/>
                <w:sz w:val="24"/>
                <w:szCs w:val="28"/>
                <w:highlight w:val="none"/>
              </w:rPr>
              <w:t>支付方式：</w:t>
            </w:r>
            <w:r>
              <w:rPr>
                <w:rFonts w:ascii="Segoe UI Symbol" w:hAnsi="Segoe UI Symbol" w:cs="Segoe UI Symbol"/>
                <w:color w:val="auto"/>
                <w:sz w:val="24"/>
                <w:szCs w:val="28"/>
                <w:highlight w:val="none"/>
              </w:rPr>
              <w:t>☑</w:t>
            </w:r>
            <w:r>
              <w:rPr>
                <w:color w:val="auto"/>
                <w:sz w:val="24"/>
                <w:szCs w:val="28"/>
                <w:highlight w:val="none"/>
              </w:rPr>
              <w:t>转账/电汇</w:t>
            </w:r>
          </w:p>
          <w:p w14:paraId="1342B655">
            <w:pPr>
              <w:numPr>
                <w:ilvl w:val="0"/>
                <w:numId w:val="1"/>
              </w:numPr>
              <w:spacing w:line="360" w:lineRule="auto"/>
              <w:rPr>
                <w:rFonts w:hint="eastAsia" w:ascii="宋体" w:hAnsi="宋体" w:eastAsia="宋体" w:cs="Times New Roman"/>
                <w:b w:val="0"/>
                <w:bCs w:val="0"/>
                <w:color w:val="auto"/>
                <w:sz w:val="24"/>
                <w:szCs w:val="28"/>
                <w:highlight w:val="none"/>
                <w:lang w:val="en-US" w:eastAsia="zh-CN" w:bidi="ar-SA"/>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tc>
      </w:tr>
      <w:tr w14:paraId="5D9D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C3E495">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34</w:t>
            </w:r>
            <w:r>
              <w:rPr>
                <w:bCs/>
                <w:color w:val="auto"/>
                <w:kern w:val="2"/>
                <w:highlight w:val="none"/>
              </w:rPr>
              <w:t>.3</w:t>
            </w:r>
          </w:p>
        </w:tc>
        <w:tc>
          <w:tcPr>
            <w:tcW w:w="2031" w:type="dxa"/>
            <w:vAlign w:val="center"/>
          </w:tcPr>
          <w:p w14:paraId="7BA1EE9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1CD227AE">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775F2A4A">
            <w:pPr>
              <w:pStyle w:val="39"/>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7A269DA4">
            <w:pPr>
              <w:pStyle w:val="39"/>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68825007</w:t>
            </w:r>
          </w:p>
          <w:p w14:paraId="5B5C4702">
            <w:pPr>
              <w:pStyle w:val="39"/>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3217室</w:t>
            </w:r>
          </w:p>
        </w:tc>
      </w:tr>
      <w:tr w14:paraId="69A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ACFC4D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w:t>
            </w:r>
          </w:p>
        </w:tc>
        <w:tc>
          <w:tcPr>
            <w:tcW w:w="2031" w:type="dxa"/>
            <w:vAlign w:val="center"/>
          </w:tcPr>
          <w:p w14:paraId="1F3AE9F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6020" w:type="dxa"/>
            <w:vAlign w:val="center"/>
          </w:tcPr>
          <w:p w14:paraId="6AD427F4">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p>
        </w:tc>
      </w:tr>
      <w:tr w14:paraId="5595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085CE2A">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w:t>
            </w:r>
          </w:p>
        </w:tc>
        <w:tc>
          <w:tcPr>
            <w:tcW w:w="2031" w:type="dxa"/>
            <w:vAlign w:val="center"/>
          </w:tcPr>
          <w:p w14:paraId="6A485A8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6981455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55F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D8DFB5B">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2</w:t>
            </w:r>
          </w:p>
        </w:tc>
        <w:tc>
          <w:tcPr>
            <w:tcW w:w="2031" w:type="dxa"/>
            <w:vAlign w:val="center"/>
          </w:tcPr>
          <w:p w14:paraId="3E11C79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231DC3D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667E74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1674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A05C8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3</w:t>
            </w:r>
          </w:p>
        </w:tc>
        <w:tc>
          <w:tcPr>
            <w:tcW w:w="2031" w:type="dxa"/>
            <w:vAlign w:val="center"/>
          </w:tcPr>
          <w:p w14:paraId="0BC0AF4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505EDE7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25</w:t>
            </w:r>
            <w:r>
              <w:rPr>
                <w:b w:val="0"/>
                <w:color w:val="auto"/>
                <w:sz w:val="24"/>
                <w:highlight w:val="none"/>
              </w:rPr>
              <w:t>日历天</w:t>
            </w:r>
          </w:p>
          <w:p w14:paraId="0707D7FB">
            <w:pPr>
              <w:spacing w:line="360" w:lineRule="auto"/>
              <w:rPr>
                <w:rFonts w:hint="default"/>
                <w:b w:val="0"/>
                <w:color w:val="auto"/>
                <w:sz w:val="24"/>
                <w:highlight w:val="none"/>
                <w:lang w:val="en-US"/>
              </w:rPr>
            </w:pPr>
            <w:r>
              <w:rPr>
                <w:b w:val="0"/>
                <w:color w:val="auto"/>
                <w:sz w:val="24"/>
                <w:highlight w:val="none"/>
              </w:rPr>
              <w:t>计划开工日期</w:t>
            </w:r>
            <w:bookmarkStart w:id="20" w:name="EB2a2e1a22d449405a860670c095486ab8"/>
            <w:r>
              <w:rPr>
                <w:b w:val="0"/>
                <w:color w:val="auto"/>
                <w:sz w:val="24"/>
                <w:highlight w:val="none"/>
              </w:rPr>
              <w:t>：</w:t>
            </w:r>
            <w:r>
              <w:rPr>
                <w:rFonts w:hint="eastAsia"/>
                <w:b w:val="0"/>
                <w:color w:val="auto"/>
                <w:sz w:val="24"/>
                <w:highlight w:val="none"/>
              </w:rPr>
              <w:t>具体开工时间以开工令为准</w:t>
            </w:r>
            <w:bookmarkEnd w:id="20"/>
            <w:r>
              <w:rPr>
                <w:rFonts w:hint="default" w:cs="@仿宋_GB2312"/>
                <w:color w:val="auto"/>
                <w:kern w:val="2"/>
                <w:sz w:val="24"/>
                <w:szCs w:val="22"/>
                <w:highlight w:val="none"/>
                <w:lang w:val="en-US" w:eastAsia="zh-CN"/>
              </w:rPr>
              <w:t>。</w:t>
            </w:r>
          </w:p>
        </w:tc>
      </w:tr>
      <w:tr w14:paraId="129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B4B0C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4</w:t>
            </w:r>
          </w:p>
        </w:tc>
        <w:tc>
          <w:tcPr>
            <w:tcW w:w="2031" w:type="dxa"/>
            <w:vAlign w:val="center"/>
          </w:tcPr>
          <w:p w14:paraId="16C9CC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416D98E9">
            <w:pPr>
              <w:pStyle w:val="41"/>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6047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04FF9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5</w:t>
            </w:r>
          </w:p>
        </w:tc>
        <w:tc>
          <w:tcPr>
            <w:tcW w:w="2031" w:type="dxa"/>
            <w:vAlign w:val="center"/>
          </w:tcPr>
          <w:p w14:paraId="65E15C8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项目经理其他要求</w:t>
            </w:r>
          </w:p>
        </w:tc>
        <w:tc>
          <w:tcPr>
            <w:tcW w:w="6020" w:type="dxa"/>
            <w:vAlign w:val="center"/>
          </w:tcPr>
          <w:p w14:paraId="6F740DD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）项目经理不得同时担任两个及以上建设工程施工项目负责人，以下情形除外：</w:t>
            </w:r>
          </w:p>
          <w:p w14:paraId="2BBC8B4B">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799BB3D0">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②虽在其他项目上担任项目经理岗位，但本项目成交后能够从该项目撤离，全面履约。</w:t>
            </w:r>
          </w:p>
          <w:p w14:paraId="56B2ED4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）成交后若项目经理在其他项目上担任项目经理岗位，导致该项目经理无法进场履约的，</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可取消其成交资格。</w:t>
            </w:r>
          </w:p>
        </w:tc>
      </w:tr>
      <w:tr w14:paraId="7563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91DA1C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.6</w:t>
            </w:r>
          </w:p>
        </w:tc>
        <w:tc>
          <w:tcPr>
            <w:tcW w:w="2031" w:type="dxa"/>
            <w:vAlign w:val="center"/>
          </w:tcPr>
          <w:p w14:paraId="7C67948C">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4FDC5CB3">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5570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02575C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7</w:t>
            </w:r>
          </w:p>
        </w:tc>
        <w:tc>
          <w:tcPr>
            <w:tcW w:w="2031" w:type="dxa"/>
            <w:vAlign w:val="center"/>
          </w:tcPr>
          <w:p w14:paraId="71F77F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13AADE3D">
            <w:pPr>
              <w:pStyle w:val="39"/>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不得在成交后将工程转包给其它施工单位。</w:t>
            </w:r>
          </w:p>
          <w:p w14:paraId="096B7927">
            <w:pPr>
              <w:spacing w:line="360" w:lineRule="auto"/>
              <w:jc w:val="left"/>
              <w:rPr>
                <w:b/>
                <w:color w:val="auto"/>
                <w:sz w:val="24"/>
                <w:highlight w:val="none"/>
              </w:rPr>
            </w:pPr>
            <w:r>
              <w:rPr>
                <w:rFonts w:hint="eastAsia"/>
                <w:b/>
                <w:color w:val="auto"/>
                <w:sz w:val="24"/>
                <w:highlight w:val="none"/>
              </w:rPr>
              <w:t>分包情况</w:t>
            </w:r>
          </w:p>
          <w:p w14:paraId="218C08BC">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color w:val="auto"/>
                <w:sz w:val="24"/>
                <w:szCs w:val="18"/>
                <w:highlight w:val="none"/>
              </w:rPr>
              <w:t>业主</w:t>
            </w:r>
            <w:r>
              <w:rPr>
                <w:rFonts w:hint="eastAsia"/>
                <w:color w:val="auto"/>
                <w:sz w:val="24"/>
                <w:szCs w:val="18"/>
                <w:highlight w:val="none"/>
              </w:rPr>
              <w:t>单位</w:t>
            </w:r>
            <w:r>
              <w:rPr>
                <w:rFonts w:hint="eastAsia"/>
                <w:color w:val="auto"/>
                <w:sz w:val="24"/>
                <w:highlight w:val="none"/>
              </w:rPr>
              <w:t>及监理单位同意和认可</w:t>
            </w:r>
          </w:p>
          <w:p w14:paraId="6B6C9E74">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rPr>
              <w:t>☑不允许</w:t>
            </w:r>
          </w:p>
        </w:tc>
      </w:tr>
      <w:tr w14:paraId="02E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841C3C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8</w:t>
            </w:r>
          </w:p>
        </w:tc>
        <w:tc>
          <w:tcPr>
            <w:tcW w:w="2031" w:type="dxa"/>
            <w:vAlign w:val="center"/>
          </w:tcPr>
          <w:p w14:paraId="4B5E5C3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66E05497">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478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0DA25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9</w:t>
            </w:r>
          </w:p>
        </w:tc>
        <w:tc>
          <w:tcPr>
            <w:tcW w:w="2031" w:type="dxa"/>
            <w:vAlign w:val="center"/>
          </w:tcPr>
          <w:p w14:paraId="3A7AEEA4">
            <w:pPr>
              <w:pStyle w:val="39"/>
              <w:widowControl w:val="0"/>
              <w:spacing w:before="0" w:beforeAutospacing="0" w:after="0" w:afterAutospacing="0" w:line="360" w:lineRule="auto"/>
              <w:jc w:val="both"/>
              <w:rPr>
                <w:b w:val="0"/>
                <w:color w:val="auto"/>
                <w:sz w:val="24"/>
                <w:highlight w:val="none"/>
              </w:rPr>
            </w:pPr>
            <w:r>
              <w:rPr>
                <w:b w:val="0"/>
                <w:color w:val="auto"/>
                <w:sz w:val="24"/>
                <w:szCs w:val="18"/>
                <w:highlight w:val="none"/>
              </w:rPr>
              <w:t>业主</w:t>
            </w:r>
            <w:r>
              <w:rPr>
                <w:rFonts w:hint="eastAsia"/>
                <w:b w:val="0"/>
                <w:color w:val="auto"/>
                <w:sz w:val="24"/>
                <w:szCs w:val="18"/>
                <w:highlight w:val="none"/>
              </w:rPr>
              <w:t>单位</w:t>
            </w:r>
            <w:r>
              <w:rPr>
                <w:rFonts w:hint="eastAsia"/>
                <w:b w:val="0"/>
                <w:bCs w:val="0"/>
                <w:color w:val="auto"/>
                <w:sz w:val="24"/>
                <w:highlight w:val="none"/>
              </w:rPr>
              <w:t>提供的资料</w:t>
            </w:r>
          </w:p>
        </w:tc>
        <w:tc>
          <w:tcPr>
            <w:tcW w:w="6020" w:type="dxa"/>
            <w:vAlign w:val="center"/>
          </w:tcPr>
          <w:p w14:paraId="2F045876">
            <w:pPr>
              <w:adjustRightInd w:val="0"/>
              <w:snapToGrid w:val="0"/>
              <w:spacing w:line="360" w:lineRule="auto"/>
              <w:jc w:val="left"/>
              <w:rPr>
                <w:bCs/>
                <w:color w:val="auto"/>
                <w:sz w:val="24"/>
                <w:szCs w:val="28"/>
                <w:highlight w:val="none"/>
              </w:rPr>
            </w:pPr>
            <w:r>
              <w:rPr>
                <w:rFonts w:hint="eastAsia"/>
                <w:bCs/>
                <w:color w:val="auto"/>
                <w:sz w:val="24"/>
                <w:szCs w:val="28"/>
                <w:highlight w:val="none"/>
              </w:rPr>
              <w:t>☑</w:t>
            </w:r>
            <w:r>
              <w:rPr>
                <w:rFonts w:hint="eastAsia"/>
                <w:bCs/>
                <w:color w:val="auto"/>
                <w:sz w:val="24"/>
                <w:szCs w:val="28"/>
                <w:highlight w:val="none"/>
                <w:lang w:eastAsia="zh-CN"/>
              </w:rPr>
              <w:t>磋商</w:t>
            </w:r>
            <w:r>
              <w:rPr>
                <w:rFonts w:hint="eastAsia"/>
                <w:bCs/>
                <w:color w:val="auto"/>
                <w:sz w:val="24"/>
                <w:szCs w:val="28"/>
                <w:highlight w:val="none"/>
              </w:rPr>
              <w:t>文件</w:t>
            </w:r>
          </w:p>
          <w:p w14:paraId="30CD6C53">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4D571CF0">
            <w:pPr>
              <w:adjustRightInd w:val="0"/>
              <w:snapToGrid w:val="0"/>
              <w:spacing w:line="360" w:lineRule="auto"/>
              <w:jc w:val="left"/>
              <w:rPr>
                <w:bCs/>
                <w:color w:val="auto"/>
                <w:sz w:val="24"/>
                <w:szCs w:val="28"/>
                <w:highlight w:val="none"/>
              </w:rPr>
            </w:pPr>
            <w:r>
              <w:rPr>
                <w:rFonts w:hint="eastAsia"/>
                <w:bCs/>
                <w:color w:val="auto"/>
                <w:sz w:val="24"/>
                <w:szCs w:val="28"/>
                <w:highlight w:val="none"/>
              </w:rPr>
              <w:t>☑最高限价（控制价）</w:t>
            </w:r>
          </w:p>
          <w:p w14:paraId="48D1B4B0">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677F672A">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4755CC5B">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供应商</w:t>
            </w:r>
            <w:r>
              <w:rPr>
                <w:rFonts w:hint="eastAsia"/>
                <w:b/>
                <w:bCs/>
                <w:color w:val="auto"/>
                <w:sz w:val="24"/>
                <w:highlight w:val="none"/>
              </w:rPr>
              <w:t>在获取</w:t>
            </w:r>
            <w:r>
              <w:rPr>
                <w:rFonts w:hint="eastAsia"/>
                <w:b/>
                <w:bCs/>
                <w:color w:val="auto"/>
                <w:sz w:val="24"/>
                <w:highlight w:val="none"/>
                <w:lang w:eastAsia="zh-CN"/>
              </w:rPr>
              <w:t>磋商</w:t>
            </w:r>
            <w:r>
              <w:rPr>
                <w:rFonts w:hint="eastAsia"/>
                <w:b/>
                <w:bCs/>
                <w:color w:val="auto"/>
                <w:sz w:val="24"/>
                <w:highlight w:val="none"/>
              </w:rPr>
              <w:t>文件后，自行登陆系统下载本项目附件。</w:t>
            </w:r>
          </w:p>
        </w:tc>
      </w:tr>
      <w:tr w14:paraId="0654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317F4A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11</w:t>
            </w:r>
          </w:p>
        </w:tc>
        <w:tc>
          <w:tcPr>
            <w:tcW w:w="2031" w:type="dxa"/>
            <w:vAlign w:val="center"/>
          </w:tcPr>
          <w:p w14:paraId="2D8621C1">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3DAB08AC">
            <w:pPr>
              <w:adjustRightInd w:val="0"/>
              <w:spacing w:line="360" w:lineRule="auto"/>
              <w:rPr>
                <w:bCs/>
                <w:color w:val="auto"/>
                <w:sz w:val="24"/>
                <w:szCs w:val="28"/>
                <w:highlight w:val="none"/>
              </w:rPr>
            </w:pPr>
            <w:r>
              <w:rPr>
                <w:rFonts w:hint="eastAsia"/>
                <w:bCs/>
                <w:color w:val="auto"/>
                <w:sz w:val="24"/>
                <w:szCs w:val="28"/>
                <w:highlight w:val="none"/>
              </w:rPr>
              <w:t>（1）项目经理必须是</w:t>
            </w:r>
            <w:r>
              <w:rPr>
                <w:rFonts w:hint="eastAsia"/>
                <w:color w:val="auto"/>
                <w:sz w:val="24"/>
                <w:szCs w:val="18"/>
                <w:highlight w:val="none"/>
                <w:lang w:eastAsia="zh-CN"/>
              </w:rPr>
              <w:t>供应商</w:t>
            </w:r>
            <w:r>
              <w:rPr>
                <w:rFonts w:hint="eastAsia"/>
                <w:bCs/>
                <w:color w:val="auto"/>
                <w:sz w:val="24"/>
                <w:szCs w:val="28"/>
                <w:highlight w:val="none"/>
              </w:rPr>
              <w:t>本单位工作人员，提供虚假资料谋取成交将被依法处罚，记入不良行为记录，并予以曝光。</w:t>
            </w:r>
          </w:p>
          <w:p w14:paraId="333B1470">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466FE869">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供应商</w:t>
            </w:r>
            <w:r>
              <w:rPr>
                <w:rFonts w:hint="eastAsia"/>
                <w:bCs/>
                <w:color w:val="auto"/>
                <w:sz w:val="24"/>
                <w:szCs w:val="28"/>
                <w:highlight w:val="none"/>
              </w:rPr>
              <w:t>对所提交的</w:t>
            </w:r>
            <w:r>
              <w:rPr>
                <w:rFonts w:hint="eastAsia"/>
                <w:color w:val="auto"/>
                <w:sz w:val="24"/>
                <w:szCs w:val="18"/>
                <w:highlight w:val="none"/>
                <w:lang w:eastAsia="zh-CN"/>
              </w:rPr>
              <w:t>供应商</w:t>
            </w:r>
            <w:r>
              <w:rPr>
                <w:rFonts w:hint="eastAsia"/>
                <w:bCs/>
                <w:color w:val="auto"/>
                <w:sz w:val="24"/>
                <w:szCs w:val="28"/>
                <w:highlight w:val="none"/>
              </w:rPr>
              <w:t>或拟派项目经理业绩、</w:t>
            </w:r>
            <w:r>
              <w:rPr>
                <w:rFonts w:hint="eastAsia"/>
                <w:color w:val="auto"/>
                <w:sz w:val="24"/>
                <w:szCs w:val="18"/>
                <w:highlight w:val="none"/>
                <w:lang w:eastAsia="zh-CN"/>
              </w:rPr>
              <w:t>供应商</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7D8235A9">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rPr>
              <w:t>业主单位</w:t>
            </w:r>
            <w:r>
              <w:rPr>
                <w:rFonts w:hint="eastAsia"/>
                <w:bCs/>
                <w:color w:val="auto"/>
                <w:sz w:val="24"/>
                <w:szCs w:val="28"/>
                <w:highlight w:val="none"/>
              </w:rPr>
              <w:t>和成交人未履行下述义务的，将依法对</w:t>
            </w:r>
            <w:r>
              <w:rPr>
                <w:rFonts w:hint="eastAsia"/>
                <w:color w:val="auto"/>
                <w:sz w:val="24"/>
                <w:szCs w:val="18"/>
                <w:highlight w:val="none"/>
              </w:rPr>
              <w:t>业主单位</w:t>
            </w:r>
            <w:r>
              <w:rPr>
                <w:rFonts w:hint="eastAsia"/>
                <w:bCs/>
                <w:color w:val="auto"/>
                <w:sz w:val="24"/>
                <w:szCs w:val="28"/>
                <w:highlight w:val="none"/>
              </w:rPr>
              <w:t>和成交人进行处理，追究相关责任：</w:t>
            </w:r>
          </w:p>
          <w:p w14:paraId="47929617">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磋商</w:t>
            </w:r>
            <w:r>
              <w:rPr>
                <w:rFonts w:hint="eastAsia"/>
                <w:bCs/>
                <w:color w:val="auto"/>
                <w:sz w:val="24"/>
                <w:szCs w:val="28"/>
                <w:highlight w:val="none"/>
              </w:rPr>
              <w:t xml:space="preserve">文件载明在规定期限内成交人应领取《成交通知书》，若成交人未在规定期限内领取《成交通知书》， </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2864607D">
            <w:pPr>
              <w:adjustRightInd w:val="0"/>
              <w:spacing w:line="360" w:lineRule="auto"/>
              <w:jc w:val="left"/>
              <w:rPr>
                <w:bCs/>
                <w:color w:val="auto"/>
                <w:sz w:val="24"/>
                <w:szCs w:val="28"/>
                <w:highlight w:val="none"/>
              </w:rPr>
            </w:pPr>
            <w:r>
              <w:rPr>
                <w:rFonts w:hint="eastAsia"/>
                <w:bCs/>
                <w:color w:val="auto"/>
                <w:sz w:val="24"/>
                <w:szCs w:val="28"/>
                <w:highlight w:val="none"/>
              </w:rPr>
              <w:t>②成交人应在规定期限内提交履约担保并与</w:t>
            </w:r>
            <w:r>
              <w:rPr>
                <w:rFonts w:hint="eastAsia"/>
                <w:color w:val="auto"/>
                <w:sz w:val="24"/>
                <w:szCs w:val="18"/>
                <w:highlight w:val="none"/>
              </w:rPr>
              <w:t>业主单位</w:t>
            </w:r>
            <w:r>
              <w:rPr>
                <w:rFonts w:hint="eastAsia"/>
                <w:bCs/>
                <w:color w:val="auto"/>
                <w:sz w:val="24"/>
                <w:szCs w:val="28"/>
                <w:highlight w:val="none"/>
              </w:rPr>
              <w:t>签订合同，若成交人未能在规定期限内提交履约担保或签订合同，</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7E8569D3">
            <w:pPr>
              <w:adjustRightInd w:val="0"/>
              <w:spacing w:line="360" w:lineRule="auto"/>
              <w:jc w:val="left"/>
              <w:rPr>
                <w:bCs/>
                <w:color w:val="auto"/>
                <w:sz w:val="24"/>
                <w:szCs w:val="28"/>
                <w:highlight w:val="none"/>
              </w:rPr>
            </w:pPr>
            <w:r>
              <w:rPr>
                <w:rFonts w:hint="eastAsia"/>
                <w:bCs/>
                <w:color w:val="auto"/>
                <w:sz w:val="24"/>
                <w:szCs w:val="28"/>
                <w:highlight w:val="none"/>
              </w:rPr>
              <w:t>③合同签订后，成交人存在规定时间内不组织人员进场开工、不履行供货安装义务等情况，</w:t>
            </w:r>
            <w:r>
              <w:rPr>
                <w:rFonts w:hint="eastAsia"/>
                <w:color w:val="auto"/>
                <w:sz w:val="24"/>
                <w:szCs w:val="18"/>
                <w:highlight w:val="none"/>
              </w:rPr>
              <w:t>业主单位</w:t>
            </w:r>
            <w:r>
              <w:rPr>
                <w:rFonts w:hint="eastAsia"/>
                <w:bCs/>
                <w:color w:val="auto"/>
                <w:sz w:val="24"/>
                <w:szCs w:val="28"/>
                <w:highlight w:val="none"/>
              </w:rPr>
              <w:t>有权解除合同，并追究违约责任，同时将相关违约行为报送监管部门，记不良行为记录，实施信用惩戒；</w:t>
            </w:r>
          </w:p>
          <w:p w14:paraId="3E1CE449">
            <w:pPr>
              <w:adjustRightInd w:val="0"/>
              <w:spacing w:line="360" w:lineRule="auto"/>
              <w:jc w:val="left"/>
              <w:rPr>
                <w:bCs/>
                <w:color w:val="auto"/>
                <w:sz w:val="24"/>
                <w:szCs w:val="28"/>
                <w:highlight w:val="none"/>
              </w:rPr>
            </w:pPr>
            <w:r>
              <w:rPr>
                <w:rFonts w:hint="eastAsia"/>
                <w:bCs/>
                <w:color w:val="auto"/>
                <w:sz w:val="24"/>
                <w:szCs w:val="28"/>
                <w:highlight w:val="none"/>
              </w:rPr>
              <w:t>④成交人在成交后被监管部门查实存在违法行为，不满足</w:t>
            </w:r>
            <w:r>
              <w:rPr>
                <w:rFonts w:hint="eastAsia"/>
                <w:bCs/>
                <w:color w:val="auto"/>
                <w:sz w:val="24"/>
                <w:szCs w:val="28"/>
                <w:highlight w:val="none"/>
                <w:lang w:eastAsia="zh-CN"/>
              </w:rPr>
              <w:t>磋商</w:t>
            </w:r>
            <w:r>
              <w:rPr>
                <w:rFonts w:hint="eastAsia"/>
                <w:bCs/>
                <w:color w:val="auto"/>
                <w:sz w:val="24"/>
                <w:szCs w:val="28"/>
                <w:highlight w:val="none"/>
              </w:rPr>
              <w:t>条件的，由</w:t>
            </w:r>
            <w:r>
              <w:rPr>
                <w:rFonts w:hint="eastAsia"/>
                <w:color w:val="auto"/>
                <w:sz w:val="24"/>
                <w:szCs w:val="18"/>
                <w:highlight w:val="none"/>
              </w:rPr>
              <w:t>业主单位</w:t>
            </w:r>
            <w:r>
              <w:rPr>
                <w:rFonts w:hint="eastAsia"/>
                <w:bCs/>
                <w:color w:val="auto"/>
                <w:sz w:val="24"/>
                <w:szCs w:val="28"/>
                <w:highlight w:val="none"/>
              </w:rPr>
              <w:t>取消其资格，并做好项目后续工作；</w:t>
            </w:r>
          </w:p>
          <w:p w14:paraId="3E8F8D3C">
            <w:pPr>
              <w:adjustRightInd w:val="0"/>
              <w:spacing w:line="360" w:lineRule="auto"/>
              <w:jc w:val="left"/>
              <w:rPr>
                <w:rFonts w:hint="eastAsia" w:eastAsia="宋体"/>
                <w:lang w:eastAsia="zh-CN"/>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rPr>
              <w:t>业主单位</w:t>
            </w:r>
            <w:r>
              <w:rPr>
                <w:rFonts w:hint="eastAsia"/>
                <w:bCs/>
                <w:color w:val="auto"/>
                <w:sz w:val="24"/>
                <w:szCs w:val="28"/>
                <w:highlight w:val="none"/>
              </w:rPr>
              <w:t>可以解除合同，并追究其违约责任。</w:t>
            </w:r>
          </w:p>
        </w:tc>
      </w:tr>
      <w:tr w14:paraId="3247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DDADD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12</w:t>
            </w:r>
          </w:p>
        </w:tc>
        <w:tc>
          <w:tcPr>
            <w:tcW w:w="2031" w:type="dxa"/>
            <w:vAlign w:val="center"/>
          </w:tcPr>
          <w:p w14:paraId="38E60AC1">
            <w:pPr>
              <w:pStyle w:val="42"/>
              <w:spacing w:line="360" w:lineRule="auto"/>
              <w:jc w:val="left"/>
              <w:rPr>
                <w:color w:val="auto"/>
                <w:sz w:val="24"/>
                <w:highlight w:val="none"/>
              </w:rPr>
            </w:pPr>
            <w:r>
              <w:rPr>
                <w:color w:val="auto"/>
                <w:sz w:val="24"/>
                <w:highlight w:val="none"/>
              </w:rPr>
              <w:t>同义词语</w:t>
            </w:r>
          </w:p>
        </w:tc>
        <w:tc>
          <w:tcPr>
            <w:tcW w:w="6020" w:type="dxa"/>
            <w:vAlign w:val="center"/>
          </w:tcPr>
          <w:p w14:paraId="3B993FB9">
            <w:pPr>
              <w:pStyle w:val="42"/>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磋商</w:t>
            </w:r>
            <w:r>
              <w:rPr>
                <w:color w:val="auto"/>
                <w:spacing w:val="-1"/>
                <w:sz w:val="24"/>
                <w:highlight w:val="none"/>
              </w:rPr>
              <w:t xml:space="preserve">文件组成部分的“通用合同条款”、“专用合同条款”、“技术标准和要求”和“工程量清单”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eastAsia="zh-CN"/>
              </w:rPr>
              <w:t>磋商</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szCs w:val="18"/>
                <w:highlight w:val="none"/>
                <w:lang w:val="en-US" w:eastAsia="zh-CN"/>
              </w:rPr>
              <w:t>成交人</w:t>
            </w:r>
            <w:r>
              <w:rPr>
                <w:color w:val="auto"/>
                <w:sz w:val="24"/>
                <w:highlight w:val="none"/>
              </w:rPr>
              <w:t>”。</w:t>
            </w:r>
          </w:p>
        </w:tc>
      </w:tr>
      <w:tr w14:paraId="7EA0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C3CC917">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.13</w:t>
            </w:r>
          </w:p>
        </w:tc>
        <w:tc>
          <w:tcPr>
            <w:tcW w:w="2031" w:type="dxa"/>
            <w:vAlign w:val="center"/>
          </w:tcPr>
          <w:p w14:paraId="0BFC424D">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2B50F2B0">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03AC93F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磋商</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2ED172A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3068C5C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5819D52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szCs w:val="18"/>
                <w:highlight w:val="none"/>
                <w:lang w:eastAsia="zh-CN"/>
              </w:rPr>
              <w:t>供应商</w:t>
            </w:r>
            <w:r>
              <w:rPr>
                <w:b w:val="0"/>
                <w:color w:val="auto"/>
                <w:sz w:val="24"/>
                <w:highlight w:val="none"/>
              </w:rPr>
              <w:t>委托的第三方人力资源服务机构或与</w:t>
            </w:r>
            <w:r>
              <w:rPr>
                <w:rFonts w:hint="eastAsia"/>
                <w:b w:val="0"/>
                <w:color w:val="auto"/>
                <w:sz w:val="24"/>
                <w:szCs w:val="18"/>
                <w:highlight w:val="none"/>
                <w:lang w:eastAsia="zh-CN"/>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确认。</w:t>
            </w:r>
          </w:p>
          <w:p w14:paraId="0AB3A18B">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磋商</w:t>
            </w:r>
            <w:r>
              <w:rPr>
                <w:b w:val="0"/>
                <w:color w:val="auto"/>
                <w:sz w:val="24"/>
                <w:highlight w:val="none"/>
              </w:rPr>
              <w:t>的院校，社保证明可以用以下任意一种：</w:t>
            </w:r>
          </w:p>
          <w:p w14:paraId="2B10EE6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szCs w:val="18"/>
                <w:highlight w:val="none"/>
                <w:lang w:eastAsia="zh-CN"/>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1ED677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4A7A2AF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认可的证明材料。</w:t>
            </w:r>
          </w:p>
          <w:p w14:paraId="560A4E8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2C78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5CE22D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35.1</w:t>
            </w:r>
            <w:r>
              <w:rPr>
                <w:rFonts w:hint="eastAsia"/>
                <w:bCs/>
                <w:color w:val="auto"/>
                <w:kern w:val="2"/>
                <w:highlight w:val="none"/>
              </w:rPr>
              <w:t>4</w:t>
            </w:r>
          </w:p>
        </w:tc>
        <w:tc>
          <w:tcPr>
            <w:tcW w:w="2031" w:type="dxa"/>
            <w:vAlign w:val="center"/>
          </w:tcPr>
          <w:p w14:paraId="1BDE1804">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0358711B">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磋商</w:t>
            </w:r>
            <w:r>
              <w:rPr>
                <w:bCs/>
                <w:color w:val="auto"/>
                <w:sz w:val="24"/>
                <w:szCs w:val="24"/>
                <w:highlight w:val="none"/>
              </w:rPr>
              <w:t>文件的各个组成文件应互为解释，互为说明；</w:t>
            </w:r>
          </w:p>
          <w:p w14:paraId="4641C983">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6EB39EFC">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1750F599">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磋商</w:t>
            </w:r>
            <w:r>
              <w:rPr>
                <w:bCs/>
                <w:color w:val="auto"/>
                <w:sz w:val="24"/>
                <w:szCs w:val="24"/>
                <w:highlight w:val="none"/>
              </w:rPr>
              <w:t>文件中有特别规定外，仅适用于</w:t>
            </w:r>
            <w:r>
              <w:rPr>
                <w:rFonts w:hint="eastAsia"/>
                <w:bCs/>
                <w:color w:val="auto"/>
                <w:sz w:val="24"/>
                <w:szCs w:val="24"/>
                <w:highlight w:val="none"/>
                <w:lang w:eastAsia="zh-CN"/>
              </w:rPr>
              <w:t>磋商</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磋商</w:t>
            </w:r>
            <w:r>
              <w:rPr>
                <w:bCs/>
                <w:color w:val="auto"/>
                <w:sz w:val="24"/>
                <w:szCs w:val="24"/>
                <w:highlight w:val="none"/>
              </w:rPr>
              <w:t>公告、</w:t>
            </w:r>
            <w:r>
              <w:rPr>
                <w:rFonts w:hint="eastAsia"/>
                <w:bCs/>
                <w:color w:val="auto"/>
                <w:sz w:val="24"/>
                <w:szCs w:val="24"/>
                <w:highlight w:val="none"/>
                <w:lang w:eastAsia="zh-CN"/>
              </w:rPr>
              <w:t>磋商</w:t>
            </w:r>
            <w:r>
              <w:rPr>
                <w:rFonts w:hint="eastAsia"/>
                <w:bCs/>
                <w:color w:val="auto"/>
                <w:sz w:val="24"/>
                <w:szCs w:val="24"/>
                <w:highlight w:val="none"/>
              </w:rPr>
              <w:t>邀请、</w:t>
            </w:r>
            <w:r>
              <w:rPr>
                <w:rFonts w:hint="eastAsia"/>
                <w:color w:val="auto"/>
                <w:sz w:val="24"/>
                <w:szCs w:val="18"/>
                <w:highlight w:val="none"/>
                <w:lang w:eastAsia="zh-CN"/>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55EABE1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71F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F9D45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5</w:t>
            </w:r>
          </w:p>
        </w:tc>
        <w:tc>
          <w:tcPr>
            <w:tcW w:w="2031" w:type="dxa"/>
            <w:vAlign w:val="center"/>
          </w:tcPr>
          <w:p w14:paraId="7653DC97">
            <w:pPr>
              <w:pStyle w:val="39"/>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06F42D80">
            <w:pPr>
              <w:pStyle w:val="39"/>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2BDB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8A623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6</w:t>
            </w:r>
          </w:p>
        </w:tc>
        <w:tc>
          <w:tcPr>
            <w:tcW w:w="2031" w:type="dxa"/>
            <w:vAlign w:val="center"/>
          </w:tcPr>
          <w:p w14:paraId="5BB11CD4">
            <w:pPr>
              <w:pStyle w:val="42"/>
              <w:spacing w:line="360" w:lineRule="auto"/>
              <w:jc w:val="center"/>
              <w:rPr>
                <w:color w:val="auto"/>
                <w:sz w:val="24"/>
                <w:highlight w:val="none"/>
              </w:rPr>
            </w:pPr>
            <w:r>
              <w:rPr>
                <w:rFonts w:hint="eastAsia"/>
                <w:color w:val="auto"/>
                <w:sz w:val="24"/>
                <w:szCs w:val="24"/>
                <w:highlight w:val="none"/>
              </w:rPr>
              <w:t>相关政策要求</w:t>
            </w:r>
          </w:p>
        </w:tc>
        <w:tc>
          <w:tcPr>
            <w:tcW w:w="6020" w:type="dxa"/>
          </w:tcPr>
          <w:p w14:paraId="4A8EDD9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w:t>
            </w:r>
            <w:r>
              <w:rPr>
                <w:rFonts w:hint="eastAsia"/>
                <w:bCs/>
                <w:color w:val="auto"/>
                <w:sz w:val="24"/>
                <w:szCs w:val="24"/>
                <w:highlight w:val="none"/>
              </w:rPr>
              <w:t>承包人在工程实施过程中的用工行为，必须严格按照《保障农民工工资支付条例》（国令第724号）《工程建设领域农民工工资专用账户管理暂行办法》（人社部发〔2021〕53号）及安徽省、合肥市等文件精神的有关规定，依法与招用的农民工签订劳动合同，并按规定及时足额支付工资。承包人必须按照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05A3EBC7">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2）</w:t>
            </w:r>
            <w:r>
              <w:rPr>
                <w:rFonts w:hint="eastAsia"/>
                <w:bCs/>
                <w:color w:val="auto"/>
                <w:sz w:val="24"/>
                <w:szCs w:val="24"/>
                <w:highlight w:val="none"/>
              </w:rPr>
              <w:t>建设工程不可竞争费构成及计费标准按《关于贯彻执行版安徽省建设工程计价依据动态调整（第1期）&gt;的通知》（合建监管〔2024〕13号）执行，本工程最高投标限价（招标控制价）已按规定的措施项目、费率和单价列出招标工程施工扬尘污染防治费用和建筑10.3相关政策要求工人实名制管理费用清单，投标人应承诺投标报价中已包含招标文件公布的施工扬尘污染防治费用和建筑工人实名制管理费用。工程竣工结算时，未落实的施工扬尘污染防治和建筑工人实名制管理措施项目，应按清单所列金额从工程结算价款中扣除。</w:t>
            </w:r>
          </w:p>
          <w:p w14:paraId="5BFF8E66">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3）</w:t>
            </w:r>
            <w:r>
              <w:rPr>
                <w:rFonts w:hint="eastAsia"/>
                <w:bCs/>
                <w:color w:val="auto"/>
                <w:sz w:val="24"/>
                <w:szCs w:val="24"/>
                <w:highlight w:val="none"/>
              </w:rPr>
              <w:t>注册地不在合肥市行政区域范围（含四县一市）的中标人，应按照《纳税人跨县（市、区）提供建筑服务增值税征收管理暂行办法》（国家税务总局公告2016年第17号）规定，在建筑服务发生地及时足额预缴增值税。</w:t>
            </w:r>
          </w:p>
          <w:p w14:paraId="67326524">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4）</w:t>
            </w:r>
            <w:r>
              <w:rPr>
                <w:rFonts w:hint="eastAsia"/>
                <w:bCs/>
                <w:color w:val="auto"/>
                <w:sz w:val="24"/>
                <w:szCs w:val="24"/>
                <w:highlight w:val="none"/>
              </w:rPr>
              <w:t>省外建设工程企业按照《关于优化进皖建设工程企业信息登记服务和管理有关工作的通知》（建市规〔2025〕4号）进行相关信息登记。</w:t>
            </w:r>
          </w:p>
          <w:p w14:paraId="2F85A0E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5）</w:t>
            </w:r>
            <w:r>
              <w:rPr>
                <w:rFonts w:hint="eastAsia"/>
                <w:bCs/>
                <w:color w:val="auto"/>
                <w:sz w:val="24"/>
                <w:szCs w:val="24"/>
                <w:highlight w:val="none"/>
              </w:rPr>
              <w:t>工程质量保证金执行《关于以保函等方式替代工程质量保证金的通知》（合建〔2020〕29号）。</w:t>
            </w:r>
          </w:p>
          <w:p w14:paraId="726A36B1">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6）</w:t>
            </w:r>
            <w:r>
              <w:rPr>
                <w:rFonts w:hint="eastAsia"/>
                <w:bCs/>
                <w:color w:val="auto"/>
                <w:sz w:val="24"/>
                <w:szCs w:val="24"/>
                <w:highlight w:val="none"/>
              </w:rPr>
              <w:t>农民工工资保证金保函严格执行转发《关于印发〈安徽省工程建设领域农民工工资保证金实施办法〉的通知》的通知（合治欠办〔2022〕5号），支持以银行保函、保险机构保单保函方式存储。</w:t>
            </w:r>
          </w:p>
          <w:p w14:paraId="022492D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7）</w:t>
            </w:r>
            <w:r>
              <w:rPr>
                <w:rFonts w:hint="eastAsia"/>
                <w:bCs/>
                <w:color w:val="auto"/>
                <w:sz w:val="24"/>
                <w:szCs w:val="24"/>
                <w:highlight w:val="none"/>
              </w:rPr>
              <w:t>劳资专管员执行《关于加强建设领域劳资专管员管理工作的通知》（合治欠发〔2021〕6号）。</w:t>
            </w:r>
          </w:p>
          <w:p w14:paraId="031A9942">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8）</w:t>
            </w:r>
            <w:r>
              <w:rPr>
                <w:rFonts w:hint="eastAsia"/>
                <w:bCs/>
                <w:color w:val="auto"/>
                <w:sz w:val="24"/>
                <w:szCs w:val="24"/>
                <w:highlight w:val="none"/>
              </w:rPr>
              <w:t>关于投标保证金、履约保证金、工程质量保证金执行《关于加快推进房屋建筑和市政基础设施工程实行工程担保制度的通知》（建市〔2020〕84号）。</w:t>
            </w:r>
          </w:p>
          <w:p w14:paraId="3CE4BB8B">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9）</w:t>
            </w:r>
            <w:r>
              <w:rPr>
                <w:rFonts w:hint="eastAsia"/>
                <w:bCs/>
                <w:color w:val="auto"/>
                <w:sz w:val="24"/>
                <w:szCs w:val="24"/>
                <w:highlight w:val="none"/>
              </w:rPr>
              <w:t>保证保险产品应按《中国银保监会办公厅关于进一步加强和改进财产保险公司产品监管有关问题的通知》执行。</w:t>
            </w:r>
          </w:p>
          <w:p w14:paraId="2C127033">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10）</w:t>
            </w:r>
            <w:r>
              <w:rPr>
                <w:rFonts w:hint="eastAsia"/>
                <w:bCs/>
                <w:color w:val="auto"/>
                <w:sz w:val="24"/>
                <w:szCs w:val="24"/>
                <w:highlight w:val="none"/>
              </w:rPr>
              <w:t>采用一级建造师投标的应按《住房和城乡建设部办公厅关于全面实行一级建造师电子注册证书的通知》（建办市〔2021〕40号）执行。</w:t>
            </w:r>
          </w:p>
          <w:p w14:paraId="704B69B8">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11）</w:t>
            </w:r>
            <w:r>
              <w:rPr>
                <w:rFonts w:hint="eastAsia"/>
                <w:bCs/>
                <w:color w:val="auto"/>
                <w:sz w:val="24"/>
                <w:szCs w:val="24"/>
                <w:highlight w:val="none"/>
              </w:rPr>
              <w:t>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103462A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12）</w:t>
            </w:r>
            <w:r>
              <w:rPr>
                <w:rFonts w:hint="eastAsia"/>
                <w:bCs/>
                <w:color w:val="auto"/>
                <w:sz w:val="24"/>
                <w:szCs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w:t>
            </w:r>
          </w:p>
          <w:p w14:paraId="06C4FEF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13）</w:t>
            </w:r>
            <w:r>
              <w:rPr>
                <w:rFonts w:hint="eastAsia"/>
                <w:bCs/>
                <w:color w:val="auto"/>
                <w:sz w:val="24"/>
                <w:szCs w:val="24"/>
                <w:highlight w:val="none"/>
              </w:rPr>
              <w:t>投标保证金、履约保证金、预付款担保、质量保证金缴纳执行安徽合肥公共资源交易中心发布的《关于全面推行投标保证金、履约保证金、预付款担保、质量保证金电子保函的通知》。</w:t>
            </w:r>
          </w:p>
          <w:p w14:paraId="26FA8619">
            <w:pPr>
              <w:spacing w:line="360" w:lineRule="auto"/>
              <w:rPr>
                <w:bCs/>
                <w:color w:val="auto"/>
                <w:sz w:val="24"/>
                <w:szCs w:val="24"/>
                <w:highlight w:val="none"/>
              </w:rPr>
            </w:pPr>
            <w:r>
              <w:rPr>
                <w:rFonts w:hint="eastAsia"/>
                <w:bCs/>
                <w:color w:val="auto"/>
                <w:sz w:val="24"/>
                <w:szCs w:val="24"/>
                <w:highlight w:val="none"/>
              </w:rPr>
              <w:t>注：①未列明的按照国家、省、市相关政策执行。</w:t>
            </w:r>
          </w:p>
          <w:p w14:paraId="507ED9A4">
            <w:pPr>
              <w:spacing w:line="360" w:lineRule="auto"/>
              <w:rPr>
                <w:bCs/>
                <w:color w:val="auto"/>
                <w:sz w:val="24"/>
                <w:szCs w:val="24"/>
                <w:highlight w:val="none"/>
              </w:rPr>
            </w:pPr>
            <w:r>
              <w:rPr>
                <w:rFonts w:hint="eastAsia"/>
                <w:bCs/>
                <w:color w:val="auto"/>
                <w:sz w:val="24"/>
                <w:szCs w:val="24"/>
                <w:highlight w:val="none"/>
              </w:rPr>
              <w:t>②如有相关政策文件更新，按照最新政策文件执行。</w:t>
            </w:r>
          </w:p>
        </w:tc>
      </w:tr>
      <w:tr w14:paraId="331C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94D113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35.17</w:t>
            </w:r>
          </w:p>
        </w:tc>
        <w:tc>
          <w:tcPr>
            <w:tcW w:w="2031" w:type="dxa"/>
            <w:vAlign w:val="center"/>
          </w:tcPr>
          <w:p w14:paraId="61EAD712">
            <w:pPr>
              <w:pStyle w:val="39"/>
              <w:widowControl w:val="0"/>
              <w:spacing w:before="0" w:beforeAutospacing="0" w:after="0" w:afterAutospacing="0" w:line="360" w:lineRule="auto"/>
              <w:jc w:val="both"/>
              <w:rPr>
                <w:bCs w:val="0"/>
                <w:color w:val="auto"/>
                <w:sz w:val="24"/>
                <w:highlight w:val="none"/>
              </w:rPr>
            </w:pPr>
            <w:r>
              <w:rPr>
                <w:rFonts w:hint="eastAsia"/>
                <w:b w:val="0"/>
                <w:color w:val="auto"/>
                <w:sz w:val="24"/>
                <w:szCs w:val="18"/>
                <w:highlight w:val="none"/>
              </w:rPr>
              <w:t>业主单位</w:t>
            </w:r>
            <w:r>
              <w:rPr>
                <w:rFonts w:hint="eastAsia" w:cs="宋体"/>
                <w:b w:val="0"/>
                <w:color w:val="auto"/>
                <w:sz w:val="24"/>
                <w:szCs w:val="24"/>
                <w:highlight w:val="none"/>
              </w:rPr>
              <w:t>其他要求及重要提示</w:t>
            </w:r>
          </w:p>
        </w:tc>
        <w:tc>
          <w:tcPr>
            <w:tcW w:w="6020" w:type="dxa"/>
            <w:vAlign w:val="center"/>
          </w:tcPr>
          <w:p w14:paraId="312158E0">
            <w:pPr>
              <w:pStyle w:val="42"/>
              <w:tabs>
                <w:tab w:val="left" w:pos="829"/>
              </w:tabs>
              <w:spacing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付款方式：本项目竣工验收合格后付至已完工工程量对应合同额的80%；在完成工程结算审定后付至最终结算价款的100%。</w:t>
            </w:r>
          </w:p>
        </w:tc>
      </w:tr>
    </w:tbl>
    <w:p w14:paraId="4C4721D9">
      <w:pPr>
        <w:spacing w:line="360" w:lineRule="auto"/>
        <w:jc w:val="center"/>
        <w:outlineLvl w:val="1"/>
        <w:rPr>
          <w:b/>
          <w:color w:val="auto"/>
          <w:sz w:val="24"/>
          <w:szCs w:val="24"/>
          <w:highlight w:val="none"/>
        </w:rPr>
      </w:pPr>
      <w:r>
        <w:rPr>
          <w:b/>
          <w:color w:val="auto"/>
          <w:sz w:val="28"/>
          <w:highlight w:val="none"/>
        </w:rPr>
        <w:br w:type="page"/>
      </w:r>
      <w:bookmarkStart w:id="21" w:name="_Toc9679"/>
      <w:bookmarkStart w:id="22" w:name="_Toc845"/>
      <w:r>
        <w:rPr>
          <w:rFonts w:hint="eastAsia"/>
          <w:b/>
          <w:color w:val="auto"/>
          <w:sz w:val="24"/>
          <w:szCs w:val="24"/>
          <w:highlight w:val="none"/>
        </w:rPr>
        <w:t>二、</w:t>
      </w:r>
      <w:r>
        <w:rPr>
          <w:rFonts w:hint="eastAsia"/>
          <w:b/>
          <w:color w:val="auto"/>
          <w:sz w:val="24"/>
          <w:szCs w:val="24"/>
          <w:highlight w:val="none"/>
          <w:lang w:eastAsia="zh-CN"/>
        </w:rPr>
        <w:t>供应商</w:t>
      </w:r>
      <w:r>
        <w:rPr>
          <w:b/>
          <w:color w:val="auto"/>
          <w:sz w:val="24"/>
          <w:szCs w:val="24"/>
          <w:highlight w:val="none"/>
        </w:rPr>
        <w:t>须知</w:t>
      </w:r>
      <w:r>
        <w:rPr>
          <w:rFonts w:hint="eastAsia"/>
          <w:b/>
          <w:color w:val="auto"/>
          <w:sz w:val="24"/>
          <w:szCs w:val="24"/>
          <w:highlight w:val="none"/>
        </w:rPr>
        <w:t>正文</w:t>
      </w:r>
      <w:bookmarkEnd w:id="21"/>
      <w:bookmarkEnd w:id="22"/>
    </w:p>
    <w:p w14:paraId="20C602C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3D2C2253">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磋商</w:t>
      </w:r>
      <w:r>
        <w:rPr>
          <w:rFonts w:hint="eastAsia"/>
          <w:color w:val="auto"/>
          <w:sz w:val="24"/>
          <w:highlight w:val="none"/>
        </w:rPr>
        <w:t>文件仅适用于本次</w:t>
      </w:r>
      <w:r>
        <w:rPr>
          <w:rFonts w:hint="eastAsia"/>
          <w:color w:val="auto"/>
          <w:sz w:val="24"/>
          <w:highlight w:val="none"/>
          <w:lang w:eastAsia="zh-CN"/>
        </w:rPr>
        <w:t>磋商</w:t>
      </w:r>
      <w:r>
        <w:rPr>
          <w:rFonts w:hint="eastAsia"/>
          <w:color w:val="auto"/>
          <w:sz w:val="24"/>
          <w:highlight w:val="none"/>
        </w:rPr>
        <w:t>所述的工程项目。</w:t>
      </w:r>
    </w:p>
    <w:p w14:paraId="6842090E">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18843216">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3E7013CC">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eastAsia="zh-CN"/>
        </w:rPr>
        <w:t>磋商</w:t>
      </w:r>
      <w:r>
        <w:rPr>
          <w:color w:val="auto"/>
          <w:sz w:val="24"/>
          <w:highlight w:val="none"/>
        </w:rPr>
        <w:t>之日向前追溯X年/月（“X”为“一”及以后整数）起算。</w:t>
      </w:r>
    </w:p>
    <w:p w14:paraId="31AB84FB">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磋商</w:t>
      </w:r>
      <w:r>
        <w:rPr>
          <w:rFonts w:hint="eastAsia"/>
          <w:color w:val="auto"/>
          <w:sz w:val="24"/>
          <w:highlight w:val="none"/>
        </w:rPr>
        <w:t>文件规定且已交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供应商</w:t>
      </w:r>
      <w:r>
        <w:rPr>
          <w:color w:val="auto"/>
          <w:sz w:val="24"/>
          <w:highlight w:val="none"/>
        </w:rPr>
        <w:t>与其关联公司（如母公司、控股公司、分公司、子公司、同一法定代表人的公司等）之间签订的合同，均不予认可。</w:t>
      </w:r>
    </w:p>
    <w:p w14:paraId="4CBD6A56">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rPr>
        <w:t>业主单位</w:t>
      </w:r>
      <w:r>
        <w:rPr>
          <w:rFonts w:hint="eastAsia"/>
          <w:b/>
          <w:color w:val="auto"/>
          <w:sz w:val="24"/>
          <w:highlight w:val="none"/>
        </w:rPr>
        <w:t>、代理机构及</w:t>
      </w:r>
      <w:r>
        <w:rPr>
          <w:rFonts w:hint="eastAsia"/>
          <w:b/>
          <w:color w:val="auto"/>
          <w:sz w:val="24"/>
          <w:szCs w:val="18"/>
          <w:highlight w:val="none"/>
          <w:lang w:eastAsia="zh-CN"/>
        </w:rPr>
        <w:t>供应商</w:t>
      </w:r>
    </w:p>
    <w:p w14:paraId="0FEA43D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rPr>
        <w:t>业主单位</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活动的法人或者其他组织。本项目的</w:t>
      </w:r>
      <w:r>
        <w:rPr>
          <w:rFonts w:hint="eastAsia"/>
          <w:color w:val="auto"/>
          <w:sz w:val="24"/>
          <w:szCs w:val="18"/>
          <w:highlight w:val="none"/>
        </w:rPr>
        <w:t>业主单位</w:t>
      </w:r>
      <w:r>
        <w:rPr>
          <w:rFonts w:hint="eastAsia" w:cs="宋体"/>
          <w:color w:val="auto"/>
          <w:sz w:val="24"/>
          <w:szCs w:val="24"/>
          <w:highlight w:val="none"/>
          <w:lang w:bidi="ar"/>
        </w:rPr>
        <w:t>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45C5F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3ACAFA2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供应商</w:t>
      </w:r>
      <w:r>
        <w:rPr>
          <w:rFonts w:hint="eastAsia" w:cs="宋体"/>
          <w:color w:val="auto"/>
          <w:sz w:val="24"/>
          <w:szCs w:val="24"/>
          <w:highlight w:val="none"/>
          <w:lang w:bidi="ar"/>
        </w:rPr>
        <w:t>：是指向</w:t>
      </w:r>
      <w:r>
        <w:rPr>
          <w:rFonts w:hint="eastAsia"/>
          <w:color w:val="auto"/>
          <w:sz w:val="24"/>
          <w:szCs w:val="18"/>
          <w:highlight w:val="none"/>
        </w:rPr>
        <w:t>业主单位</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供应商</w:t>
      </w:r>
      <w:r>
        <w:rPr>
          <w:rFonts w:hint="eastAsia" w:cs="宋体"/>
          <w:color w:val="auto"/>
          <w:sz w:val="24"/>
          <w:szCs w:val="24"/>
          <w:highlight w:val="none"/>
          <w:lang w:bidi="ar"/>
        </w:rPr>
        <w:t xml:space="preserve">须满足以下条件： </w:t>
      </w:r>
    </w:p>
    <w:p w14:paraId="46A68EF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0A9AED9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p>
    <w:p w14:paraId="4CF3480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供应商</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，对联合体规定如下：</w:t>
      </w:r>
    </w:p>
    <w:p w14:paraId="76EFA35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供应商</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磋商</w:t>
      </w:r>
      <w:r>
        <w:rPr>
          <w:rFonts w:hint="eastAsia" w:cs="宋体"/>
          <w:color w:val="auto"/>
          <w:sz w:val="24"/>
          <w:szCs w:val="24"/>
          <w:highlight w:val="none"/>
          <w:lang w:bidi="ar"/>
        </w:rPr>
        <w:t>联合体，以一个</w:t>
      </w:r>
      <w:r>
        <w:rPr>
          <w:rFonts w:hint="eastAsia"/>
          <w:color w:val="auto"/>
          <w:sz w:val="24"/>
          <w:szCs w:val="18"/>
          <w:highlight w:val="none"/>
          <w:lang w:eastAsia="zh-CN"/>
        </w:rPr>
        <w:t>供应商</w:t>
      </w:r>
      <w:r>
        <w:rPr>
          <w:rFonts w:hint="eastAsia" w:cs="宋体"/>
          <w:color w:val="auto"/>
          <w:sz w:val="24"/>
          <w:szCs w:val="24"/>
          <w:highlight w:val="none"/>
          <w:lang w:bidi="ar"/>
        </w:rPr>
        <w:t>的身份</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7E232D2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rPr>
        <w:t>业主单位</w:t>
      </w:r>
      <w:r>
        <w:rPr>
          <w:rFonts w:hint="eastAsia" w:cs="宋体"/>
          <w:color w:val="auto"/>
          <w:sz w:val="24"/>
          <w:szCs w:val="24"/>
          <w:highlight w:val="none"/>
          <w:lang w:bidi="ar"/>
        </w:rPr>
        <w:t>根据本项目对</w:t>
      </w:r>
      <w:r>
        <w:rPr>
          <w:rFonts w:hint="eastAsia"/>
          <w:color w:val="auto"/>
          <w:sz w:val="24"/>
          <w:szCs w:val="18"/>
          <w:highlight w:val="none"/>
          <w:lang w:eastAsia="zh-CN"/>
        </w:rPr>
        <w:t>供应商</w:t>
      </w:r>
      <w:r>
        <w:rPr>
          <w:rFonts w:hint="eastAsia" w:cs="宋体"/>
          <w:color w:val="auto"/>
          <w:sz w:val="24"/>
          <w:szCs w:val="24"/>
          <w:highlight w:val="none"/>
          <w:lang w:bidi="ar"/>
        </w:rPr>
        <w:t>的特殊要求，联合体中至少应当有一方符合相关规定。</w:t>
      </w:r>
    </w:p>
    <w:p w14:paraId="32E553C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联合体各方应签订联合体协议，明确约定联合体各方承担的工作和相应的责任，并将联合体协议作为响应文件的一部分提交。</w:t>
      </w:r>
    </w:p>
    <w:p w14:paraId="40BDEC4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供应商</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供应商</w:t>
      </w:r>
      <w:r>
        <w:rPr>
          <w:rFonts w:hint="eastAsia" w:cs="宋体"/>
          <w:color w:val="auto"/>
          <w:sz w:val="24"/>
          <w:szCs w:val="24"/>
          <w:highlight w:val="none"/>
          <w:lang w:bidi="ar"/>
        </w:rPr>
        <w:t>确定资质等级。</w:t>
      </w:r>
    </w:p>
    <w:p w14:paraId="11359C9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供应商</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磋商</w:t>
      </w:r>
      <w:r>
        <w:rPr>
          <w:rFonts w:hint="eastAsia" w:cs="宋体"/>
          <w:color w:val="auto"/>
          <w:sz w:val="24"/>
          <w:szCs w:val="24"/>
          <w:highlight w:val="none"/>
          <w:lang w:bidi="ar"/>
        </w:rPr>
        <w:t>，否则相关响应文件将被认定为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71F0135A">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的其他资格要求见</w:t>
      </w:r>
      <w:r>
        <w:rPr>
          <w:rFonts w:hint="eastAsia"/>
          <w:color w:val="auto"/>
          <w:sz w:val="24"/>
          <w:szCs w:val="18"/>
          <w:highlight w:val="none"/>
          <w:lang w:eastAsia="zh-CN"/>
        </w:rPr>
        <w:t>供应商</w:t>
      </w:r>
      <w:r>
        <w:rPr>
          <w:rFonts w:hint="eastAsia" w:cs="宋体"/>
          <w:color w:val="auto"/>
          <w:sz w:val="24"/>
          <w:szCs w:val="24"/>
          <w:highlight w:val="none"/>
          <w:lang w:bidi="ar"/>
        </w:rPr>
        <w:t>资格。</w:t>
      </w:r>
    </w:p>
    <w:p w14:paraId="2906733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供应商</w:t>
      </w:r>
      <w:r>
        <w:rPr>
          <w:rFonts w:hint="eastAsia" w:cs="宋体"/>
          <w:color w:val="auto"/>
          <w:sz w:val="24"/>
          <w:szCs w:val="24"/>
          <w:highlight w:val="none"/>
          <w:lang w:bidi="ar"/>
        </w:rPr>
        <w:t>，不得参加同一合同项下的代理活动。否则其相关响应文件将被认定为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6AF2AB81">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37D4C10B">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rPr>
        <w:t>业主单位</w:t>
      </w:r>
      <w:r>
        <w:rPr>
          <w:rFonts w:hint="eastAsia" w:cs="宋体"/>
          <w:color w:val="auto"/>
          <w:sz w:val="24"/>
          <w:szCs w:val="24"/>
          <w:highlight w:val="none"/>
          <w:lang w:bidi="ar"/>
        </w:rPr>
        <w:t>已获得足以支付本次</w:t>
      </w:r>
      <w:r>
        <w:rPr>
          <w:rFonts w:hint="eastAsia" w:cs="宋体"/>
          <w:color w:val="auto"/>
          <w:sz w:val="24"/>
          <w:szCs w:val="24"/>
          <w:highlight w:val="none"/>
          <w:lang w:eastAsia="zh-CN" w:bidi="ar"/>
        </w:rPr>
        <w:t>磋商</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4DC248BD">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eastAsia="zh-CN" w:bidi="ar"/>
        </w:rPr>
        <w:t>磋商</w:t>
      </w:r>
      <w:r>
        <w:rPr>
          <w:rFonts w:hint="eastAsia" w:cs="宋体"/>
          <w:color w:val="auto"/>
          <w:sz w:val="24"/>
          <w:szCs w:val="24"/>
          <w:highlight w:val="none"/>
          <w:lang w:bidi="ar"/>
        </w:rPr>
        <w:t>公告。</w:t>
      </w:r>
    </w:p>
    <w:p w14:paraId="2925D1DE">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费用</w:t>
      </w:r>
    </w:p>
    <w:p w14:paraId="2EA6FA02">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磋商</w:t>
      </w:r>
      <w:r>
        <w:rPr>
          <w:rFonts w:hint="eastAsia"/>
          <w:color w:val="auto"/>
          <w:sz w:val="24"/>
          <w:highlight w:val="none"/>
        </w:rPr>
        <w:t>的结果如何，</w:t>
      </w:r>
      <w:r>
        <w:rPr>
          <w:rFonts w:hint="eastAsia"/>
          <w:color w:val="auto"/>
          <w:sz w:val="24"/>
          <w:szCs w:val="18"/>
          <w:highlight w:val="none"/>
          <w:lang w:eastAsia="zh-CN"/>
        </w:rPr>
        <w:t>供应商</w:t>
      </w:r>
      <w:r>
        <w:rPr>
          <w:rFonts w:hint="eastAsia"/>
          <w:color w:val="auto"/>
          <w:sz w:val="24"/>
          <w:highlight w:val="none"/>
        </w:rPr>
        <w:t>应承担其所有与准备和参加</w:t>
      </w:r>
      <w:r>
        <w:rPr>
          <w:rFonts w:hint="eastAsia"/>
          <w:color w:val="auto"/>
          <w:sz w:val="24"/>
          <w:highlight w:val="none"/>
          <w:lang w:eastAsia="zh-CN"/>
        </w:rPr>
        <w:t>磋商</w:t>
      </w:r>
      <w:r>
        <w:rPr>
          <w:rFonts w:hint="eastAsia"/>
          <w:color w:val="auto"/>
          <w:sz w:val="24"/>
          <w:highlight w:val="none"/>
        </w:rPr>
        <w:t>有关的费用。</w:t>
      </w:r>
    </w:p>
    <w:p w14:paraId="3A6F6507">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75AFE008">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rPr>
        <w:t>业主单位</w:t>
      </w:r>
      <w:r>
        <w:rPr>
          <w:rFonts w:hint="eastAsia" w:cs="宋体"/>
          <w:color w:val="auto"/>
          <w:sz w:val="24"/>
          <w:szCs w:val="24"/>
          <w:highlight w:val="none"/>
          <w:lang w:bidi="ar"/>
        </w:rPr>
        <w:t>、代理机构、</w:t>
      </w:r>
      <w:r>
        <w:rPr>
          <w:rFonts w:hint="eastAsia"/>
          <w:color w:val="auto"/>
          <w:sz w:val="24"/>
          <w:szCs w:val="18"/>
          <w:highlight w:val="none"/>
          <w:lang w:eastAsia="zh-CN"/>
        </w:rPr>
        <w:t>供应商</w:t>
      </w:r>
      <w:r>
        <w:rPr>
          <w:rFonts w:hint="eastAsia" w:cs="宋体"/>
          <w:color w:val="auto"/>
          <w:sz w:val="24"/>
          <w:szCs w:val="24"/>
          <w:highlight w:val="none"/>
          <w:lang w:bidi="ar"/>
        </w:rPr>
        <w:t>、</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1912903F">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文件构成</w:t>
      </w:r>
    </w:p>
    <w:p w14:paraId="4F06E9EF">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磋商</w:t>
      </w:r>
      <w:r>
        <w:rPr>
          <w:rFonts w:hint="eastAsia"/>
          <w:color w:val="auto"/>
          <w:sz w:val="24"/>
          <w:highlight w:val="none"/>
        </w:rPr>
        <w:t>文件包括下列内容：</w:t>
      </w:r>
    </w:p>
    <w:p w14:paraId="588B40E5">
      <w:pPr>
        <w:spacing w:line="360" w:lineRule="auto"/>
        <w:ind w:firstLine="840" w:firstLineChars="350"/>
        <w:rPr>
          <w:color w:val="auto"/>
          <w:sz w:val="24"/>
          <w:highlight w:val="none"/>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磋商</w:t>
      </w:r>
      <w:r>
        <w:rPr>
          <w:rFonts w:hint="eastAsia"/>
          <w:color w:val="auto"/>
          <w:sz w:val="24"/>
          <w:highlight w:val="none"/>
        </w:rPr>
        <w:t>邀请</w:t>
      </w:r>
    </w:p>
    <w:p w14:paraId="3240E964">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供应商</w:t>
      </w:r>
      <w:r>
        <w:rPr>
          <w:color w:val="auto"/>
          <w:sz w:val="24"/>
          <w:highlight w:val="none"/>
        </w:rPr>
        <w:t>须知</w:t>
      </w:r>
    </w:p>
    <w:p w14:paraId="3C9F1C4C">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2A623A49">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44622EAD">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21A4C1E5">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rPr>
        <w:t>响应</w:t>
      </w:r>
      <w:r>
        <w:rPr>
          <w:color w:val="auto"/>
          <w:sz w:val="24"/>
          <w:highlight w:val="none"/>
        </w:rPr>
        <w:t>文件格式</w:t>
      </w:r>
    </w:p>
    <w:p w14:paraId="5D749E5C">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磋商</w:t>
      </w:r>
      <w:r>
        <w:rPr>
          <w:color w:val="auto"/>
          <w:sz w:val="24"/>
          <w:highlight w:val="none"/>
        </w:rPr>
        <w:t>文件中有不一致的，有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25CFBBDE">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6A5688BA">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供应商</w:t>
      </w:r>
      <w:r>
        <w:rPr>
          <w:color w:val="auto"/>
          <w:sz w:val="24"/>
          <w:highlight w:val="none"/>
        </w:rPr>
        <w:t>应认真阅读</w:t>
      </w:r>
      <w:r>
        <w:rPr>
          <w:rFonts w:hint="eastAsia"/>
          <w:color w:val="auto"/>
          <w:sz w:val="24"/>
          <w:highlight w:val="none"/>
          <w:lang w:eastAsia="zh-CN"/>
        </w:rPr>
        <w:t>磋商</w:t>
      </w:r>
      <w:r>
        <w:rPr>
          <w:color w:val="auto"/>
          <w:sz w:val="24"/>
          <w:highlight w:val="none"/>
        </w:rPr>
        <w:t>文件所有的事项、格式、条款和技术规范等。</w:t>
      </w:r>
    </w:p>
    <w:p w14:paraId="6C630DB0">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文件的澄清与修改</w:t>
      </w:r>
    </w:p>
    <w:p w14:paraId="5F9F5962">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供应商</w:t>
      </w:r>
      <w:r>
        <w:rPr>
          <w:color w:val="auto"/>
          <w:sz w:val="24"/>
          <w:highlight w:val="none"/>
        </w:rPr>
        <w:t>如对</w:t>
      </w:r>
      <w:r>
        <w:rPr>
          <w:rFonts w:hint="eastAsia"/>
          <w:color w:val="auto"/>
          <w:sz w:val="24"/>
          <w:highlight w:val="none"/>
          <w:lang w:eastAsia="zh-CN"/>
        </w:rPr>
        <w:t>磋商</w:t>
      </w:r>
      <w:r>
        <w:rPr>
          <w:color w:val="auto"/>
          <w:sz w:val="24"/>
          <w:highlight w:val="none"/>
        </w:rPr>
        <w:t>文件内容有疑问，必须在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0518070B">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rPr>
        <w:t>业主单位</w:t>
      </w:r>
      <w:r>
        <w:rPr>
          <w:rFonts w:hint="eastAsia"/>
          <w:color w:val="auto"/>
          <w:sz w:val="24"/>
          <w:highlight w:val="none"/>
        </w:rPr>
        <w:t>可主动或在解答</w:t>
      </w:r>
      <w:r>
        <w:rPr>
          <w:rFonts w:hint="eastAsia"/>
          <w:color w:val="auto"/>
          <w:sz w:val="24"/>
          <w:szCs w:val="18"/>
          <w:highlight w:val="none"/>
          <w:lang w:eastAsia="zh-CN"/>
        </w:rPr>
        <w:t>供应商</w:t>
      </w:r>
      <w:r>
        <w:rPr>
          <w:rFonts w:hint="eastAsia"/>
          <w:color w:val="auto"/>
          <w:sz w:val="24"/>
          <w:highlight w:val="none"/>
        </w:rPr>
        <w:t>提出的问题时对</w:t>
      </w:r>
      <w:r>
        <w:rPr>
          <w:rFonts w:hint="eastAsia"/>
          <w:color w:val="auto"/>
          <w:sz w:val="24"/>
          <w:highlight w:val="none"/>
          <w:lang w:eastAsia="zh-CN"/>
        </w:rPr>
        <w:t>磋商</w:t>
      </w:r>
      <w:r>
        <w:rPr>
          <w:rFonts w:hint="eastAsia"/>
          <w:color w:val="auto"/>
          <w:sz w:val="24"/>
          <w:highlight w:val="none"/>
        </w:rPr>
        <w:t>文件进行澄清或者修改。代理机构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磋商</w:t>
      </w:r>
      <w:r>
        <w:rPr>
          <w:rFonts w:hint="eastAsia"/>
          <w:color w:val="auto"/>
          <w:sz w:val="24"/>
          <w:highlight w:val="none"/>
        </w:rPr>
        <w:t>文件，更正公告的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供应商</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供应商</w:t>
      </w:r>
      <w:r>
        <w:rPr>
          <w:rFonts w:hint="eastAsia"/>
          <w:color w:val="auto"/>
          <w:sz w:val="24"/>
          <w:highlight w:val="none"/>
        </w:rPr>
        <w:t>应主动上网查询。代理机构不承担</w:t>
      </w:r>
      <w:r>
        <w:rPr>
          <w:rFonts w:hint="eastAsia"/>
          <w:color w:val="auto"/>
          <w:sz w:val="24"/>
          <w:szCs w:val="18"/>
          <w:highlight w:val="none"/>
          <w:lang w:eastAsia="zh-CN"/>
        </w:rPr>
        <w:t>供应商</w:t>
      </w:r>
      <w:r>
        <w:rPr>
          <w:rFonts w:hint="eastAsia"/>
          <w:color w:val="auto"/>
          <w:sz w:val="24"/>
          <w:highlight w:val="none"/>
        </w:rPr>
        <w:t>未及时关注相关信息引发的相关责任。</w:t>
      </w:r>
    </w:p>
    <w:p w14:paraId="0D7B0915">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eastAsia="zh-CN"/>
        </w:rPr>
        <w:t>供应商</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磋商</w:t>
      </w:r>
      <w:r>
        <w:rPr>
          <w:rFonts w:hint="eastAsia"/>
          <w:color w:val="auto"/>
          <w:sz w:val="24"/>
          <w:highlight w:val="none"/>
        </w:rPr>
        <w:t>文件的组成部分。代理机构对</w:t>
      </w:r>
      <w:r>
        <w:rPr>
          <w:rFonts w:hint="eastAsia"/>
          <w:color w:val="auto"/>
          <w:sz w:val="24"/>
          <w:szCs w:val="18"/>
          <w:highlight w:val="none"/>
          <w:lang w:eastAsia="zh-CN"/>
        </w:rPr>
        <w:t>供应商</w:t>
      </w:r>
      <w:r>
        <w:rPr>
          <w:rFonts w:hint="eastAsia"/>
          <w:color w:val="auto"/>
          <w:sz w:val="24"/>
          <w:highlight w:val="none"/>
        </w:rPr>
        <w:t>由此而做出的推论、理解和结论概不负责。</w:t>
      </w:r>
    </w:p>
    <w:p w14:paraId="00C4F207">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磋商</w:t>
      </w:r>
      <w:r>
        <w:rPr>
          <w:color w:val="auto"/>
          <w:sz w:val="24"/>
          <w:highlight w:val="none"/>
        </w:rPr>
        <w:t>文件（含</w:t>
      </w:r>
      <w:r>
        <w:rPr>
          <w:rFonts w:hint="eastAsia"/>
          <w:color w:val="auto"/>
          <w:sz w:val="24"/>
          <w:highlight w:val="none"/>
        </w:rPr>
        <w:t>更正公告的</w:t>
      </w:r>
      <w:r>
        <w:rPr>
          <w:color w:val="auto"/>
          <w:sz w:val="24"/>
          <w:highlight w:val="none"/>
        </w:rPr>
        <w:t>内容）</w:t>
      </w:r>
      <w:r>
        <w:rPr>
          <w:rFonts w:hint="eastAsia"/>
          <w:color w:val="auto"/>
          <w:sz w:val="24"/>
          <w:highlight w:val="none"/>
        </w:rPr>
        <w:t>。</w:t>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p>
    <w:p w14:paraId="5E2DAC35">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范围及响应文件</w:t>
      </w:r>
      <w:r>
        <w:rPr>
          <w:rFonts w:hint="eastAsia"/>
          <w:b/>
          <w:color w:val="auto"/>
          <w:sz w:val="24"/>
          <w:highlight w:val="none"/>
          <w:lang w:eastAsia="zh-CN"/>
        </w:rPr>
        <w:t>成交</w:t>
      </w:r>
      <w:r>
        <w:rPr>
          <w:rFonts w:hint="eastAsia"/>
          <w:b/>
          <w:color w:val="auto"/>
          <w:sz w:val="24"/>
          <w:highlight w:val="none"/>
        </w:rPr>
        <w:t>准和计量单位的使用</w:t>
      </w:r>
    </w:p>
    <w:p w14:paraId="472C4D56">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供应商</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个分包</w:t>
      </w:r>
      <w:r>
        <w:rPr>
          <w:rFonts w:hint="eastAsia"/>
          <w:color w:val="auto"/>
          <w:sz w:val="24"/>
          <w:highlight w:val="none"/>
        </w:rPr>
        <w:t>的</w:t>
      </w:r>
      <w:r>
        <w:rPr>
          <w:rFonts w:hint="eastAsia"/>
          <w:color w:val="auto"/>
          <w:sz w:val="24"/>
          <w:highlight w:val="none"/>
          <w:lang w:eastAsia="zh-CN"/>
        </w:rPr>
        <w:t>磋商</w:t>
      </w:r>
      <w:r>
        <w:rPr>
          <w:color w:val="auto"/>
          <w:sz w:val="24"/>
          <w:highlight w:val="none"/>
        </w:rPr>
        <w:t>，</w:t>
      </w:r>
      <w:r>
        <w:rPr>
          <w:rFonts w:hint="eastAsia"/>
          <w:color w:val="auto"/>
          <w:sz w:val="24"/>
          <w:highlight w:val="none"/>
        </w:rPr>
        <w:t>成交包数详见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w:t>
      </w:r>
    </w:p>
    <w:p w14:paraId="423F3D83">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磋商</w:t>
      </w:r>
      <w:r>
        <w:rPr>
          <w:color w:val="auto"/>
          <w:sz w:val="24"/>
          <w:highlight w:val="none"/>
        </w:rPr>
        <w:t>文件中是否要求，</w:t>
      </w:r>
      <w:r>
        <w:rPr>
          <w:rFonts w:hint="eastAsia"/>
          <w:color w:val="auto"/>
          <w:sz w:val="24"/>
          <w:szCs w:val="18"/>
          <w:highlight w:val="none"/>
          <w:lang w:eastAsia="zh-CN"/>
        </w:rPr>
        <w:t>供应商</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10DF25DC">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供应商</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eastAsia="zh-CN"/>
        </w:rPr>
        <w:t>磋商</w:t>
      </w:r>
      <w:r>
        <w:rPr>
          <w:color w:val="auto"/>
          <w:sz w:val="24"/>
          <w:highlight w:val="none"/>
        </w:rPr>
        <w:t>有关的所有往来通知、函件和响应文件均用中文表述。</w:t>
      </w:r>
      <w:r>
        <w:rPr>
          <w:rFonts w:hint="eastAsia"/>
          <w:color w:val="auto"/>
          <w:sz w:val="24"/>
          <w:szCs w:val="18"/>
          <w:highlight w:val="none"/>
          <w:lang w:eastAsia="zh-CN"/>
        </w:rPr>
        <w:t>供应商</w:t>
      </w:r>
      <w:r>
        <w:rPr>
          <w:color w:val="auto"/>
          <w:sz w:val="24"/>
          <w:highlight w:val="none"/>
        </w:rPr>
        <w:t>随响应文件提供的证明文件和资料可以为其它语言，但必须附中文译文。翻译的中文资料与外文资料如果出现差异时，以中文为准。</w:t>
      </w:r>
    </w:p>
    <w:p w14:paraId="33E57819">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磋商</w:t>
      </w:r>
      <w:r>
        <w:rPr>
          <w:color w:val="auto"/>
          <w:sz w:val="24"/>
          <w:highlight w:val="none"/>
        </w:rPr>
        <w:t>文件中有特殊要求外，响应文件中所使用的计量单位，应采用中华人民共和国法定计量单位。</w:t>
      </w:r>
    </w:p>
    <w:p w14:paraId="50AA9F8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rPr>
        <w:t>响应文件构成</w:t>
      </w:r>
    </w:p>
    <w:p w14:paraId="2C4ADD22">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供应商</w:t>
      </w:r>
      <w:r>
        <w:rPr>
          <w:color w:val="auto"/>
          <w:sz w:val="24"/>
          <w:highlight w:val="none"/>
        </w:rPr>
        <w:t>应完整地按</w:t>
      </w:r>
      <w:r>
        <w:rPr>
          <w:rFonts w:hint="eastAsia"/>
          <w:color w:val="auto"/>
          <w:sz w:val="24"/>
          <w:highlight w:val="none"/>
          <w:lang w:eastAsia="zh-CN"/>
        </w:rPr>
        <w:t>磋商</w:t>
      </w:r>
      <w:r>
        <w:rPr>
          <w:color w:val="auto"/>
          <w:sz w:val="24"/>
          <w:highlight w:val="none"/>
        </w:rPr>
        <w:t>文件提供的响应文件格式及要求编写响应文件，具体内容详见第六章响应文件格式的相关内容。</w:t>
      </w:r>
    </w:p>
    <w:p w14:paraId="0BC7BB78">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磋商</w:t>
      </w:r>
      <w:r>
        <w:rPr>
          <w:color w:val="auto"/>
          <w:sz w:val="24"/>
          <w:highlight w:val="none"/>
        </w:rPr>
        <w:t>文件规定的格式填写、签署和盖章。</w:t>
      </w:r>
    </w:p>
    <w:p w14:paraId="13D21279">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磋商</w:t>
      </w:r>
      <w:r>
        <w:rPr>
          <w:rFonts w:hint="eastAsia"/>
          <w:b/>
          <w:color w:val="auto"/>
          <w:sz w:val="24"/>
          <w:highlight w:val="none"/>
        </w:rPr>
        <w:t>文件规定的技术文件</w:t>
      </w:r>
    </w:p>
    <w:p w14:paraId="1DD34ABC">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highlight w:val="none"/>
          <w:lang w:eastAsia="zh-CN"/>
        </w:rPr>
        <w:t>磋商</w:t>
      </w:r>
      <w:r>
        <w:rPr>
          <w:rFonts w:hint="eastAsia"/>
          <w:color w:val="auto"/>
          <w:sz w:val="24"/>
          <w:highlight w:val="none"/>
        </w:rPr>
        <w:t>文件要求的证明文件，证明其响应内容符合</w:t>
      </w:r>
      <w:r>
        <w:rPr>
          <w:rFonts w:hint="eastAsia"/>
          <w:color w:val="auto"/>
          <w:sz w:val="24"/>
          <w:highlight w:val="none"/>
          <w:lang w:eastAsia="zh-CN"/>
        </w:rPr>
        <w:t>磋商</w:t>
      </w:r>
      <w:r>
        <w:rPr>
          <w:rFonts w:hint="eastAsia"/>
          <w:color w:val="auto"/>
          <w:sz w:val="24"/>
          <w:highlight w:val="none"/>
        </w:rPr>
        <w:t>文件规定。该证明文件是响应文件的一部分</w:t>
      </w:r>
      <w:r>
        <w:rPr>
          <w:color w:val="auto"/>
          <w:sz w:val="24"/>
          <w:highlight w:val="none"/>
        </w:rPr>
        <w:t>。</w:t>
      </w:r>
    </w:p>
    <w:p w14:paraId="0F5B3B1F">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23" w:name="_Hlk11703583"/>
      <w:r>
        <w:rPr>
          <w:rFonts w:hint="eastAsia"/>
          <w:color w:val="auto"/>
          <w:sz w:val="24"/>
          <w:highlight w:val="none"/>
        </w:rPr>
        <w:t>。</w:t>
      </w:r>
    </w:p>
    <w:bookmarkEnd w:id="23"/>
    <w:p w14:paraId="70DAF922">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磋商</w:t>
      </w:r>
      <w:r>
        <w:rPr>
          <w:rFonts w:hint="eastAsia"/>
          <w:color w:val="auto"/>
          <w:sz w:val="24"/>
          <w:highlight w:val="none"/>
        </w:rPr>
        <w:t>文件相关部分的文字、图标的复制。</w:t>
      </w:r>
    </w:p>
    <w:p w14:paraId="1575238B">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磋商</w:t>
      </w:r>
      <w:r>
        <w:rPr>
          <w:color w:val="auto"/>
          <w:sz w:val="24"/>
          <w:highlight w:val="none"/>
        </w:rPr>
        <w:t>文件另有规定或说明，</w:t>
      </w:r>
      <w:r>
        <w:rPr>
          <w:rFonts w:hint="eastAsia"/>
          <w:color w:val="auto"/>
          <w:sz w:val="24"/>
          <w:szCs w:val="18"/>
          <w:highlight w:val="none"/>
          <w:lang w:eastAsia="zh-CN"/>
        </w:rPr>
        <w:t>供应商</w:t>
      </w:r>
      <w:r>
        <w:rPr>
          <w:color w:val="auto"/>
          <w:sz w:val="24"/>
          <w:highlight w:val="none"/>
        </w:rPr>
        <w:t>对同一项目</w:t>
      </w:r>
      <w:r>
        <w:rPr>
          <w:rFonts w:hint="eastAsia"/>
          <w:color w:val="auto"/>
          <w:sz w:val="24"/>
          <w:highlight w:val="none"/>
          <w:lang w:eastAsia="zh-CN"/>
        </w:rPr>
        <w:t>磋商</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磋商</w:t>
      </w:r>
      <w:r>
        <w:rPr>
          <w:color w:val="auto"/>
          <w:sz w:val="24"/>
          <w:highlight w:val="none"/>
        </w:rPr>
        <w:t>方案。</w:t>
      </w:r>
    </w:p>
    <w:p w14:paraId="02D2C2FC">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128D0A62">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供应商</w:t>
      </w:r>
      <w:r>
        <w:rPr>
          <w:color w:val="auto"/>
          <w:sz w:val="24"/>
          <w:highlight w:val="none"/>
        </w:rPr>
        <w:t>的报价应当包括满足本次</w:t>
      </w:r>
      <w:r>
        <w:rPr>
          <w:rFonts w:hint="eastAsia"/>
          <w:color w:val="auto"/>
          <w:sz w:val="24"/>
          <w:highlight w:val="none"/>
          <w:lang w:eastAsia="zh-CN"/>
        </w:rPr>
        <w:t>磋商</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供应商</w:t>
      </w:r>
      <w:r>
        <w:rPr>
          <w:rFonts w:hint="eastAsia"/>
          <w:color w:val="auto"/>
          <w:sz w:val="24"/>
          <w:highlight w:val="none"/>
        </w:rPr>
        <w:t>的</w:t>
      </w:r>
      <w:r>
        <w:rPr>
          <w:rFonts w:hint="eastAsia"/>
          <w:color w:val="auto"/>
          <w:sz w:val="24"/>
          <w:highlight w:val="none"/>
          <w:lang w:eastAsia="zh-CN"/>
        </w:rPr>
        <w:t>磋商</w:t>
      </w:r>
      <w:r>
        <w:rPr>
          <w:rFonts w:hint="eastAsia"/>
          <w:color w:val="auto"/>
          <w:sz w:val="24"/>
          <w:highlight w:val="none"/>
        </w:rPr>
        <w:t>报价应遵守《中华人民共和国价格法》。</w:t>
      </w:r>
    </w:p>
    <w:p w14:paraId="377FF7C4">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供应商</w:t>
      </w:r>
      <w:r>
        <w:rPr>
          <w:rFonts w:hint="eastAsia"/>
          <w:color w:val="auto"/>
          <w:sz w:val="24"/>
          <w:highlight w:val="none"/>
        </w:rPr>
        <w:t>应在分项报价表上标明</w:t>
      </w:r>
      <w:r>
        <w:rPr>
          <w:rFonts w:hint="eastAsia"/>
          <w:color w:val="auto"/>
          <w:sz w:val="24"/>
          <w:highlight w:val="none"/>
          <w:lang w:eastAsia="zh-CN"/>
        </w:rPr>
        <w:t>磋商</w:t>
      </w:r>
      <w:r>
        <w:rPr>
          <w:rFonts w:hint="eastAsia"/>
          <w:color w:val="auto"/>
          <w:sz w:val="24"/>
          <w:highlight w:val="none"/>
        </w:rPr>
        <w:t>工程的单价（如适用）和总价，未标明的视同包含在</w:t>
      </w:r>
      <w:r>
        <w:rPr>
          <w:rFonts w:hint="eastAsia"/>
          <w:color w:val="auto"/>
          <w:sz w:val="24"/>
          <w:highlight w:val="none"/>
          <w:lang w:eastAsia="zh-CN"/>
        </w:rPr>
        <w:t>磋商</w:t>
      </w:r>
      <w:r>
        <w:rPr>
          <w:rFonts w:hint="eastAsia"/>
          <w:color w:val="auto"/>
          <w:sz w:val="24"/>
          <w:highlight w:val="none"/>
        </w:rPr>
        <w:t>报价中。</w:t>
      </w:r>
    </w:p>
    <w:p w14:paraId="59E4FDD7">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磋商</w:t>
      </w:r>
      <w:r>
        <w:rPr>
          <w:color w:val="auto"/>
          <w:sz w:val="24"/>
          <w:highlight w:val="none"/>
        </w:rPr>
        <w:t>文件（公告）列明的项目预算</w:t>
      </w:r>
      <w:r>
        <w:rPr>
          <w:rFonts w:hint="eastAsia"/>
          <w:color w:val="auto"/>
          <w:sz w:val="24"/>
          <w:highlight w:val="none"/>
        </w:rPr>
        <w:t>、最高限价（控制价）</w:t>
      </w:r>
      <w:r>
        <w:rPr>
          <w:color w:val="auto"/>
          <w:sz w:val="24"/>
          <w:highlight w:val="none"/>
        </w:rPr>
        <w:t>，否则其响应文件将被认定为</w:t>
      </w:r>
      <w:r>
        <w:rPr>
          <w:b/>
          <w:color w:val="auto"/>
          <w:sz w:val="24"/>
          <w:highlight w:val="none"/>
        </w:rPr>
        <w:t>响应无效</w:t>
      </w:r>
      <w:r>
        <w:rPr>
          <w:color w:val="auto"/>
          <w:sz w:val="24"/>
          <w:highlight w:val="none"/>
        </w:rPr>
        <w:t>。</w:t>
      </w:r>
    </w:p>
    <w:p w14:paraId="291774CB">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磋商</w:t>
      </w:r>
      <w:r>
        <w:rPr>
          <w:color w:val="auto"/>
          <w:sz w:val="24"/>
          <w:highlight w:val="none"/>
        </w:rPr>
        <w:t>，其</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56B10047">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rPr>
        <w:t>业主单位</w:t>
      </w:r>
      <w:r>
        <w:rPr>
          <w:color w:val="auto"/>
          <w:sz w:val="24"/>
          <w:highlight w:val="none"/>
        </w:rPr>
        <w:t>不接受具有附加条件的报价。</w:t>
      </w:r>
    </w:p>
    <w:p w14:paraId="331FB80B">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磋商</w:t>
      </w:r>
      <w:r>
        <w:rPr>
          <w:rFonts w:hint="eastAsia"/>
          <w:b/>
          <w:color w:val="auto"/>
          <w:sz w:val="24"/>
          <w:highlight w:val="none"/>
        </w:rPr>
        <w:t>保证金</w:t>
      </w:r>
    </w:p>
    <w:p w14:paraId="35D6A0FC">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磋商</w:t>
      </w:r>
      <w:r>
        <w:rPr>
          <w:rFonts w:hint="eastAsia"/>
          <w:color w:val="auto"/>
          <w:sz w:val="24"/>
          <w:highlight w:val="none"/>
        </w:rPr>
        <w:t>保证金，并作为其响应文件的一部分。</w:t>
      </w:r>
      <w:r>
        <w:rPr>
          <w:rFonts w:hint="eastAsia"/>
          <w:color w:val="auto"/>
          <w:sz w:val="24"/>
          <w:szCs w:val="18"/>
          <w:highlight w:val="none"/>
          <w:lang w:eastAsia="zh-CN"/>
        </w:rPr>
        <w:t>供应商</w:t>
      </w:r>
      <w:r>
        <w:rPr>
          <w:rFonts w:hint="eastAsia"/>
          <w:color w:val="auto"/>
          <w:sz w:val="24"/>
          <w:highlight w:val="none"/>
        </w:rPr>
        <w:t>未按规定提交</w:t>
      </w:r>
      <w:r>
        <w:rPr>
          <w:rFonts w:hint="eastAsia"/>
          <w:color w:val="auto"/>
          <w:sz w:val="24"/>
          <w:highlight w:val="none"/>
          <w:lang w:eastAsia="zh-CN"/>
        </w:rPr>
        <w:t>磋商</w:t>
      </w:r>
      <w:r>
        <w:rPr>
          <w:rFonts w:hint="eastAsia"/>
          <w:color w:val="auto"/>
          <w:sz w:val="24"/>
          <w:highlight w:val="none"/>
        </w:rPr>
        <w:t>保证金的，其响应文件将被认定为</w:t>
      </w:r>
      <w:r>
        <w:rPr>
          <w:rFonts w:hint="eastAsia"/>
          <w:b/>
          <w:color w:val="auto"/>
          <w:sz w:val="24"/>
          <w:highlight w:val="none"/>
        </w:rPr>
        <w:t>响应无效</w:t>
      </w:r>
      <w:r>
        <w:rPr>
          <w:rFonts w:hint="eastAsia"/>
          <w:color w:val="auto"/>
          <w:sz w:val="24"/>
          <w:highlight w:val="none"/>
        </w:rPr>
        <w:t>。</w:t>
      </w:r>
    </w:p>
    <w:p w14:paraId="37F1C039">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供应商</w:t>
      </w:r>
      <w:r>
        <w:rPr>
          <w:rFonts w:hint="eastAsia"/>
          <w:color w:val="auto"/>
          <w:sz w:val="24"/>
          <w:highlight w:val="none"/>
        </w:rPr>
        <w:t>请注意：</w:t>
      </w:r>
    </w:p>
    <w:p w14:paraId="1585F235">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磋商</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保证金</w:t>
      </w:r>
      <w:r>
        <w:rPr>
          <w:rFonts w:hint="eastAsia"/>
          <w:color w:val="auto"/>
          <w:sz w:val="24"/>
          <w:highlight w:val="none"/>
          <w:lang w:eastAsia="zh-CN"/>
        </w:rPr>
        <w:t>（不含电子交易服务费）</w:t>
      </w:r>
      <w:r>
        <w:rPr>
          <w:color w:val="auto"/>
          <w:sz w:val="24"/>
          <w:highlight w:val="none"/>
        </w:rPr>
        <w:t>。</w:t>
      </w:r>
    </w:p>
    <w:p w14:paraId="2E796677">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磋商</w:t>
      </w:r>
      <w:r>
        <w:rPr>
          <w:color w:val="auto"/>
          <w:sz w:val="24"/>
          <w:highlight w:val="none"/>
        </w:rPr>
        <w:t>保证金缴纳账号采用动态虚拟账号（分包项目每一个包别对应一个账号），项目</w:t>
      </w:r>
      <w:r>
        <w:rPr>
          <w:rFonts w:hint="eastAsia"/>
          <w:color w:val="auto"/>
          <w:sz w:val="24"/>
          <w:highlight w:val="none"/>
          <w:lang w:eastAsia="zh-CN"/>
        </w:rPr>
        <w:t>磋商</w:t>
      </w:r>
      <w:r>
        <w:rPr>
          <w:color w:val="auto"/>
          <w:sz w:val="24"/>
          <w:highlight w:val="none"/>
        </w:rPr>
        <w:t>失败后，</w:t>
      </w:r>
      <w:r>
        <w:rPr>
          <w:rFonts w:hint="eastAsia"/>
          <w:color w:val="auto"/>
          <w:sz w:val="24"/>
          <w:highlight w:val="none"/>
          <w:lang w:eastAsia="zh-CN"/>
        </w:rPr>
        <w:t>磋商</w:t>
      </w:r>
      <w:r>
        <w:rPr>
          <w:color w:val="auto"/>
          <w:sz w:val="24"/>
          <w:highlight w:val="none"/>
        </w:rPr>
        <w:t>保证金缴纳账号将会发生变化，请</w:t>
      </w:r>
      <w:r>
        <w:rPr>
          <w:rFonts w:hint="eastAsia"/>
          <w:color w:val="auto"/>
          <w:sz w:val="24"/>
          <w:szCs w:val="18"/>
          <w:highlight w:val="none"/>
          <w:lang w:eastAsia="zh-CN"/>
        </w:rPr>
        <w:t>供应商</w:t>
      </w:r>
      <w:r>
        <w:rPr>
          <w:color w:val="auto"/>
          <w:sz w:val="24"/>
          <w:highlight w:val="none"/>
        </w:rPr>
        <w:t>参与后续</w:t>
      </w:r>
      <w:r>
        <w:rPr>
          <w:rFonts w:hint="eastAsia"/>
          <w:color w:val="auto"/>
          <w:sz w:val="24"/>
          <w:highlight w:val="none"/>
          <w:lang w:eastAsia="zh-CN"/>
        </w:rPr>
        <w:t>磋商</w:t>
      </w:r>
      <w:r>
        <w:rPr>
          <w:color w:val="auto"/>
          <w:sz w:val="24"/>
          <w:highlight w:val="none"/>
        </w:rPr>
        <w:t>时，注意勿将</w:t>
      </w:r>
      <w:r>
        <w:rPr>
          <w:rFonts w:hint="eastAsia"/>
          <w:color w:val="auto"/>
          <w:sz w:val="24"/>
          <w:highlight w:val="none"/>
          <w:lang w:eastAsia="zh-CN"/>
        </w:rPr>
        <w:t>磋商</w:t>
      </w:r>
      <w:r>
        <w:rPr>
          <w:color w:val="auto"/>
          <w:sz w:val="24"/>
          <w:highlight w:val="none"/>
        </w:rPr>
        <w:t>保证金错交至其他项目虚拟账号或前次公告账号。</w:t>
      </w:r>
    </w:p>
    <w:p w14:paraId="1EA606F4">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572575DE">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名称应当一致。除非</w:t>
      </w:r>
      <w:r>
        <w:rPr>
          <w:rFonts w:hint="eastAsia"/>
          <w:color w:val="auto"/>
          <w:sz w:val="24"/>
          <w:highlight w:val="none"/>
          <w:lang w:eastAsia="zh-CN"/>
        </w:rPr>
        <w:t>磋商</w:t>
      </w:r>
      <w:r>
        <w:rPr>
          <w:color w:val="auto"/>
          <w:sz w:val="24"/>
          <w:highlight w:val="none"/>
        </w:rPr>
        <w:t>文件另有规定，分公司或子公司代缴</w:t>
      </w:r>
      <w:r>
        <w:rPr>
          <w:rFonts w:hint="eastAsia"/>
          <w:color w:val="auto"/>
          <w:sz w:val="24"/>
          <w:highlight w:val="none"/>
          <w:lang w:eastAsia="zh-CN"/>
        </w:rPr>
        <w:t>磋商</w:t>
      </w:r>
      <w:r>
        <w:rPr>
          <w:color w:val="auto"/>
          <w:sz w:val="24"/>
          <w:highlight w:val="none"/>
        </w:rPr>
        <w:t>保证金，视同名称不一致。</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名称不一致的，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14DBBE97">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磋商</w:t>
      </w:r>
      <w:r>
        <w:rPr>
          <w:color w:val="auto"/>
          <w:sz w:val="24"/>
          <w:highlight w:val="none"/>
        </w:rPr>
        <w:t>的，可以由联合体中的一方或者共同提交</w:t>
      </w:r>
      <w:r>
        <w:rPr>
          <w:rFonts w:hint="eastAsia"/>
          <w:color w:val="auto"/>
          <w:sz w:val="24"/>
          <w:highlight w:val="none"/>
          <w:lang w:eastAsia="zh-CN"/>
        </w:rPr>
        <w:t>磋商</w:t>
      </w:r>
      <w:r>
        <w:rPr>
          <w:color w:val="auto"/>
          <w:sz w:val="24"/>
          <w:highlight w:val="none"/>
        </w:rPr>
        <w:t>保证金。以一方名义提交</w:t>
      </w:r>
      <w:r>
        <w:rPr>
          <w:rFonts w:hint="eastAsia"/>
          <w:color w:val="auto"/>
          <w:sz w:val="24"/>
          <w:highlight w:val="none"/>
          <w:lang w:eastAsia="zh-CN"/>
        </w:rPr>
        <w:t>磋商</w:t>
      </w:r>
      <w:r>
        <w:rPr>
          <w:color w:val="auto"/>
          <w:sz w:val="24"/>
          <w:highlight w:val="none"/>
        </w:rPr>
        <w:t>保证金的，对联合体各方均具有约束力。</w:t>
      </w:r>
    </w:p>
    <w:p w14:paraId="4C90CABF">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rPr>
        <w:t>成交</w:t>
      </w:r>
      <w:r>
        <w:rPr>
          <w:color w:val="auto"/>
          <w:sz w:val="24"/>
          <w:highlight w:val="none"/>
        </w:rPr>
        <w:t>通知书发出后五个工作日内退还未</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保证金，在合同签订后五个工作日内退还</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w:t>
      </w:r>
    </w:p>
    <w:p w14:paraId="54E86FCE">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供应商</w:t>
      </w:r>
      <w:r>
        <w:rPr>
          <w:color w:val="auto"/>
          <w:sz w:val="24"/>
          <w:highlight w:val="none"/>
        </w:rPr>
        <w:t>自身原因导致无法及时退还的，</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72E04F30">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磋商</w:t>
      </w:r>
      <w:r>
        <w:rPr>
          <w:color w:val="auto"/>
          <w:sz w:val="24"/>
          <w:highlight w:val="none"/>
        </w:rPr>
        <w:t>保证金不予退还：</w:t>
      </w:r>
    </w:p>
    <w:p w14:paraId="20A83B78">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供应商</w:t>
      </w:r>
      <w:r>
        <w:rPr>
          <w:color w:val="auto"/>
          <w:sz w:val="24"/>
          <w:highlight w:val="none"/>
        </w:rPr>
        <w:t>在提交响应文件截止时间后撤回响应文件的；</w:t>
      </w:r>
    </w:p>
    <w:p w14:paraId="104F7327">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磋商</w:t>
      </w:r>
      <w:r>
        <w:rPr>
          <w:color w:val="auto"/>
          <w:sz w:val="24"/>
          <w:highlight w:val="none"/>
        </w:rPr>
        <w:t>文件认可的情形以外，</w:t>
      </w:r>
      <w:r>
        <w:rPr>
          <w:rFonts w:hint="eastAsia"/>
          <w:color w:val="auto"/>
          <w:sz w:val="24"/>
          <w:highlight w:val="none"/>
        </w:rPr>
        <w:t>成交人</w:t>
      </w:r>
      <w:r>
        <w:rPr>
          <w:color w:val="auto"/>
          <w:sz w:val="24"/>
          <w:highlight w:val="none"/>
        </w:rPr>
        <w:t>不与</w:t>
      </w:r>
      <w:r>
        <w:rPr>
          <w:rFonts w:hint="eastAsia"/>
          <w:color w:val="auto"/>
          <w:sz w:val="24"/>
          <w:szCs w:val="18"/>
          <w:highlight w:val="none"/>
        </w:rPr>
        <w:t>业主单位</w:t>
      </w:r>
      <w:r>
        <w:rPr>
          <w:color w:val="auto"/>
          <w:sz w:val="24"/>
          <w:highlight w:val="none"/>
        </w:rPr>
        <w:t>签订合同的；</w:t>
      </w:r>
    </w:p>
    <w:p w14:paraId="00D68569">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供应商</w:t>
      </w:r>
      <w:r>
        <w:rPr>
          <w:color w:val="auto"/>
          <w:sz w:val="24"/>
          <w:highlight w:val="none"/>
        </w:rPr>
        <w:t>须知前附表中规定的其他不予退还</w:t>
      </w:r>
      <w:r>
        <w:rPr>
          <w:rFonts w:hint="eastAsia"/>
          <w:color w:val="auto"/>
          <w:sz w:val="24"/>
          <w:highlight w:val="none"/>
          <w:lang w:eastAsia="zh-CN"/>
        </w:rPr>
        <w:t>磋商</w:t>
      </w:r>
      <w:r>
        <w:rPr>
          <w:color w:val="auto"/>
          <w:sz w:val="24"/>
          <w:highlight w:val="none"/>
        </w:rPr>
        <w:t>保证金的情形。</w:t>
      </w:r>
    </w:p>
    <w:p w14:paraId="5977BAF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磋商</w:t>
      </w:r>
      <w:r>
        <w:rPr>
          <w:rFonts w:hint="eastAsia"/>
          <w:b/>
          <w:color w:val="auto"/>
          <w:sz w:val="24"/>
          <w:highlight w:val="none"/>
        </w:rPr>
        <w:t>有效期</w:t>
      </w:r>
    </w:p>
    <w:p w14:paraId="0BD83625">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磋商</w:t>
      </w:r>
      <w:r>
        <w:rPr>
          <w:color w:val="auto"/>
          <w:sz w:val="24"/>
          <w:highlight w:val="none"/>
        </w:rPr>
        <w:t>有效期为从响应文件提交截止之日算起的日历天数，</w:t>
      </w:r>
      <w:r>
        <w:rPr>
          <w:rFonts w:hint="eastAsia"/>
          <w:color w:val="auto"/>
          <w:sz w:val="24"/>
          <w:highlight w:val="none"/>
          <w:lang w:eastAsia="zh-CN"/>
        </w:rPr>
        <w:t>磋商</w:t>
      </w:r>
      <w:r>
        <w:rPr>
          <w:color w:val="auto"/>
          <w:sz w:val="24"/>
          <w:highlight w:val="none"/>
        </w:rPr>
        <w:t>有效期详见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3FAB87B5">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磋商</w:t>
      </w:r>
      <w:r>
        <w:rPr>
          <w:color w:val="auto"/>
          <w:sz w:val="24"/>
          <w:highlight w:val="none"/>
        </w:rPr>
        <w:t>有效期内，</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保持有效，</w:t>
      </w:r>
      <w:r>
        <w:rPr>
          <w:rFonts w:hint="eastAsia"/>
          <w:color w:val="auto"/>
          <w:sz w:val="24"/>
          <w:szCs w:val="18"/>
          <w:highlight w:val="none"/>
          <w:lang w:eastAsia="zh-CN"/>
        </w:rPr>
        <w:t>供应商</w:t>
      </w:r>
      <w:r>
        <w:rPr>
          <w:color w:val="auto"/>
          <w:sz w:val="24"/>
          <w:highlight w:val="none"/>
        </w:rPr>
        <w:t>不得要求撤销或修改其响应文件。</w:t>
      </w:r>
      <w:r>
        <w:rPr>
          <w:rFonts w:hint="eastAsia"/>
          <w:color w:val="auto"/>
          <w:sz w:val="24"/>
          <w:highlight w:val="none"/>
          <w:lang w:eastAsia="zh-CN"/>
        </w:rPr>
        <w:t>磋商</w:t>
      </w:r>
      <w:r>
        <w:rPr>
          <w:color w:val="auto"/>
          <w:sz w:val="24"/>
          <w:highlight w:val="none"/>
        </w:rPr>
        <w:t>有效期不满足要求的响应，其响应文件将被认定为</w:t>
      </w:r>
      <w:r>
        <w:rPr>
          <w:b/>
          <w:color w:val="auto"/>
          <w:sz w:val="24"/>
          <w:highlight w:val="none"/>
        </w:rPr>
        <w:t>响应无效</w:t>
      </w:r>
      <w:r>
        <w:rPr>
          <w:color w:val="auto"/>
          <w:sz w:val="24"/>
          <w:highlight w:val="none"/>
        </w:rPr>
        <w:t>。</w:t>
      </w:r>
    </w:p>
    <w:p w14:paraId="54C21C46">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磋商</w:t>
      </w:r>
      <w:r>
        <w:rPr>
          <w:color w:val="auto"/>
          <w:sz w:val="24"/>
          <w:highlight w:val="none"/>
        </w:rPr>
        <w:t>有效期截止之前，要求</w:t>
      </w:r>
      <w:r>
        <w:rPr>
          <w:rFonts w:hint="eastAsia"/>
          <w:color w:val="auto"/>
          <w:sz w:val="24"/>
          <w:szCs w:val="18"/>
          <w:highlight w:val="none"/>
          <w:lang w:eastAsia="zh-CN"/>
        </w:rPr>
        <w:t>供应商</w:t>
      </w:r>
      <w:r>
        <w:rPr>
          <w:color w:val="auto"/>
          <w:sz w:val="24"/>
          <w:highlight w:val="none"/>
        </w:rPr>
        <w:t>延长</w:t>
      </w:r>
      <w:r>
        <w:rPr>
          <w:rFonts w:hint="eastAsia"/>
          <w:color w:val="auto"/>
          <w:sz w:val="24"/>
          <w:highlight w:val="none"/>
          <w:lang w:eastAsia="zh-CN"/>
        </w:rPr>
        <w:t>磋商</w:t>
      </w:r>
      <w:r>
        <w:rPr>
          <w:color w:val="auto"/>
          <w:sz w:val="24"/>
          <w:highlight w:val="none"/>
        </w:rPr>
        <w:t>有效期。接受该要求的</w:t>
      </w:r>
      <w:r>
        <w:rPr>
          <w:rFonts w:hint="eastAsia"/>
          <w:color w:val="auto"/>
          <w:sz w:val="24"/>
          <w:szCs w:val="18"/>
          <w:highlight w:val="none"/>
          <w:lang w:eastAsia="zh-CN"/>
        </w:rPr>
        <w:t>供应商</w:t>
      </w:r>
      <w:r>
        <w:rPr>
          <w:color w:val="auto"/>
          <w:sz w:val="24"/>
          <w:highlight w:val="none"/>
        </w:rPr>
        <w:t>将不会被要求和允许修正其响应文件。</w:t>
      </w:r>
      <w:r>
        <w:rPr>
          <w:rFonts w:hint="eastAsia"/>
          <w:color w:val="auto"/>
          <w:sz w:val="24"/>
          <w:szCs w:val="18"/>
          <w:highlight w:val="none"/>
          <w:lang w:eastAsia="zh-CN"/>
        </w:rPr>
        <w:t>供应商</w:t>
      </w:r>
      <w:r>
        <w:rPr>
          <w:color w:val="auto"/>
          <w:sz w:val="24"/>
          <w:highlight w:val="none"/>
        </w:rPr>
        <w:t>可以拒绝延长</w:t>
      </w:r>
      <w:r>
        <w:rPr>
          <w:rFonts w:hint="eastAsia"/>
          <w:color w:val="auto"/>
          <w:sz w:val="24"/>
          <w:highlight w:val="none"/>
          <w:lang w:eastAsia="zh-CN"/>
        </w:rPr>
        <w:t>磋商</w:t>
      </w:r>
      <w:r>
        <w:rPr>
          <w:color w:val="auto"/>
          <w:sz w:val="24"/>
          <w:highlight w:val="none"/>
        </w:rPr>
        <w:t>有效期的要求，且不承担任何责任。上述要求和答复都应以书面形式提交。</w:t>
      </w:r>
    </w:p>
    <w:p w14:paraId="00ECEAB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rPr>
        <w:t>响应文件的制作</w:t>
      </w:r>
    </w:p>
    <w:p w14:paraId="35FF6A82">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磋商</w:t>
      </w:r>
      <w:r>
        <w:rPr>
          <w:rFonts w:hint="eastAsia" w:cs="宋体"/>
          <w:color w:val="auto"/>
          <w:sz w:val="24"/>
          <w:highlight w:val="none"/>
        </w:rPr>
        <w:t>文件规定的响应截止时间前使用“优质采投标工具客户端”完成上传。</w:t>
      </w:r>
    </w:p>
    <w:p w14:paraId="52CF4092">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eastAsia="zh-CN"/>
        </w:rPr>
        <w:t>磋商</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磋商</w:t>
      </w:r>
      <w:r>
        <w:rPr>
          <w:rFonts w:hint="eastAsia" w:cs="宋体"/>
          <w:color w:val="auto"/>
          <w:sz w:val="24"/>
          <w:highlight w:val="none"/>
        </w:rPr>
        <w:t>文件后，如未在</w:t>
      </w:r>
      <w:r>
        <w:rPr>
          <w:rFonts w:hint="eastAsia" w:cs="宋体"/>
          <w:color w:val="auto"/>
          <w:sz w:val="24"/>
          <w:highlight w:val="none"/>
          <w:lang w:eastAsia="zh-CN"/>
        </w:rPr>
        <w:t>磋商</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7A598C15">
      <w:pPr>
        <w:spacing w:line="360" w:lineRule="auto"/>
        <w:ind w:firstLine="435"/>
        <w:rPr>
          <w:rFonts w:cs="宋体"/>
          <w:color w:val="auto"/>
          <w:sz w:val="24"/>
          <w:highlight w:val="none"/>
        </w:rPr>
      </w:pPr>
      <w:r>
        <w:rPr>
          <w:rFonts w:hint="eastAsia" w:cs="宋体"/>
          <w:color w:val="auto"/>
          <w:sz w:val="24"/>
          <w:highlight w:val="none"/>
        </w:rPr>
        <w:t>15.3.响应文件递交截止时间以优质采云采购平台（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电子响应文件未完成上传的，视为没有递交响应文件；</w:t>
      </w:r>
    </w:p>
    <w:p w14:paraId="652B0684">
      <w:pPr>
        <w:spacing w:line="360" w:lineRule="auto"/>
        <w:ind w:firstLine="435"/>
        <w:rPr>
          <w:rFonts w:cs="宋体"/>
          <w:color w:val="auto"/>
          <w:sz w:val="24"/>
          <w:highlight w:val="none"/>
        </w:rPr>
      </w:pPr>
      <w:r>
        <w:rPr>
          <w:rFonts w:hint="eastAsia" w:cs="宋体"/>
          <w:color w:val="auto"/>
          <w:sz w:val="24"/>
          <w:highlight w:val="none"/>
        </w:rPr>
        <w:t>15.4.响应文件可远程解密，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磋商</w:t>
      </w:r>
      <w:r>
        <w:rPr>
          <w:rFonts w:hint="eastAsia" w:cs="宋体"/>
          <w:color w:val="auto"/>
          <w:sz w:val="24"/>
          <w:highlight w:val="none"/>
        </w:rPr>
        <w:t>现场。</w:t>
      </w:r>
      <w:r>
        <w:rPr>
          <w:rFonts w:hint="eastAsia" w:cs="宋体"/>
          <w:color w:val="auto"/>
          <w:sz w:val="24"/>
          <w:highlight w:val="none"/>
          <w:lang w:eastAsia="zh-CN"/>
        </w:rPr>
        <w:t>磋商</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3B20133C">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p>
    <w:p w14:paraId="321F140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rPr>
        <w:t>响应文件提交截止时间</w:t>
      </w:r>
    </w:p>
    <w:p w14:paraId="65B95B89">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供应商</w:t>
      </w:r>
      <w:r>
        <w:rPr>
          <w:color w:val="auto"/>
          <w:sz w:val="24"/>
          <w:highlight w:val="none"/>
        </w:rPr>
        <w:t>应在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中规定的</w:t>
      </w:r>
      <w:r>
        <w:rPr>
          <w:rFonts w:hint="eastAsia"/>
          <w:color w:val="auto"/>
          <w:sz w:val="24"/>
          <w:highlight w:val="none"/>
        </w:rPr>
        <w:t>响应文件提交</w:t>
      </w:r>
      <w:r>
        <w:rPr>
          <w:color w:val="auto"/>
          <w:sz w:val="24"/>
          <w:highlight w:val="none"/>
        </w:rPr>
        <w:t>截止时间前，在网上提交加密电子响应文件。</w:t>
      </w:r>
    </w:p>
    <w:p w14:paraId="6D4C07DD">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供应商</w:t>
      </w:r>
      <w:r>
        <w:rPr>
          <w:color w:val="auto"/>
          <w:sz w:val="24"/>
          <w:highlight w:val="none"/>
        </w:rPr>
        <w:t>在</w:t>
      </w:r>
      <w:r>
        <w:rPr>
          <w:rFonts w:hint="eastAsia"/>
          <w:color w:val="auto"/>
          <w:sz w:val="24"/>
          <w:highlight w:val="none"/>
          <w:lang w:eastAsia="zh-CN"/>
        </w:rPr>
        <w:t>磋商</w:t>
      </w:r>
      <w:r>
        <w:rPr>
          <w:color w:val="auto"/>
          <w:sz w:val="24"/>
          <w:highlight w:val="none"/>
        </w:rPr>
        <w:t>文件规定的</w:t>
      </w:r>
      <w:r>
        <w:rPr>
          <w:rFonts w:hint="eastAsia"/>
          <w:color w:val="auto"/>
          <w:sz w:val="24"/>
          <w:highlight w:val="none"/>
        </w:rPr>
        <w:t>响应文件提交截止时间</w:t>
      </w:r>
      <w:r>
        <w:rPr>
          <w:color w:val="auto"/>
          <w:sz w:val="24"/>
          <w:highlight w:val="none"/>
        </w:rPr>
        <w:t>前上传了网上加密电子</w:t>
      </w:r>
      <w:r>
        <w:rPr>
          <w:rFonts w:hint="eastAsia"/>
          <w:color w:val="auto"/>
          <w:sz w:val="24"/>
          <w:highlight w:val="none"/>
        </w:rPr>
        <w:t>响应</w:t>
      </w:r>
      <w:r>
        <w:rPr>
          <w:color w:val="auto"/>
          <w:sz w:val="24"/>
          <w:highlight w:val="none"/>
        </w:rPr>
        <w:t>文件，但未在规定时间内进行解密的，</w:t>
      </w:r>
      <w:r>
        <w:rPr>
          <w:rFonts w:hint="eastAsia"/>
          <w:b/>
          <w:color w:val="auto"/>
          <w:sz w:val="24"/>
          <w:highlight w:val="none"/>
        </w:rPr>
        <w:t>响应无效</w:t>
      </w:r>
      <w:r>
        <w:rPr>
          <w:color w:val="auto"/>
          <w:sz w:val="24"/>
          <w:highlight w:val="none"/>
        </w:rPr>
        <w:t>。</w:t>
      </w:r>
    </w:p>
    <w:p w14:paraId="69E23D1C">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rPr>
        <w:t>业主单位</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rPr>
        <w:t>响应文件提交截止时间的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供应商</w:t>
      </w:r>
      <w:r>
        <w:rPr>
          <w:color w:val="auto"/>
          <w:sz w:val="24"/>
          <w:highlight w:val="none"/>
        </w:rPr>
        <w:t>受</w:t>
      </w:r>
      <w:r>
        <w:rPr>
          <w:rFonts w:hint="eastAsia"/>
          <w:color w:val="auto"/>
          <w:sz w:val="24"/>
          <w:highlight w:val="none"/>
        </w:rPr>
        <w:t>响应文件提交截止时间</w:t>
      </w:r>
      <w:r>
        <w:rPr>
          <w:color w:val="auto"/>
          <w:sz w:val="24"/>
          <w:highlight w:val="none"/>
        </w:rPr>
        <w:t>制约的所有权利和义务均应延长至新的截止时间。</w:t>
      </w:r>
    </w:p>
    <w:p w14:paraId="38F90938">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rPr>
        <w:t>响应文件的提交、修改与撤回</w:t>
      </w:r>
    </w:p>
    <w:p w14:paraId="75B05BD7">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供应商</w:t>
      </w:r>
      <w:r>
        <w:rPr>
          <w:rFonts w:hint="eastAsia" w:cs="宋体"/>
          <w:color w:val="auto"/>
          <w:sz w:val="24"/>
          <w:highlight w:val="none"/>
        </w:rPr>
        <w:t>应当在第一章“</w:t>
      </w:r>
      <w:r>
        <w:rPr>
          <w:rFonts w:hint="eastAsia" w:cs="宋体"/>
          <w:color w:val="auto"/>
          <w:sz w:val="24"/>
          <w:highlight w:val="none"/>
          <w:lang w:eastAsia="zh-CN"/>
        </w:rPr>
        <w:t>磋商</w:t>
      </w:r>
      <w:r>
        <w:rPr>
          <w:rFonts w:hint="eastAsia" w:cs="宋体"/>
          <w:color w:val="auto"/>
          <w:sz w:val="24"/>
          <w:highlight w:val="none"/>
        </w:rPr>
        <w:t>邀请”规定的响应文件提交截止时间前，将加密的响应文件在优质采云采购平台（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4B1846CC">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供应商</w:t>
      </w:r>
      <w:r>
        <w:rPr>
          <w:rFonts w:hint="eastAsia" w:cs="宋体"/>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D2D13E7">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供应商</w:t>
      </w:r>
      <w:r>
        <w:rPr>
          <w:rFonts w:hint="eastAsia" w:cs="宋体"/>
          <w:color w:val="auto"/>
          <w:sz w:val="24"/>
          <w:highlight w:val="none"/>
        </w:rPr>
        <w:t>应在</w:t>
      </w:r>
      <w:r>
        <w:rPr>
          <w:rFonts w:hint="eastAsia"/>
          <w:color w:val="auto"/>
          <w:sz w:val="24"/>
          <w:szCs w:val="18"/>
          <w:highlight w:val="none"/>
          <w:u w:val="single"/>
          <w:lang w:eastAsia="zh-CN"/>
        </w:rPr>
        <w:t>供应商</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）系统的解密倒计时为准）对本单位的响应文件进行解密，代理机构工作人员解密所有响应文件。</w:t>
      </w:r>
    </w:p>
    <w:p w14:paraId="511A4E8B">
      <w:pPr>
        <w:spacing w:line="360" w:lineRule="auto"/>
        <w:ind w:firstLine="435"/>
        <w:rPr>
          <w:color w:val="auto"/>
          <w:sz w:val="24"/>
          <w:highlight w:val="none"/>
        </w:rPr>
      </w:pPr>
      <w:r>
        <w:rPr>
          <w:rFonts w:hint="eastAsia" w:cs="宋体"/>
          <w:color w:val="auto"/>
          <w:sz w:val="24"/>
          <w:highlight w:val="none"/>
        </w:rPr>
        <w:t>17.4在响应文件提交截止时间之后，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磋商</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磋商</w:t>
      </w:r>
      <w:r>
        <w:rPr>
          <w:rFonts w:hint="eastAsia" w:cs="宋体"/>
          <w:color w:val="auto"/>
          <w:sz w:val="24"/>
          <w:highlight w:val="none"/>
        </w:rPr>
        <w:t>文件的变动情况和</w:t>
      </w:r>
      <w:r>
        <w:rPr>
          <w:rFonts w:hint="eastAsia" w:cs="宋体"/>
          <w:color w:val="auto"/>
          <w:sz w:val="24"/>
          <w:highlight w:val="none"/>
          <w:lang w:eastAsia="zh-CN"/>
        </w:rPr>
        <w:t>磋商</w:t>
      </w:r>
      <w:r>
        <w:rPr>
          <w:rFonts w:hint="eastAsia" w:cs="宋体"/>
          <w:color w:val="auto"/>
          <w:sz w:val="24"/>
          <w:highlight w:val="none"/>
        </w:rPr>
        <w:t>小组的要求重新提交响应文件的，不在此列。</w:t>
      </w:r>
    </w:p>
    <w:p w14:paraId="797138A6">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磋商</w:t>
      </w:r>
      <w:r>
        <w:rPr>
          <w:rFonts w:hint="eastAsia"/>
          <w:b/>
          <w:color w:val="auto"/>
          <w:sz w:val="24"/>
          <w:highlight w:val="none"/>
        </w:rPr>
        <w:t>小组</w:t>
      </w:r>
    </w:p>
    <w:p w14:paraId="471F52CB">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磋商</w:t>
      </w:r>
      <w:r>
        <w:rPr>
          <w:color w:val="auto"/>
          <w:sz w:val="24"/>
          <w:highlight w:val="none"/>
        </w:rPr>
        <w:t>小组，</w:t>
      </w:r>
      <w:r>
        <w:rPr>
          <w:rFonts w:hint="eastAsia"/>
          <w:color w:val="auto"/>
          <w:sz w:val="24"/>
          <w:highlight w:val="none"/>
          <w:lang w:eastAsia="zh-CN"/>
        </w:rPr>
        <w:t>磋商</w:t>
      </w:r>
      <w:r>
        <w:rPr>
          <w:color w:val="auto"/>
          <w:sz w:val="24"/>
          <w:highlight w:val="none"/>
        </w:rPr>
        <w:t>小组成员由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磋商</w:t>
      </w:r>
      <w:r>
        <w:rPr>
          <w:color w:val="auto"/>
          <w:sz w:val="24"/>
          <w:highlight w:val="none"/>
        </w:rPr>
        <w:t>小组及其成员应当依照有关规定履行相关职责和义务。</w:t>
      </w:r>
    </w:p>
    <w:p w14:paraId="565A3A66">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磋商</w:t>
      </w:r>
      <w:r>
        <w:rPr>
          <w:color w:val="auto"/>
          <w:sz w:val="24"/>
          <w:highlight w:val="none"/>
        </w:rPr>
        <w:t>小组依法对响应文件进行评审，并根据</w:t>
      </w:r>
      <w:r>
        <w:rPr>
          <w:rFonts w:hint="eastAsia"/>
          <w:color w:val="auto"/>
          <w:sz w:val="24"/>
          <w:highlight w:val="none"/>
          <w:lang w:eastAsia="zh-CN"/>
        </w:rPr>
        <w:t>磋商</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磋商</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磋商</w:t>
      </w:r>
      <w:r>
        <w:rPr>
          <w:color w:val="auto"/>
          <w:sz w:val="24"/>
          <w:highlight w:val="none"/>
        </w:rPr>
        <w:t>。</w:t>
      </w:r>
    </w:p>
    <w:p w14:paraId="40EB139D">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磋商</w:t>
      </w:r>
      <w:r>
        <w:rPr>
          <w:color w:val="auto"/>
          <w:sz w:val="24"/>
          <w:highlight w:val="none"/>
        </w:rPr>
        <w:t>小组应当从质量和服务均能满足</w:t>
      </w:r>
      <w:r>
        <w:rPr>
          <w:rFonts w:hint="eastAsia"/>
          <w:color w:val="auto"/>
          <w:sz w:val="24"/>
          <w:highlight w:val="none"/>
          <w:lang w:eastAsia="zh-CN"/>
        </w:rPr>
        <w:t>磋商</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13A21A01">
      <w:pPr>
        <w:spacing w:line="360" w:lineRule="auto"/>
        <w:ind w:firstLine="437"/>
        <w:outlineLvl w:val="2"/>
        <w:rPr>
          <w:rFonts w:hint="eastAsia" w:eastAsia="宋体"/>
          <w:b/>
          <w:color w:val="auto"/>
          <w:sz w:val="24"/>
          <w:highlight w:val="none"/>
          <w:lang w:eastAsia="zh-CN"/>
        </w:rPr>
      </w:pPr>
      <w:r>
        <w:rPr>
          <w:b/>
          <w:color w:val="auto"/>
          <w:sz w:val="24"/>
          <w:highlight w:val="none"/>
        </w:rPr>
        <w:t>19.响应文件的评审与</w:t>
      </w:r>
      <w:r>
        <w:rPr>
          <w:rFonts w:hint="eastAsia"/>
          <w:b/>
          <w:color w:val="auto"/>
          <w:sz w:val="24"/>
          <w:highlight w:val="none"/>
          <w:lang w:eastAsia="zh-CN"/>
        </w:rPr>
        <w:t>磋商</w:t>
      </w:r>
    </w:p>
    <w:p w14:paraId="7D3332A1">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eastAsia="zh-CN"/>
        </w:rPr>
        <w:t>磋商</w:t>
      </w:r>
      <w:r>
        <w:rPr>
          <w:rFonts w:hint="eastAsia"/>
          <w:color w:val="auto"/>
          <w:sz w:val="24"/>
          <w:highlight w:val="none"/>
        </w:rPr>
        <w:t>。</w:t>
      </w:r>
    </w:p>
    <w:p w14:paraId="295E7961">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eastAsia="zh-CN"/>
        </w:rPr>
        <w:t>磋商</w:t>
      </w:r>
      <w:r>
        <w:rPr>
          <w:rFonts w:hint="eastAsia"/>
          <w:color w:val="auto"/>
          <w:sz w:val="24"/>
          <w:highlight w:val="none"/>
        </w:rPr>
        <w:t>活动采用综合评分法评审。</w:t>
      </w:r>
    </w:p>
    <w:p w14:paraId="2221FDF0">
      <w:pPr>
        <w:spacing w:line="360" w:lineRule="auto"/>
        <w:ind w:firstLine="435"/>
        <w:rPr>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磋商</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3F2129C9">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磋商</w:t>
      </w:r>
      <w:r>
        <w:rPr>
          <w:rFonts w:hint="eastAsia"/>
          <w:color w:val="auto"/>
          <w:sz w:val="24"/>
          <w:highlight w:val="none"/>
        </w:rPr>
        <w:t>小组将按照</w:t>
      </w:r>
      <w:r>
        <w:rPr>
          <w:rFonts w:hint="eastAsia"/>
          <w:color w:val="auto"/>
          <w:sz w:val="24"/>
          <w:highlight w:val="none"/>
          <w:lang w:eastAsia="zh-CN"/>
        </w:rPr>
        <w:t>磋商</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6B2C2405">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磋商</w:t>
      </w:r>
      <w:r>
        <w:rPr>
          <w:rFonts w:hint="eastAsia"/>
          <w:color w:val="auto"/>
          <w:sz w:val="24"/>
          <w:highlight w:val="none"/>
        </w:rPr>
        <w:t>文件要求导致响应无效的，</w:t>
      </w:r>
      <w:r>
        <w:rPr>
          <w:rFonts w:hint="eastAsia"/>
          <w:color w:val="auto"/>
          <w:sz w:val="24"/>
          <w:highlight w:val="none"/>
          <w:lang w:eastAsia="zh-CN"/>
        </w:rPr>
        <w:t>磋商</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137C6AEE">
      <w:pPr>
        <w:spacing w:line="360" w:lineRule="auto"/>
        <w:ind w:firstLine="470" w:firstLineChars="196"/>
        <w:rPr>
          <w:color w:val="auto"/>
          <w:sz w:val="24"/>
          <w:highlight w:val="none"/>
        </w:rPr>
      </w:pP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代理机构将在响应文件提交截止时间后至评审结束前查询</w:t>
      </w:r>
      <w:r>
        <w:rPr>
          <w:rFonts w:hint="eastAsia"/>
          <w:color w:val="auto"/>
          <w:sz w:val="24"/>
          <w:szCs w:val="18"/>
          <w:highlight w:val="none"/>
          <w:lang w:eastAsia="zh-CN"/>
        </w:rPr>
        <w:t>供应商</w:t>
      </w:r>
      <w:r>
        <w:rPr>
          <w:rFonts w:hint="eastAsia"/>
          <w:color w:val="auto"/>
          <w:sz w:val="24"/>
          <w:highlight w:val="none"/>
        </w:rPr>
        <w:t>的信用记录。</w:t>
      </w: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p>
    <w:p w14:paraId="664B20F1">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1"/>
          <w:rFonts w:hint="eastAsia" w:cs="宋体"/>
          <w:color w:val="auto"/>
          <w:kern w:val="21"/>
          <w:sz w:val="24"/>
          <w:szCs w:val="24"/>
          <w:highlight w:val="none"/>
          <w:lang w:bidi="ar"/>
        </w:rPr>
        <w:t>www.gsxt.gov.cn</w:t>
      </w:r>
      <w:r>
        <w:rPr>
          <w:rStyle w:val="31"/>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3C49796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6EDCE11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1B85850A">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4CFDB620">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磋商</w:t>
      </w:r>
      <w:r>
        <w:rPr>
          <w:rFonts w:hint="eastAsia"/>
          <w:color w:val="auto"/>
          <w:sz w:val="24"/>
          <w:highlight w:val="none"/>
        </w:rPr>
        <w:t>的，联合体任何成员存在以上不良信用记录的，联合体</w:t>
      </w:r>
      <w:r>
        <w:rPr>
          <w:rFonts w:hint="eastAsia"/>
          <w:color w:val="auto"/>
          <w:sz w:val="24"/>
          <w:highlight w:val="none"/>
          <w:lang w:eastAsia="zh-CN"/>
        </w:rPr>
        <w:t>磋商</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3BF6FA09">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19.3.1.</w:t>
      </w:r>
      <w:r>
        <w:rPr>
          <w:rFonts w:hint="eastAsia" w:cs="宋体"/>
          <w:color w:val="auto"/>
          <w:kern w:val="21"/>
          <w:sz w:val="24"/>
          <w:szCs w:val="24"/>
          <w:highlight w:val="none"/>
          <w:lang w:val="en-US" w:eastAsia="zh-CN" w:bidi="ar"/>
        </w:rPr>
        <w:t>2</w:t>
      </w:r>
      <w:r>
        <w:rPr>
          <w:rFonts w:hint="eastAsia" w:cs="宋体"/>
          <w:color w:val="auto"/>
          <w:kern w:val="21"/>
          <w:sz w:val="24"/>
          <w:szCs w:val="24"/>
          <w:highlight w:val="none"/>
          <w:lang w:eastAsia="zh-CN" w:bidi="ar"/>
        </w:rPr>
        <w:t>供应商</w:t>
      </w:r>
      <w:r>
        <w:rPr>
          <w:rFonts w:cs="宋体"/>
          <w:color w:val="auto"/>
          <w:kern w:val="21"/>
          <w:sz w:val="24"/>
          <w:szCs w:val="24"/>
          <w:highlight w:val="none"/>
          <w:lang w:bidi="ar"/>
        </w:rPr>
        <w:t>不良信用记录以业主单位或代理机构查询结果为准</w:t>
      </w:r>
      <w:r>
        <w:rPr>
          <w:rFonts w:hint="eastAsia" w:cs="宋体"/>
          <w:color w:val="auto"/>
          <w:kern w:val="21"/>
          <w:sz w:val="24"/>
          <w:szCs w:val="24"/>
          <w:highlight w:val="none"/>
          <w:lang w:bidi="ar"/>
        </w:rPr>
        <w:t>。</w:t>
      </w:r>
    </w:p>
    <w:p w14:paraId="647D8989">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文件规定的查询时间之外，网站信息发生的任何变更均不作为初审依据。</w:t>
      </w:r>
    </w:p>
    <w:p w14:paraId="25C51537">
      <w:pPr>
        <w:spacing w:line="360" w:lineRule="auto"/>
        <w:ind w:firstLine="480" w:firstLineChars="200"/>
        <w:jc w:val="left"/>
        <w:rPr>
          <w:color w:val="auto"/>
          <w:sz w:val="24"/>
          <w:highlight w:val="none"/>
        </w:rPr>
      </w:pPr>
      <w:r>
        <w:rPr>
          <w:rFonts w:hint="eastAsia"/>
          <w:color w:val="auto"/>
          <w:sz w:val="24"/>
          <w:szCs w:val="18"/>
          <w:highlight w:val="none"/>
          <w:lang w:eastAsia="zh-CN"/>
        </w:rPr>
        <w:t>供应商</w:t>
      </w:r>
      <w:r>
        <w:rPr>
          <w:rFonts w:hint="eastAsia" w:cs="宋体"/>
          <w:color w:val="auto"/>
          <w:sz w:val="24"/>
          <w:szCs w:val="24"/>
          <w:highlight w:val="none"/>
          <w:lang w:bidi="ar"/>
        </w:rPr>
        <w:t>自行提供的与网站信息不一致的其他证明材料亦不作为初审依据。</w:t>
      </w:r>
    </w:p>
    <w:p w14:paraId="3813BCAB">
      <w:pPr>
        <w:spacing w:line="360" w:lineRule="auto"/>
        <w:ind w:firstLine="435"/>
        <w:rPr>
          <w:color w:val="auto"/>
          <w:sz w:val="24"/>
          <w:highlight w:val="none"/>
        </w:rPr>
      </w:pPr>
      <w:r>
        <w:rPr>
          <w:rFonts w:hint="eastAsia"/>
          <w:color w:val="auto"/>
          <w:sz w:val="24"/>
          <w:highlight w:val="none"/>
        </w:rPr>
        <w:t>19.3.2</w:t>
      </w:r>
      <w:r>
        <w:rPr>
          <w:rFonts w:hint="eastAsia"/>
          <w:b/>
          <w:color w:val="auto"/>
          <w:sz w:val="24"/>
          <w:highlight w:val="none"/>
          <w:lang w:eastAsia="zh-CN"/>
        </w:rPr>
        <w:t>磋商</w:t>
      </w:r>
      <w:r>
        <w:rPr>
          <w:rFonts w:hint="eastAsia"/>
          <w:color w:val="auto"/>
          <w:sz w:val="24"/>
          <w:highlight w:val="none"/>
        </w:rPr>
        <w:t>。初审合格后，</w:t>
      </w:r>
      <w:r>
        <w:rPr>
          <w:rFonts w:hint="eastAsia"/>
          <w:color w:val="auto"/>
          <w:sz w:val="24"/>
          <w:highlight w:val="none"/>
          <w:lang w:eastAsia="zh-CN"/>
        </w:rPr>
        <w:t>磋商</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磋商</w:t>
      </w:r>
      <w:r>
        <w:rPr>
          <w:rFonts w:hint="eastAsia"/>
          <w:color w:val="auto"/>
          <w:sz w:val="24"/>
          <w:highlight w:val="none"/>
        </w:rPr>
        <w:t>，并给予所有参加</w:t>
      </w:r>
      <w:r>
        <w:rPr>
          <w:rFonts w:hint="eastAsia"/>
          <w:color w:val="auto"/>
          <w:sz w:val="24"/>
          <w:highlight w:val="none"/>
          <w:lang w:eastAsia="zh-CN"/>
        </w:rPr>
        <w:t>磋商</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磋商</w:t>
      </w:r>
      <w:r>
        <w:rPr>
          <w:rFonts w:hint="eastAsia"/>
          <w:color w:val="auto"/>
          <w:sz w:val="24"/>
          <w:highlight w:val="none"/>
        </w:rPr>
        <w:t>机会。</w:t>
      </w:r>
    </w:p>
    <w:p w14:paraId="1181CBA0">
      <w:pPr>
        <w:spacing w:line="360" w:lineRule="auto"/>
        <w:ind w:firstLine="435"/>
        <w:rPr>
          <w:color w:val="auto"/>
          <w:sz w:val="24"/>
          <w:highlight w:val="none"/>
        </w:rPr>
      </w:pPr>
      <w:r>
        <w:rPr>
          <w:rFonts w:hint="eastAsia"/>
          <w:color w:val="auto"/>
          <w:sz w:val="24"/>
          <w:highlight w:val="none"/>
        </w:rPr>
        <w:t>19.3.3</w:t>
      </w:r>
      <w:r>
        <w:rPr>
          <w:b/>
          <w:color w:val="auto"/>
          <w:sz w:val="24"/>
          <w:highlight w:val="none"/>
        </w:rPr>
        <w:t>报价</w:t>
      </w:r>
      <w:r>
        <w:rPr>
          <w:rFonts w:hint="eastAsia"/>
          <w:color w:val="auto"/>
          <w:sz w:val="24"/>
          <w:highlight w:val="none"/>
        </w:rPr>
        <w:t>。</w:t>
      </w:r>
      <w:r>
        <w:rPr>
          <w:rFonts w:hint="eastAsia"/>
          <w:color w:val="auto"/>
          <w:sz w:val="24"/>
          <w:highlight w:val="none"/>
          <w:lang w:eastAsia="zh-CN"/>
        </w:rPr>
        <w:t>磋商</w:t>
      </w:r>
      <w:r>
        <w:rPr>
          <w:color w:val="auto"/>
          <w:sz w:val="24"/>
          <w:highlight w:val="none"/>
        </w:rPr>
        <w:t>结束后，</w:t>
      </w:r>
      <w:r>
        <w:rPr>
          <w:rFonts w:hint="eastAsia"/>
          <w:color w:val="auto"/>
          <w:sz w:val="24"/>
          <w:highlight w:val="none"/>
          <w:lang w:eastAsia="zh-CN"/>
        </w:rPr>
        <w:t>磋商</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磋商</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4AABA513">
      <w:pPr>
        <w:spacing w:line="360" w:lineRule="auto"/>
        <w:ind w:firstLine="435"/>
        <w:rPr>
          <w:color w:val="auto"/>
          <w:sz w:val="24"/>
          <w:highlight w:val="none"/>
        </w:rPr>
      </w:pPr>
      <w:r>
        <w:rPr>
          <w:rFonts w:hint="eastAsia"/>
          <w:color w:val="auto"/>
          <w:sz w:val="24"/>
          <w:highlight w:val="none"/>
        </w:rPr>
        <w:t>19.3.4</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小组只对通过初审，实质上响应</w:t>
      </w:r>
      <w:r>
        <w:rPr>
          <w:rFonts w:hint="eastAsia"/>
          <w:color w:val="auto"/>
          <w:sz w:val="24"/>
          <w:highlight w:val="none"/>
          <w:lang w:eastAsia="zh-CN"/>
        </w:rPr>
        <w:t>磋商</w:t>
      </w:r>
      <w:r>
        <w:rPr>
          <w:rFonts w:hint="eastAsia"/>
          <w:color w:val="auto"/>
          <w:sz w:val="24"/>
          <w:highlight w:val="none"/>
        </w:rPr>
        <w:t>要求的响应文件进行综合评分。经</w:t>
      </w:r>
      <w:r>
        <w:rPr>
          <w:rFonts w:hint="eastAsia"/>
          <w:color w:val="auto"/>
          <w:sz w:val="24"/>
          <w:highlight w:val="none"/>
          <w:lang w:eastAsia="zh-CN"/>
        </w:rPr>
        <w:t>磋商</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磋商</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34CDDC82">
      <w:pPr>
        <w:spacing w:line="360" w:lineRule="auto"/>
        <w:ind w:firstLine="435"/>
        <w:rPr>
          <w:color w:val="auto"/>
          <w:sz w:val="24"/>
          <w:highlight w:val="none"/>
        </w:rPr>
      </w:pPr>
      <w:r>
        <w:rPr>
          <w:rFonts w:hint="eastAsia"/>
          <w:color w:val="auto"/>
          <w:sz w:val="24"/>
          <w:highlight w:val="none"/>
        </w:rPr>
        <w:t>19.4相关说明。</w:t>
      </w:r>
    </w:p>
    <w:p w14:paraId="0CD13747">
      <w:pPr>
        <w:spacing w:line="360" w:lineRule="auto"/>
        <w:ind w:firstLine="435"/>
        <w:rPr>
          <w:color w:val="auto"/>
          <w:sz w:val="24"/>
          <w:highlight w:val="none"/>
        </w:rPr>
      </w:pPr>
      <w:r>
        <w:rPr>
          <w:rFonts w:hint="eastAsia"/>
          <w:color w:val="auto"/>
          <w:sz w:val="24"/>
          <w:highlight w:val="none"/>
        </w:rPr>
        <w:t>19.4.1为保证</w:t>
      </w:r>
      <w:r>
        <w:rPr>
          <w:rFonts w:hint="eastAsia"/>
          <w:color w:val="auto"/>
          <w:sz w:val="24"/>
          <w:highlight w:val="none"/>
          <w:lang w:eastAsia="zh-CN"/>
        </w:rPr>
        <w:t>磋商</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630A9C00">
      <w:pPr>
        <w:spacing w:line="360" w:lineRule="auto"/>
        <w:ind w:firstLine="435"/>
        <w:rPr>
          <w:color w:val="auto"/>
          <w:sz w:val="24"/>
          <w:highlight w:val="none"/>
        </w:rPr>
      </w:pPr>
      <w:r>
        <w:rPr>
          <w:rFonts w:hint="eastAsia"/>
          <w:color w:val="auto"/>
          <w:sz w:val="24"/>
          <w:highlight w:val="none"/>
        </w:rPr>
        <w:t>19.4.2</w:t>
      </w:r>
      <w:r>
        <w:rPr>
          <w:rFonts w:hint="eastAsia"/>
          <w:color w:val="auto"/>
          <w:sz w:val="24"/>
          <w:highlight w:val="none"/>
          <w:lang w:eastAsia="zh-CN"/>
        </w:rPr>
        <w:t>磋商</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情况可能实质性变动</w:t>
      </w:r>
      <w:r>
        <w:rPr>
          <w:rFonts w:hint="eastAsia"/>
          <w:color w:val="auto"/>
          <w:sz w:val="24"/>
          <w:highlight w:val="none"/>
          <w:lang w:eastAsia="zh-CN"/>
        </w:rPr>
        <w:t>磋商</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磋商</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磋商</w:t>
      </w:r>
      <w:r>
        <w:rPr>
          <w:rFonts w:hint="eastAsia"/>
          <w:color w:val="auto"/>
          <w:sz w:val="24"/>
          <w:highlight w:val="none"/>
        </w:rPr>
        <w:t>文件的有效组成部分，</w:t>
      </w:r>
      <w:r>
        <w:rPr>
          <w:rFonts w:hint="eastAsia"/>
          <w:color w:val="auto"/>
          <w:sz w:val="24"/>
          <w:highlight w:val="none"/>
          <w:lang w:eastAsia="zh-CN"/>
        </w:rPr>
        <w:t>磋商</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4AE29CB6">
      <w:pPr>
        <w:spacing w:line="360" w:lineRule="auto"/>
        <w:ind w:firstLine="435"/>
        <w:rPr>
          <w:color w:val="auto"/>
          <w:sz w:val="24"/>
          <w:highlight w:val="none"/>
        </w:rPr>
      </w:pPr>
      <w:r>
        <w:rPr>
          <w:rFonts w:hint="eastAsia"/>
          <w:color w:val="auto"/>
          <w:sz w:val="24"/>
          <w:highlight w:val="none"/>
        </w:rPr>
        <w:t>19.4.3</w:t>
      </w:r>
      <w:r>
        <w:rPr>
          <w:rFonts w:hint="eastAsia"/>
          <w:color w:val="auto"/>
          <w:sz w:val="24"/>
          <w:highlight w:val="none"/>
          <w:lang w:eastAsia="zh-CN"/>
        </w:rPr>
        <w:t>磋商</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3F82ECB7">
      <w:pPr>
        <w:spacing w:line="360" w:lineRule="auto"/>
        <w:ind w:firstLine="435"/>
        <w:rPr>
          <w:color w:val="auto"/>
          <w:sz w:val="24"/>
          <w:highlight w:val="none"/>
        </w:rPr>
      </w:pPr>
      <w:r>
        <w:rPr>
          <w:rFonts w:hint="eastAsia"/>
          <w:color w:val="auto"/>
          <w:sz w:val="24"/>
          <w:highlight w:val="none"/>
        </w:rPr>
        <w:t>19.4.4</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磋商</w:t>
      </w:r>
      <w:r>
        <w:rPr>
          <w:color w:val="auto"/>
          <w:sz w:val="24"/>
          <w:highlight w:val="none"/>
        </w:rPr>
        <w:t>小组可以视同其未提供。</w:t>
      </w:r>
    </w:p>
    <w:p w14:paraId="49BF0B81">
      <w:pPr>
        <w:spacing w:line="360" w:lineRule="auto"/>
        <w:ind w:firstLine="435"/>
        <w:rPr>
          <w:color w:val="auto"/>
          <w:sz w:val="24"/>
          <w:highlight w:val="none"/>
        </w:rPr>
      </w:pPr>
      <w:r>
        <w:rPr>
          <w:rFonts w:hint="eastAsia"/>
          <w:color w:val="auto"/>
          <w:sz w:val="24"/>
          <w:highlight w:val="none"/>
        </w:rPr>
        <w:t>19.4.5</w:t>
      </w:r>
      <w:r>
        <w:rPr>
          <w:rFonts w:hint="eastAsia"/>
          <w:color w:val="auto"/>
          <w:sz w:val="24"/>
          <w:highlight w:val="none"/>
          <w:lang w:eastAsia="zh-CN"/>
        </w:rPr>
        <w:t>磋商</w:t>
      </w:r>
      <w:r>
        <w:rPr>
          <w:color w:val="auto"/>
          <w:sz w:val="24"/>
          <w:highlight w:val="none"/>
        </w:rPr>
        <w:t>小组决定响应文件的响应性及符合性只根据响应文件本身的内容，而不寻求其他外部证据。</w:t>
      </w:r>
    </w:p>
    <w:p w14:paraId="6D9CB9B5">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磋商</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19737F7C">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eastAsia="zh-CN"/>
        </w:rPr>
        <w:t>磋商</w:t>
      </w:r>
    </w:p>
    <w:p w14:paraId="13E3E16D">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rPr>
        <w:t>业主单位</w:t>
      </w:r>
      <w:r>
        <w:rPr>
          <w:rFonts w:hint="eastAsia"/>
          <w:color w:val="auto"/>
          <w:sz w:val="24"/>
          <w:highlight w:val="none"/>
        </w:rPr>
        <w:t>和代理机构有权宣布终止</w:t>
      </w:r>
      <w:r>
        <w:rPr>
          <w:rFonts w:hint="eastAsia"/>
          <w:color w:val="auto"/>
          <w:sz w:val="24"/>
          <w:highlight w:val="none"/>
          <w:lang w:eastAsia="zh-CN"/>
        </w:rPr>
        <w:t>磋商</w:t>
      </w:r>
      <w:r>
        <w:rPr>
          <w:rFonts w:hint="eastAsia"/>
          <w:color w:val="auto"/>
          <w:sz w:val="24"/>
          <w:highlight w:val="none"/>
        </w:rPr>
        <w:t>，并将理由通知所有</w:t>
      </w:r>
      <w:r>
        <w:rPr>
          <w:rFonts w:hint="eastAsia"/>
          <w:color w:val="auto"/>
          <w:sz w:val="24"/>
          <w:szCs w:val="18"/>
          <w:highlight w:val="none"/>
          <w:lang w:eastAsia="zh-CN"/>
        </w:rPr>
        <w:t>供应商</w:t>
      </w:r>
      <w:r>
        <w:rPr>
          <w:rFonts w:hint="eastAsia"/>
          <w:color w:val="auto"/>
          <w:sz w:val="24"/>
          <w:highlight w:val="none"/>
        </w:rPr>
        <w:t>：</w:t>
      </w:r>
    </w:p>
    <w:p w14:paraId="61C3B783">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供应商</w:t>
      </w:r>
      <w:r>
        <w:rPr>
          <w:rFonts w:hint="eastAsia"/>
          <w:color w:val="auto"/>
          <w:sz w:val="24"/>
          <w:highlight w:val="none"/>
        </w:rPr>
        <w:t>数量不足，导致本次</w:t>
      </w:r>
      <w:r>
        <w:rPr>
          <w:rFonts w:hint="eastAsia"/>
          <w:color w:val="auto"/>
          <w:sz w:val="24"/>
          <w:highlight w:val="none"/>
          <w:lang w:eastAsia="zh-CN"/>
        </w:rPr>
        <w:t>磋商</w:t>
      </w:r>
      <w:r>
        <w:rPr>
          <w:rFonts w:hint="eastAsia"/>
          <w:color w:val="auto"/>
          <w:sz w:val="24"/>
          <w:highlight w:val="none"/>
        </w:rPr>
        <w:t>缺乏竞争的；</w:t>
      </w:r>
    </w:p>
    <w:p w14:paraId="7278D243">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eastAsia="zh-CN"/>
        </w:rPr>
        <w:t>磋商</w:t>
      </w:r>
      <w:r>
        <w:rPr>
          <w:rFonts w:hint="eastAsia"/>
          <w:color w:val="auto"/>
          <w:sz w:val="24"/>
          <w:highlight w:val="none"/>
        </w:rPr>
        <w:t>公正的违法、违规行为的；</w:t>
      </w:r>
    </w:p>
    <w:p w14:paraId="4F3B1E51">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eastAsia="zh-CN"/>
        </w:rPr>
        <w:t>磋商</w:t>
      </w:r>
      <w:r>
        <w:rPr>
          <w:rFonts w:hint="eastAsia"/>
          <w:color w:val="auto"/>
          <w:sz w:val="24"/>
          <w:highlight w:val="none"/>
        </w:rPr>
        <w:t>任务取消的；</w:t>
      </w:r>
    </w:p>
    <w:p w14:paraId="549D6546">
      <w:pPr>
        <w:spacing w:line="360" w:lineRule="auto"/>
        <w:ind w:firstLine="435"/>
        <w:rPr>
          <w:color w:val="auto"/>
          <w:sz w:val="24"/>
          <w:highlight w:val="none"/>
        </w:rPr>
      </w:pPr>
      <w:r>
        <w:rPr>
          <w:rFonts w:hint="eastAsia"/>
          <w:color w:val="auto"/>
          <w:sz w:val="24"/>
          <w:highlight w:val="none"/>
        </w:rPr>
        <w:t>（4）法律法规规定的其他情形。</w:t>
      </w:r>
    </w:p>
    <w:p w14:paraId="4CE9EE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.响应文件的澄清、说明或</w:t>
      </w:r>
      <w:r>
        <w:rPr>
          <w:rFonts w:hint="eastAsia"/>
          <w:b/>
          <w:color w:val="auto"/>
          <w:sz w:val="24"/>
          <w:highlight w:val="none"/>
        </w:rPr>
        <w:t>更正</w:t>
      </w:r>
    </w:p>
    <w:p w14:paraId="2D251AB0">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磋商</w:t>
      </w:r>
      <w:r>
        <w:rPr>
          <w:rFonts w:hint="eastAsia" w:cs="宋体"/>
          <w:color w:val="auto"/>
          <w:sz w:val="24"/>
          <w:highlight w:val="none"/>
        </w:rPr>
        <w:t>小组将对响应文件的有效性、完整性和响应程度进行审查，审查时可以要求</w:t>
      </w:r>
      <w:r>
        <w:rPr>
          <w:rFonts w:hint="eastAsia"/>
          <w:color w:val="auto"/>
          <w:sz w:val="24"/>
          <w:szCs w:val="18"/>
          <w:highlight w:val="none"/>
          <w:lang w:eastAsia="zh-CN"/>
        </w:rPr>
        <w:t>供应商</w:t>
      </w:r>
      <w:r>
        <w:rPr>
          <w:rFonts w:hint="eastAsia" w:cs="宋体"/>
          <w:color w:val="auto"/>
          <w:sz w:val="24"/>
          <w:highlight w:val="none"/>
        </w:rPr>
        <w:t>对响应文件中含义不明确、同类问题表述不一致或者有明显文字和计算错误的内容等作出必要的澄清、说明或者更正。</w:t>
      </w:r>
      <w:r>
        <w:rPr>
          <w:rFonts w:hint="eastAsia"/>
          <w:color w:val="auto"/>
          <w:sz w:val="24"/>
          <w:szCs w:val="18"/>
          <w:highlight w:val="none"/>
          <w:lang w:eastAsia="zh-CN"/>
        </w:rPr>
        <w:t>供应商</w:t>
      </w:r>
      <w:r>
        <w:rPr>
          <w:rFonts w:hint="eastAsia" w:cs="宋体"/>
          <w:color w:val="auto"/>
          <w:sz w:val="24"/>
          <w:highlight w:val="none"/>
        </w:rPr>
        <w:t>的澄清、说明或者更正不得超出响应文件的范围或者改变响应文件的实质性内容。对不同文字文本响应文件的解释发生异议的，以中文文本为准。</w:t>
      </w:r>
    </w:p>
    <w:p w14:paraId="2ACE32A2">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磋商</w:t>
      </w:r>
      <w:r>
        <w:rPr>
          <w:rFonts w:hint="eastAsia" w:cs="宋体"/>
          <w:color w:val="auto"/>
          <w:sz w:val="24"/>
          <w:highlight w:val="none"/>
        </w:rPr>
        <w:t>小组通过优质采电子工具将需要澄清、说明或补正的内容以询问函的形式发送给</w:t>
      </w:r>
      <w:r>
        <w:rPr>
          <w:rFonts w:hint="eastAsia"/>
          <w:color w:val="auto"/>
          <w:sz w:val="24"/>
          <w:szCs w:val="18"/>
          <w:highlight w:val="none"/>
          <w:lang w:eastAsia="zh-CN"/>
        </w:rPr>
        <w:t>供应商</w:t>
      </w:r>
      <w:r>
        <w:rPr>
          <w:rFonts w:hint="eastAsia" w:cs="宋体"/>
          <w:color w:val="auto"/>
          <w:sz w:val="24"/>
          <w:highlight w:val="none"/>
        </w:rPr>
        <w:t>，</w:t>
      </w:r>
      <w:r>
        <w:rPr>
          <w:rFonts w:hint="eastAsia"/>
          <w:color w:val="auto"/>
          <w:sz w:val="24"/>
          <w:szCs w:val="18"/>
          <w:highlight w:val="none"/>
          <w:lang w:eastAsia="zh-CN"/>
        </w:rPr>
        <w:t>供应商</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磋商</w:t>
      </w:r>
      <w:r>
        <w:rPr>
          <w:rFonts w:hint="eastAsia" w:cs="宋体"/>
          <w:color w:val="auto"/>
          <w:sz w:val="24"/>
          <w:highlight w:val="none"/>
        </w:rPr>
        <w:t>小组可能发出的询问函，并在询问函载明的时间内回复，若</w:t>
      </w:r>
      <w:r>
        <w:rPr>
          <w:rFonts w:hint="eastAsia"/>
          <w:color w:val="auto"/>
          <w:sz w:val="24"/>
          <w:szCs w:val="18"/>
          <w:highlight w:val="none"/>
          <w:lang w:eastAsia="zh-CN"/>
        </w:rPr>
        <w:t>供应商</w:t>
      </w:r>
      <w:r>
        <w:rPr>
          <w:rFonts w:hint="eastAsia" w:cs="宋体"/>
          <w:color w:val="auto"/>
          <w:sz w:val="24"/>
          <w:highlight w:val="none"/>
        </w:rPr>
        <w:t>未及时回复，视为放弃澄清。</w:t>
      </w:r>
    </w:p>
    <w:p w14:paraId="2D54873F">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磋商</w:t>
      </w:r>
      <w:r>
        <w:rPr>
          <w:rFonts w:hint="eastAsia" w:cs="宋体"/>
          <w:b/>
          <w:bCs/>
          <w:color w:val="auto"/>
          <w:sz w:val="24"/>
          <w:szCs w:val="24"/>
          <w:highlight w:val="none"/>
          <w:lang w:bidi="ar"/>
        </w:rPr>
        <w:t>小组询问的，</w:t>
      </w:r>
      <w:r>
        <w:rPr>
          <w:rFonts w:hint="eastAsia"/>
          <w:b/>
          <w:color w:val="auto"/>
          <w:sz w:val="24"/>
          <w:szCs w:val="18"/>
          <w:highlight w:val="none"/>
          <w:lang w:eastAsia="zh-CN"/>
        </w:rPr>
        <w:t>供应商</w:t>
      </w:r>
      <w:r>
        <w:rPr>
          <w:rFonts w:hint="eastAsia" w:cs="宋体"/>
          <w:b/>
          <w:bCs/>
          <w:color w:val="auto"/>
          <w:sz w:val="24"/>
          <w:szCs w:val="24"/>
          <w:highlight w:val="none"/>
          <w:lang w:bidi="ar"/>
        </w:rPr>
        <w:t>自行承担相关风险。</w:t>
      </w:r>
    </w:p>
    <w:p w14:paraId="3605E3CF">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.最后报价</w:t>
      </w:r>
    </w:p>
    <w:p w14:paraId="037ECF44">
      <w:pPr>
        <w:spacing w:line="360" w:lineRule="auto"/>
        <w:ind w:firstLine="435"/>
        <w:rPr>
          <w:color w:val="auto"/>
          <w:sz w:val="24"/>
          <w:highlight w:val="none"/>
        </w:rPr>
      </w:pPr>
      <w:r>
        <w:rPr>
          <w:rFonts w:hint="eastAsia"/>
          <w:color w:val="auto"/>
          <w:sz w:val="24"/>
          <w:highlight w:val="none"/>
        </w:rPr>
        <w:t>22.1</w:t>
      </w:r>
      <w:r>
        <w:rPr>
          <w:rFonts w:hint="eastAsia"/>
          <w:color w:val="auto"/>
          <w:sz w:val="24"/>
          <w:highlight w:val="none"/>
          <w:lang w:val="en-US" w:eastAsia="zh-CN"/>
        </w:rPr>
        <w:t>本次磋商一次性报价</w:t>
      </w:r>
      <w:r>
        <w:rPr>
          <w:color w:val="auto"/>
          <w:sz w:val="24"/>
          <w:highlight w:val="none"/>
        </w:rPr>
        <w:t>。</w:t>
      </w:r>
    </w:p>
    <w:p w14:paraId="7A6121DA">
      <w:pPr>
        <w:spacing w:line="360" w:lineRule="auto"/>
        <w:ind w:firstLine="435"/>
        <w:rPr>
          <w:color w:val="auto"/>
          <w:sz w:val="24"/>
          <w:highlight w:val="none"/>
        </w:rPr>
      </w:pPr>
      <w:r>
        <w:rPr>
          <w:rFonts w:hint="eastAsia"/>
          <w:color w:val="auto"/>
          <w:sz w:val="24"/>
          <w:highlight w:val="none"/>
        </w:rPr>
        <w:t>22.2</w:t>
      </w:r>
      <w:r>
        <w:rPr>
          <w:color w:val="auto"/>
          <w:sz w:val="24"/>
          <w:highlight w:val="none"/>
        </w:rPr>
        <w:t>最后报价是</w:t>
      </w:r>
      <w:r>
        <w:rPr>
          <w:rFonts w:hint="eastAsia"/>
          <w:color w:val="auto"/>
          <w:sz w:val="24"/>
          <w:szCs w:val="18"/>
          <w:highlight w:val="none"/>
          <w:lang w:eastAsia="zh-CN"/>
        </w:rPr>
        <w:t>供应商</w:t>
      </w:r>
      <w:r>
        <w:rPr>
          <w:color w:val="auto"/>
          <w:sz w:val="24"/>
          <w:highlight w:val="none"/>
        </w:rPr>
        <w:t>响应文件的有效组成部分，也是签订合同的依据。</w:t>
      </w:r>
    </w:p>
    <w:p w14:paraId="302C807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22.4除国家政策性文件规定以外，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19E375E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供应商</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文件的要求自主报价。</w:t>
      </w:r>
    </w:p>
    <w:p w14:paraId="36A3C0D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供应商</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37C02036">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53576B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文件中的不可竞争项目清单编制确定。建设工程不可竞争费构成及计费标准按 《关于调整合肥市建设工程不可竞争费构成及计费标准的通知》（合造价〔2021〕5号）执行。 </w:t>
      </w:r>
    </w:p>
    <w:p w14:paraId="49C562F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5309C92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59E46A1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6F57238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6F85489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文件中明确的由</w:t>
      </w:r>
      <w:r>
        <w:rPr>
          <w:rFonts w:hint="eastAsia"/>
          <w:color w:val="auto"/>
          <w:sz w:val="24"/>
          <w:szCs w:val="18"/>
          <w:highlight w:val="none"/>
        </w:rPr>
        <w:t>业主单位</w:t>
      </w:r>
      <w:r>
        <w:rPr>
          <w:rFonts w:hint="eastAsia" w:cs="宋体"/>
          <w:color w:val="auto"/>
          <w:sz w:val="24"/>
          <w:szCs w:val="24"/>
          <w:highlight w:val="none"/>
          <w:lang w:bidi="ar"/>
        </w:rPr>
        <w:t xml:space="preserve">自行采购的材料费。 </w:t>
      </w:r>
    </w:p>
    <w:p w14:paraId="1960360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390FDF1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rPr>
        <w:t>业主单位</w:t>
      </w:r>
      <w:r>
        <w:rPr>
          <w:rFonts w:hint="eastAsia" w:cs="宋体"/>
          <w:color w:val="auto"/>
          <w:sz w:val="24"/>
          <w:szCs w:val="24"/>
          <w:highlight w:val="none"/>
          <w:lang w:bidi="ar"/>
        </w:rPr>
        <w:t>对</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文件予以澄清、修改，否则</w:t>
      </w:r>
      <w:r>
        <w:rPr>
          <w:rFonts w:hint="eastAsia"/>
          <w:color w:val="auto"/>
          <w:sz w:val="24"/>
          <w:szCs w:val="18"/>
          <w:highlight w:val="none"/>
          <w:lang w:eastAsia="zh-CN"/>
        </w:rPr>
        <w:t>供应商</w:t>
      </w:r>
      <w:r>
        <w:rPr>
          <w:rFonts w:hint="eastAsia" w:cs="宋体"/>
          <w:color w:val="auto"/>
          <w:sz w:val="24"/>
          <w:szCs w:val="24"/>
          <w:highlight w:val="none"/>
          <w:lang w:bidi="ar"/>
        </w:rPr>
        <w:t>应按</w:t>
      </w:r>
      <w:r>
        <w:rPr>
          <w:rFonts w:hint="eastAsia"/>
          <w:color w:val="auto"/>
          <w:sz w:val="24"/>
          <w:szCs w:val="18"/>
          <w:highlight w:val="none"/>
        </w:rPr>
        <w:t>业主单位</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供应商</w:t>
      </w:r>
      <w:r>
        <w:rPr>
          <w:rFonts w:hint="eastAsia" w:cs="宋体"/>
          <w:color w:val="auto"/>
          <w:sz w:val="24"/>
          <w:szCs w:val="24"/>
          <w:highlight w:val="none"/>
          <w:lang w:bidi="ar"/>
        </w:rPr>
        <w:t>不得在工程量清单中任意增删、修改清单项目与工程量及项目排列顺序。</w:t>
      </w:r>
    </w:p>
    <w:p w14:paraId="447A3CB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供应商</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供应商</w:t>
      </w:r>
      <w:r>
        <w:rPr>
          <w:rFonts w:hint="eastAsia" w:cs="宋体"/>
          <w:color w:val="auto"/>
          <w:sz w:val="24"/>
          <w:szCs w:val="24"/>
          <w:highlight w:val="none"/>
          <w:lang w:bidi="ar"/>
        </w:rPr>
        <w:t>在响应文件中提出的各项支付金额的总和。每一清单项目只允许有一个报价，任何有选择的报价将不予接受。</w:t>
      </w:r>
      <w:r>
        <w:rPr>
          <w:rFonts w:hint="eastAsia"/>
          <w:color w:val="auto"/>
          <w:sz w:val="24"/>
          <w:szCs w:val="18"/>
          <w:highlight w:val="none"/>
          <w:lang w:eastAsia="zh-CN"/>
        </w:rPr>
        <w:t>供应商</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供应商</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rPr>
        <w:t>业主单位</w:t>
      </w:r>
      <w:r>
        <w:rPr>
          <w:rFonts w:hint="eastAsia" w:cs="宋体"/>
          <w:color w:val="auto"/>
          <w:sz w:val="24"/>
          <w:szCs w:val="24"/>
          <w:highlight w:val="none"/>
          <w:lang w:bidi="ar"/>
        </w:rPr>
        <w:t>将不再另行支付。</w:t>
      </w:r>
    </w:p>
    <w:p w14:paraId="3B095DFE">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02F45C8A">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5E18F4D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供应商</w:t>
      </w:r>
      <w:r>
        <w:rPr>
          <w:rFonts w:hint="eastAsia" w:cs="宋体"/>
          <w:color w:val="auto"/>
          <w:sz w:val="24"/>
          <w:szCs w:val="24"/>
          <w:highlight w:val="none"/>
          <w:lang w:bidi="ar"/>
        </w:rPr>
        <w:t>自行采购的材料确定</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最后报价时应充分考虑材料价格上涨等市场风险因素，成交后不作调整，综合单价中的材料费应包括材料运杂费、采保费及试验检验费。 </w:t>
      </w:r>
    </w:p>
    <w:p w14:paraId="72ECAFC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rPr>
        <w:t>业主单位</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20A82C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文件中暂时估定的工程、货物、服务的金额。</w:t>
      </w:r>
    </w:p>
    <w:p w14:paraId="36ADE6F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供应商</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报价范围内，</w:t>
      </w:r>
      <w:r>
        <w:rPr>
          <w:rFonts w:hint="eastAsia"/>
          <w:color w:val="auto"/>
          <w:sz w:val="24"/>
          <w:szCs w:val="18"/>
          <w:highlight w:val="none"/>
        </w:rPr>
        <w:t>业主单位</w:t>
      </w:r>
      <w:r>
        <w:rPr>
          <w:rFonts w:hint="eastAsia" w:cs="宋体"/>
          <w:color w:val="auto"/>
          <w:sz w:val="24"/>
          <w:szCs w:val="24"/>
          <w:highlight w:val="none"/>
          <w:lang w:bidi="ar"/>
        </w:rPr>
        <w:t>不再承担该费用。</w:t>
      </w:r>
    </w:p>
    <w:p w14:paraId="46568F5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1A3A8E0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22.11.1本工程经成交后，工程总造价在</w:t>
      </w:r>
      <w:r>
        <w:rPr>
          <w:rFonts w:hint="eastAsia" w:cs="宋体"/>
          <w:color w:val="auto"/>
          <w:sz w:val="24"/>
          <w:szCs w:val="24"/>
          <w:highlight w:val="none"/>
          <w:lang w:eastAsia="zh-CN" w:bidi="ar"/>
        </w:rPr>
        <w:t>磋商</w:t>
      </w:r>
      <w:r>
        <w:rPr>
          <w:rFonts w:hint="eastAsia" w:cs="宋体"/>
          <w:color w:val="auto"/>
          <w:sz w:val="24"/>
          <w:szCs w:val="24"/>
          <w:highlight w:val="none"/>
          <w:lang w:bidi="ar"/>
        </w:rPr>
        <w:t>范围内包定，除经批准的设计变更、经济签证外，其它工程造价增减均不予签证计价。</w:t>
      </w:r>
    </w:p>
    <w:p w14:paraId="7AA582B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磋商</w:t>
      </w:r>
      <w:r>
        <w:rPr>
          <w:rFonts w:hint="eastAsia" w:cs="宋体"/>
          <w:color w:val="auto"/>
          <w:sz w:val="24"/>
          <w:szCs w:val="24"/>
          <w:highlight w:val="none"/>
          <w:lang w:bidi="ar"/>
        </w:rPr>
        <w:t>前，</w:t>
      </w:r>
      <w:r>
        <w:rPr>
          <w:rFonts w:hint="eastAsia"/>
          <w:color w:val="auto"/>
          <w:sz w:val="24"/>
          <w:szCs w:val="18"/>
          <w:highlight w:val="none"/>
          <w:lang w:eastAsia="zh-CN"/>
        </w:rPr>
        <w:t>供应商</w:t>
      </w:r>
      <w:r>
        <w:rPr>
          <w:rFonts w:hint="eastAsia" w:cs="宋体"/>
          <w:color w:val="auto"/>
          <w:sz w:val="24"/>
          <w:szCs w:val="24"/>
          <w:highlight w:val="none"/>
          <w:lang w:bidi="ar"/>
        </w:rPr>
        <w:t>应认真对照施工设计图纸等文件核对</w:t>
      </w:r>
      <w:r>
        <w:rPr>
          <w:rFonts w:hint="eastAsia"/>
          <w:color w:val="auto"/>
          <w:sz w:val="24"/>
          <w:szCs w:val="18"/>
          <w:highlight w:val="none"/>
        </w:rPr>
        <w:t>业主单位</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rPr>
        <w:t>业主单位</w:t>
      </w:r>
      <w:r>
        <w:rPr>
          <w:rFonts w:hint="eastAsia" w:cs="宋体"/>
          <w:color w:val="auto"/>
          <w:sz w:val="24"/>
          <w:szCs w:val="24"/>
          <w:highlight w:val="none"/>
          <w:lang w:bidi="ar"/>
        </w:rPr>
        <w:t>提出疑问，否则</w:t>
      </w:r>
      <w:r>
        <w:rPr>
          <w:rFonts w:hint="eastAsia"/>
          <w:color w:val="auto"/>
          <w:sz w:val="24"/>
          <w:szCs w:val="18"/>
          <w:highlight w:val="none"/>
        </w:rPr>
        <w:t>业主单位</w:t>
      </w:r>
      <w:r>
        <w:rPr>
          <w:rFonts w:hint="eastAsia" w:cs="宋体"/>
          <w:color w:val="auto"/>
          <w:sz w:val="24"/>
          <w:szCs w:val="24"/>
          <w:highlight w:val="none"/>
          <w:lang w:bidi="ar"/>
        </w:rPr>
        <w:t>可不予答复。</w:t>
      </w:r>
    </w:p>
    <w:p w14:paraId="67C5FDB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rPr>
        <w:t>业主单位</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rPr>
        <w:t>业主单位</w:t>
      </w:r>
      <w:r>
        <w:rPr>
          <w:rFonts w:hint="eastAsia" w:cs="宋体"/>
          <w:color w:val="auto"/>
          <w:sz w:val="24"/>
          <w:szCs w:val="24"/>
          <w:highlight w:val="none"/>
          <w:lang w:bidi="ar"/>
        </w:rPr>
        <w:t>可不予调整工程量，</w:t>
      </w:r>
      <w:r>
        <w:rPr>
          <w:rFonts w:hint="eastAsia"/>
          <w:color w:val="auto"/>
          <w:sz w:val="24"/>
          <w:szCs w:val="18"/>
          <w:highlight w:val="none"/>
          <w:lang w:eastAsia="zh-CN"/>
        </w:rPr>
        <w:t>供应商</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rPr>
        <w:t>业主单位</w:t>
      </w:r>
      <w:r>
        <w:rPr>
          <w:rFonts w:hint="eastAsia" w:cs="宋体"/>
          <w:color w:val="auto"/>
          <w:sz w:val="24"/>
          <w:szCs w:val="24"/>
          <w:highlight w:val="none"/>
          <w:lang w:bidi="ar"/>
        </w:rPr>
        <w:t>应进行修正并重新公布准确的工程量清单。</w:t>
      </w:r>
    </w:p>
    <w:p w14:paraId="17529F5D">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供应商</w:t>
      </w:r>
      <w:r>
        <w:rPr>
          <w:rFonts w:hint="eastAsia" w:cs="宋体"/>
          <w:color w:val="auto"/>
          <w:sz w:val="24"/>
          <w:szCs w:val="24"/>
          <w:highlight w:val="none"/>
          <w:lang w:bidi="ar"/>
        </w:rPr>
        <w:t>在规定时间内未对工程量清单提出疑问的，成交后，</w:t>
      </w:r>
      <w:r>
        <w:rPr>
          <w:rFonts w:hint="eastAsia"/>
          <w:color w:val="auto"/>
          <w:sz w:val="24"/>
          <w:szCs w:val="18"/>
          <w:highlight w:val="none"/>
        </w:rPr>
        <w:t>业主单位</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供应商</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文件规定范围内的设计图纸规定的所有工程项目。</w:t>
      </w:r>
    </w:p>
    <w:p w14:paraId="2510AD5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22.12成交人在工程量清单报价书中所报的综合单价一律不予调整。 </w:t>
      </w:r>
    </w:p>
    <w:p w14:paraId="1D47EE2A">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22.13本工程不接受恶意不平衡报价，不保证最低价成交。</w:t>
      </w:r>
    </w:p>
    <w:p w14:paraId="2FB5B7C2">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bidi="ar"/>
        </w:rPr>
        <w:t>成交候选人的推荐原则及标准</w:t>
      </w:r>
    </w:p>
    <w:p w14:paraId="7CE84B2A">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磋商</w:t>
      </w:r>
      <w:r>
        <w:rPr>
          <w:rFonts w:hint="eastAsia"/>
          <w:color w:val="auto"/>
          <w:sz w:val="24"/>
          <w:highlight w:val="none"/>
        </w:rPr>
        <w:t>小组</w:t>
      </w:r>
      <w:r>
        <w:rPr>
          <w:color w:val="auto"/>
          <w:sz w:val="24"/>
          <w:highlight w:val="none"/>
        </w:rPr>
        <w:t>依据本项目</w:t>
      </w:r>
      <w:r>
        <w:rPr>
          <w:rFonts w:hint="eastAsia"/>
          <w:color w:val="auto"/>
          <w:sz w:val="24"/>
          <w:highlight w:val="none"/>
          <w:lang w:eastAsia="zh-CN"/>
        </w:rPr>
        <w:t>磋商</w:t>
      </w:r>
      <w:r>
        <w:rPr>
          <w:color w:val="auto"/>
          <w:sz w:val="24"/>
          <w:highlight w:val="none"/>
        </w:rPr>
        <w:t>文件所约定的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供应商</w:t>
      </w:r>
      <w:r>
        <w:rPr>
          <w:rFonts w:hint="eastAsia"/>
          <w:color w:val="auto"/>
          <w:sz w:val="24"/>
          <w:highlight w:val="none"/>
        </w:rPr>
        <w:t>综合总得分由高到低依次推荐成交候选</w:t>
      </w:r>
      <w:r>
        <w:rPr>
          <w:rFonts w:hint="eastAsia"/>
          <w:color w:val="auto"/>
          <w:sz w:val="24"/>
          <w:szCs w:val="18"/>
          <w:highlight w:val="none"/>
        </w:rPr>
        <w:t>人</w:t>
      </w:r>
      <w:r>
        <w:rPr>
          <w:rFonts w:hint="eastAsia"/>
          <w:color w:val="auto"/>
          <w:sz w:val="24"/>
          <w:highlight w:val="none"/>
        </w:rPr>
        <w:t>。综合总得分出现两家或两家以上相同者，按最后报价由低到高排序推荐成交候选</w:t>
      </w:r>
      <w:r>
        <w:rPr>
          <w:rFonts w:hint="eastAsia"/>
          <w:color w:val="auto"/>
          <w:sz w:val="24"/>
          <w:szCs w:val="18"/>
          <w:highlight w:val="none"/>
        </w:rPr>
        <w:t>人</w:t>
      </w:r>
      <w:r>
        <w:rPr>
          <w:rFonts w:hint="eastAsia"/>
          <w:color w:val="auto"/>
          <w:sz w:val="24"/>
          <w:highlight w:val="none"/>
        </w:rPr>
        <w:t>；综合总得分且最后报价均相同的，由</w:t>
      </w:r>
      <w:r>
        <w:rPr>
          <w:rFonts w:hint="eastAsia"/>
          <w:color w:val="auto"/>
          <w:sz w:val="24"/>
          <w:highlight w:val="none"/>
          <w:lang w:eastAsia="zh-CN"/>
        </w:rPr>
        <w:t>磋商</w:t>
      </w:r>
      <w:r>
        <w:rPr>
          <w:rFonts w:hint="eastAsia"/>
          <w:color w:val="auto"/>
          <w:sz w:val="24"/>
          <w:highlight w:val="none"/>
        </w:rPr>
        <w:t>小组按照技术指标优劣顺序推荐成交候选</w:t>
      </w:r>
      <w:r>
        <w:rPr>
          <w:rFonts w:hint="eastAsia"/>
          <w:color w:val="auto"/>
          <w:sz w:val="24"/>
          <w:szCs w:val="18"/>
          <w:highlight w:val="none"/>
        </w:rPr>
        <w:t>人</w:t>
      </w:r>
      <w:r>
        <w:rPr>
          <w:rFonts w:hint="eastAsia"/>
          <w:color w:val="auto"/>
          <w:sz w:val="24"/>
          <w:highlight w:val="none"/>
        </w:rPr>
        <w:t>。</w:t>
      </w:r>
    </w:p>
    <w:p w14:paraId="5AA2EFC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23.2凡发现成交候选人有下列行为之一的，成交无效，并移交监管部门依法处理：</w:t>
      </w:r>
    </w:p>
    <w:p w14:paraId="7DF06D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6E99DF4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供应商</w:t>
      </w:r>
      <w:r>
        <w:rPr>
          <w:rFonts w:hint="eastAsia" w:cs="宋体"/>
          <w:color w:val="auto"/>
          <w:sz w:val="24"/>
          <w:szCs w:val="24"/>
          <w:highlight w:val="none"/>
          <w:lang w:bidi="ar"/>
        </w:rPr>
        <w:t>之间协商报价等响应文件的实质性内容；</w:t>
      </w:r>
    </w:p>
    <w:p w14:paraId="4848B39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供应商</w:t>
      </w:r>
      <w:r>
        <w:rPr>
          <w:rFonts w:hint="eastAsia" w:cs="宋体"/>
          <w:color w:val="auto"/>
          <w:sz w:val="24"/>
          <w:szCs w:val="24"/>
          <w:highlight w:val="none"/>
          <w:lang w:bidi="ar"/>
        </w:rPr>
        <w:t>之间约定成交人；</w:t>
      </w:r>
    </w:p>
    <w:p w14:paraId="5F392FA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供应商</w:t>
      </w:r>
      <w:r>
        <w:rPr>
          <w:rFonts w:hint="eastAsia" w:cs="宋体"/>
          <w:color w:val="auto"/>
          <w:sz w:val="24"/>
          <w:szCs w:val="24"/>
          <w:highlight w:val="none"/>
          <w:lang w:bidi="ar"/>
        </w:rPr>
        <w:t>之间约定部分</w:t>
      </w:r>
      <w:r>
        <w:rPr>
          <w:rFonts w:hint="eastAsia"/>
          <w:color w:val="auto"/>
          <w:sz w:val="24"/>
          <w:szCs w:val="18"/>
          <w:highlight w:val="none"/>
          <w:lang w:eastAsia="zh-CN"/>
        </w:rPr>
        <w:t>供应商</w:t>
      </w:r>
      <w:r>
        <w:rPr>
          <w:rFonts w:hint="eastAsia" w:cs="宋体"/>
          <w:color w:val="auto"/>
          <w:sz w:val="24"/>
          <w:szCs w:val="24"/>
          <w:highlight w:val="none"/>
          <w:lang w:bidi="ar"/>
        </w:rPr>
        <w:t>放弃</w:t>
      </w:r>
      <w:r>
        <w:rPr>
          <w:rFonts w:hint="eastAsia" w:cs="宋体"/>
          <w:color w:val="auto"/>
          <w:sz w:val="24"/>
          <w:szCs w:val="24"/>
          <w:highlight w:val="none"/>
          <w:lang w:eastAsia="zh-CN" w:bidi="ar"/>
        </w:rPr>
        <w:t>磋商</w:t>
      </w:r>
      <w:r>
        <w:rPr>
          <w:rFonts w:hint="eastAsia" w:cs="宋体"/>
          <w:color w:val="auto"/>
          <w:sz w:val="24"/>
          <w:szCs w:val="24"/>
          <w:highlight w:val="none"/>
          <w:lang w:bidi="ar"/>
        </w:rPr>
        <w:t>或者成交；</w:t>
      </w:r>
    </w:p>
    <w:p w14:paraId="681AA92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供应商</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6894A5C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供应商</w:t>
      </w:r>
      <w:r>
        <w:rPr>
          <w:rFonts w:hint="eastAsia" w:cs="宋体"/>
          <w:color w:val="auto"/>
          <w:sz w:val="24"/>
          <w:szCs w:val="24"/>
          <w:highlight w:val="none"/>
          <w:lang w:bidi="ar"/>
        </w:rPr>
        <w:t>之间为谋取成交或者排斥特定</w:t>
      </w:r>
      <w:r>
        <w:rPr>
          <w:rFonts w:hint="eastAsia"/>
          <w:color w:val="auto"/>
          <w:sz w:val="24"/>
          <w:szCs w:val="18"/>
          <w:highlight w:val="none"/>
          <w:lang w:eastAsia="zh-CN"/>
        </w:rPr>
        <w:t>供应商</w:t>
      </w:r>
      <w:r>
        <w:rPr>
          <w:rFonts w:hint="eastAsia" w:cs="宋体"/>
          <w:color w:val="auto"/>
          <w:sz w:val="24"/>
          <w:szCs w:val="24"/>
          <w:highlight w:val="none"/>
          <w:lang w:bidi="ar"/>
        </w:rPr>
        <w:t>而采取的其他联合行动。</w:t>
      </w:r>
    </w:p>
    <w:p w14:paraId="3B9F8A6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09BF1C0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的响应文件由同一单位或者个人编制；</w:t>
      </w:r>
    </w:p>
    <w:p w14:paraId="526BC35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供应商</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磋商</w:t>
      </w:r>
      <w:r>
        <w:rPr>
          <w:rFonts w:hint="eastAsia" w:cs="宋体"/>
          <w:color w:val="auto"/>
          <w:sz w:val="24"/>
          <w:szCs w:val="24"/>
          <w:highlight w:val="none"/>
          <w:lang w:bidi="ar"/>
        </w:rPr>
        <w:t>事宜；</w:t>
      </w:r>
    </w:p>
    <w:p w14:paraId="63ABA7A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的响应文件载明的项目管理成员为同一人；</w:t>
      </w:r>
    </w:p>
    <w:p w14:paraId="7CF96B5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的响应文件异常一致或者报价呈规律性差异；</w:t>
      </w:r>
    </w:p>
    <w:p w14:paraId="2A838F4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的响应文件相互混装；</w:t>
      </w:r>
    </w:p>
    <w:p w14:paraId="1D84B09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供应商</w:t>
      </w:r>
      <w:r>
        <w:rPr>
          <w:rFonts w:hint="eastAsia" w:cs="宋体"/>
          <w:color w:val="auto"/>
          <w:sz w:val="24"/>
          <w:szCs w:val="24"/>
          <w:highlight w:val="none"/>
          <w:lang w:bidi="ar"/>
        </w:rPr>
        <w:t>的</w:t>
      </w:r>
      <w:r>
        <w:rPr>
          <w:rFonts w:hint="eastAsia" w:cs="宋体"/>
          <w:color w:val="auto"/>
          <w:sz w:val="24"/>
          <w:szCs w:val="24"/>
          <w:highlight w:val="none"/>
          <w:lang w:eastAsia="zh-CN" w:bidi="ar"/>
        </w:rPr>
        <w:t>磋商</w:t>
      </w:r>
      <w:r>
        <w:rPr>
          <w:rFonts w:hint="eastAsia" w:cs="宋体"/>
          <w:color w:val="auto"/>
          <w:sz w:val="24"/>
          <w:szCs w:val="24"/>
          <w:highlight w:val="none"/>
          <w:lang w:bidi="ar"/>
        </w:rPr>
        <w:t>保证金从同一单位或者个人的账户转出。</w:t>
      </w:r>
    </w:p>
    <w:p w14:paraId="224136D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串通：</w:t>
      </w:r>
    </w:p>
    <w:p w14:paraId="3D3B947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前开启响应文件并将有关信息泄露给其他</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7131867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rPr>
        <w:t>业主单位</w:t>
      </w:r>
      <w:r>
        <w:rPr>
          <w:rFonts w:hint="eastAsia" w:cs="宋体"/>
          <w:color w:val="auto"/>
          <w:sz w:val="24"/>
          <w:szCs w:val="24"/>
          <w:highlight w:val="none"/>
          <w:lang w:bidi="ar"/>
        </w:rPr>
        <w:t>直接或者间接向</w:t>
      </w:r>
      <w:r>
        <w:rPr>
          <w:rFonts w:hint="eastAsia"/>
          <w:color w:val="auto"/>
          <w:sz w:val="24"/>
          <w:szCs w:val="18"/>
          <w:highlight w:val="none"/>
          <w:lang w:eastAsia="zh-CN"/>
        </w:rPr>
        <w:t>供应商</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小组成员等信息；</w:t>
      </w:r>
    </w:p>
    <w:p w14:paraId="2C605D7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压低或者抬高报价；</w:t>
      </w:r>
    </w:p>
    <w:p w14:paraId="0CF1133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rPr>
        <w:t>业主单位</w:t>
      </w:r>
      <w:r>
        <w:rPr>
          <w:rFonts w:hint="eastAsia" w:cs="宋体"/>
          <w:color w:val="auto"/>
          <w:sz w:val="24"/>
          <w:szCs w:val="24"/>
          <w:highlight w:val="none"/>
          <w:lang w:bidi="ar"/>
        </w:rPr>
        <w:t>授意</w:t>
      </w:r>
      <w:r>
        <w:rPr>
          <w:rFonts w:hint="eastAsia"/>
          <w:color w:val="auto"/>
          <w:sz w:val="24"/>
          <w:szCs w:val="18"/>
          <w:highlight w:val="none"/>
          <w:lang w:eastAsia="zh-CN"/>
        </w:rPr>
        <w:t>供应商</w:t>
      </w:r>
      <w:r>
        <w:rPr>
          <w:rFonts w:hint="eastAsia" w:cs="宋体"/>
          <w:color w:val="auto"/>
          <w:sz w:val="24"/>
          <w:szCs w:val="24"/>
          <w:highlight w:val="none"/>
          <w:lang w:bidi="ar"/>
        </w:rPr>
        <w:t>撤换、修改响应文件；</w:t>
      </w:r>
    </w:p>
    <w:p w14:paraId="4E9089C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为特定</w:t>
      </w:r>
      <w:r>
        <w:rPr>
          <w:rFonts w:hint="eastAsia"/>
          <w:color w:val="auto"/>
          <w:sz w:val="24"/>
          <w:szCs w:val="18"/>
          <w:highlight w:val="none"/>
          <w:lang w:eastAsia="zh-CN"/>
        </w:rPr>
        <w:t>供应商</w:t>
      </w:r>
      <w:r>
        <w:rPr>
          <w:rFonts w:hint="eastAsia" w:cs="宋体"/>
          <w:color w:val="auto"/>
          <w:sz w:val="24"/>
          <w:szCs w:val="24"/>
          <w:highlight w:val="none"/>
          <w:lang w:bidi="ar"/>
        </w:rPr>
        <w:t>成交提供方便；</w:t>
      </w:r>
    </w:p>
    <w:p w14:paraId="408C692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为谋求特定</w:t>
      </w:r>
      <w:r>
        <w:rPr>
          <w:rFonts w:hint="eastAsia"/>
          <w:color w:val="auto"/>
          <w:sz w:val="24"/>
          <w:szCs w:val="18"/>
          <w:highlight w:val="none"/>
          <w:lang w:eastAsia="zh-CN"/>
        </w:rPr>
        <w:t>供应商</w:t>
      </w:r>
      <w:r>
        <w:rPr>
          <w:rFonts w:hint="eastAsia" w:cs="宋体"/>
          <w:color w:val="auto"/>
          <w:sz w:val="24"/>
          <w:szCs w:val="24"/>
          <w:highlight w:val="none"/>
          <w:lang w:bidi="ar"/>
        </w:rPr>
        <w:t>成交而采取的其他串通行为。</w:t>
      </w:r>
    </w:p>
    <w:p w14:paraId="35C1EA3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磋商</w:t>
      </w:r>
      <w:r>
        <w:rPr>
          <w:rFonts w:hint="eastAsia" w:cs="宋体"/>
          <w:color w:val="auto"/>
          <w:sz w:val="24"/>
          <w:szCs w:val="24"/>
          <w:highlight w:val="none"/>
          <w:lang w:bidi="ar"/>
        </w:rPr>
        <w:t>的，</w:t>
      </w:r>
    </w:p>
    <w:p w14:paraId="730E395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供应商</w:t>
      </w:r>
      <w:r>
        <w:rPr>
          <w:rFonts w:hint="eastAsia" w:cs="宋体"/>
          <w:color w:val="auto"/>
          <w:sz w:val="24"/>
          <w:szCs w:val="24"/>
          <w:highlight w:val="none"/>
          <w:lang w:bidi="ar"/>
        </w:rPr>
        <w:t>有下列情形之一的，属于以其他方式弄虚作假的行为：</w:t>
      </w:r>
    </w:p>
    <w:p w14:paraId="2E1BBC2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582462A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3443BD5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D4A0B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569D527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7DF92A1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7E043C6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确定成交候选人和成交人</w:t>
      </w:r>
    </w:p>
    <w:p w14:paraId="64CF755E">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磋商</w:t>
      </w:r>
      <w:r>
        <w:rPr>
          <w:rFonts w:hint="eastAsia"/>
          <w:color w:val="auto"/>
          <w:sz w:val="24"/>
          <w:highlight w:val="none"/>
        </w:rPr>
        <w:t>小组根据综合评分的结果和</w:t>
      </w:r>
      <w:r>
        <w:rPr>
          <w:rFonts w:hint="eastAsia"/>
          <w:color w:val="auto"/>
          <w:sz w:val="24"/>
          <w:szCs w:val="18"/>
          <w:highlight w:val="none"/>
          <w:lang w:eastAsia="zh-CN"/>
        </w:rPr>
        <w:t>供应商</w:t>
      </w:r>
      <w:r>
        <w:rPr>
          <w:color w:val="auto"/>
          <w:sz w:val="24"/>
          <w:highlight w:val="none"/>
        </w:rPr>
        <w:t>须知前附表中规定</w:t>
      </w:r>
      <w:r>
        <w:rPr>
          <w:rFonts w:hint="eastAsia"/>
          <w:color w:val="auto"/>
          <w:sz w:val="24"/>
          <w:highlight w:val="none"/>
        </w:rPr>
        <w:t>确定成交候选人，并标明排列顺序。排名第一的成交候选人经</w:t>
      </w:r>
      <w:r>
        <w:rPr>
          <w:rFonts w:hint="eastAsia"/>
          <w:color w:val="auto"/>
          <w:sz w:val="24"/>
          <w:szCs w:val="18"/>
          <w:highlight w:val="none"/>
        </w:rPr>
        <w:t>业主单位</w:t>
      </w:r>
      <w:r>
        <w:rPr>
          <w:rFonts w:hint="eastAsia"/>
          <w:color w:val="auto"/>
          <w:sz w:val="24"/>
          <w:highlight w:val="none"/>
        </w:rPr>
        <w:t>或</w:t>
      </w:r>
      <w:r>
        <w:rPr>
          <w:rFonts w:hint="eastAsia"/>
          <w:color w:val="auto"/>
          <w:sz w:val="24"/>
          <w:szCs w:val="18"/>
          <w:highlight w:val="none"/>
        </w:rPr>
        <w:t>业主单位</w:t>
      </w:r>
      <w:r>
        <w:rPr>
          <w:rFonts w:hint="eastAsia"/>
          <w:color w:val="auto"/>
          <w:sz w:val="24"/>
          <w:highlight w:val="none"/>
        </w:rPr>
        <w:t>授权的</w:t>
      </w:r>
      <w:r>
        <w:rPr>
          <w:rFonts w:hint="eastAsia"/>
          <w:color w:val="auto"/>
          <w:sz w:val="24"/>
          <w:highlight w:val="none"/>
          <w:lang w:eastAsia="zh-CN"/>
        </w:rPr>
        <w:t>磋商</w:t>
      </w:r>
      <w:r>
        <w:rPr>
          <w:rFonts w:hint="eastAsia"/>
          <w:color w:val="auto"/>
          <w:sz w:val="24"/>
          <w:highlight w:val="none"/>
        </w:rPr>
        <w:t>小组确定为成交人后，由代理机构在指定媒体上予以公告。</w:t>
      </w:r>
    </w:p>
    <w:p w14:paraId="01E503D5">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5</w:t>
      </w:r>
      <w:r>
        <w:rPr>
          <w:b/>
          <w:color w:val="auto"/>
          <w:sz w:val="24"/>
          <w:highlight w:val="none"/>
        </w:rPr>
        <w:t>.编写评审报告</w:t>
      </w:r>
    </w:p>
    <w:p w14:paraId="4459B894">
      <w:pPr>
        <w:spacing w:line="360" w:lineRule="auto"/>
        <w:ind w:firstLine="435"/>
        <w:rPr>
          <w:color w:val="auto"/>
          <w:sz w:val="24"/>
          <w:highlight w:val="none"/>
        </w:rPr>
      </w:pPr>
      <w:r>
        <w:rPr>
          <w:rFonts w:hint="eastAsia"/>
          <w:color w:val="auto"/>
          <w:sz w:val="24"/>
          <w:highlight w:val="none"/>
        </w:rPr>
        <w:t>25.1评审报告是根据全体</w:t>
      </w:r>
      <w:r>
        <w:rPr>
          <w:rFonts w:hint="eastAsia"/>
          <w:color w:val="auto"/>
          <w:sz w:val="24"/>
          <w:highlight w:val="none"/>
          <w:lang w:eastAsia="zh-CN"/>
        </w:rPr>
        <w:t>磋商</w:t>
      </w:r>
      <w:r>
        <w:rPr>
          <w:rFonts w:hint="eastAsia"/>
          <w:color w:val="auto"/>
          <w:sz w:val="24"/>
          <w:highlight w:val="none"/>
        </w:rPr>
        <w:t>小组成员签字的原始评审记录和评审结果编写的报告，评审报告由</w:t>
      </w:r>
      <w:r>
        <w:rPr>
          <w:rFonts w:hint="eastAsia"/>
          <w:color w:val="auto"/>
          <w:sz w:val="24"/>
          <w:highlight w:val="none"/>
          <w:lang w:eastAsia="zh-CN"/>
        </w:rPr>
        <w:t>磋商</w:t>
      </w:r>
      <w:r>
        <w:rPr>
          <w:rFonts w:hint="eastAsia"/>
          <w:color w:val="auto"/>
          <w:sz w:val="24"/>
          <w:highlight w:val="none"/>
        </w:rPr>
        <w:t>小组全体成员签字。对评审结论持有异议的</w:t>
      </w:r>
      <w:r>
        <w:rPr>
          <w:rFonts w:hint="eastAsia"/>
          <w:color w:val="auto"/>
          <w:sz w:val="24"/>
          <w:highlight w:val="none"/>
          <w:lang w:eastAsia="zh-CN"/>
        </w:rPr>
        <w:t>磋商</w:t>
      </w:r>
      <w:r>
        <w:rPr>
          <w:rFonts w:hint="eastAsia"/>
          <w:color w:val="auto"/>
          <w:sz w:val="24"/>
          <w:highlight w:val="none"/>
        </w:rPr>
        <w:t>小组成员可以书面方式阐述其不同意见和理由。</w:t>
      </w:r>
      <w:r>
        <w:rPr>
          <w:rFonts w:hint="eastAsia"/>
          <w:color w:val="auto"/>
          <w:sz w:val="24"/>
          <w:highlight w:val="none"/>
          <w:lang w:eastAsia="zh-CN"/>
        </w:rPr>
        <w:t>磋商</w:t>
      </w:r>
      <w:r>
        <w:rPr>
          <w:rFonts w:hint="eastAsia"/>
          <w:color w:val="auto"/>
          <w:sz w:val="24"/>
          <w:highlight w:val="none"/>
        </w:rPr>
        <w:t>小组成员拒绝在评审报告上签字且不陈述其不同意见和理由的，视为同意评审结论。</w:t>
      </w:r>
    </w:p>
    <w:p w14:paraId="3FE02BAD">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73C9016B">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3A213E0C">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CF69931">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bidi="ar"/>
        </w:rPr>
        <w:t>成交候选人和成交结果公示</w:t>
      </w:r>
    </w:p>
    <w:p w14:paraId="390E704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eastAsia="zh-CN" w:bidi="ar"/>
        </w:rPr>
        <w:t>磋商</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eastAsia="zh-CN"/>
        </w:rPr>
        <w:t>磋商</w:t>
      </w:r>
      <w:r>
        <w:rPr>
          <w:rFonts w:hint="eastAsia"/>
          <w:color w:val="auto"/>
          <w:sz w:val="24"/>
          <w:highlight w:val="none"/>
        </w:rPr>
        <w:t>公告的媒介上</w:t>
      </w:r>
      <w:r>
        <w:rPr>
          <w:rFonts w:hint="eastAsia" w:cs="宋体"/>
          <w:color w:val="auto"/>
          <w:sz w:val="24"/>
          <w:szCs w:val="24"/>
          <w:highlight w:val="none"/>
          <w:lang w:bidi="ar"/>
        </w:rPr>
        <w:t>发布成交候选人公示和成交结果公示。</w:t>
      </w:r>
    </w:p>
    <w:p w14:paraId="256DE29A">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rPr>
        <w:t>业主单位</w:t>
      </w:r>
      <w:r>
        <w:rPr>
          <w:rFonts w:hint="eastAsia" w:cs="宋体"/>
          <w:color w:val="auto"/>
          <w:sz w:val="24"/>
          <w:szCs w:val="24"/>
          <w:highlight w:val="none"/>
          <w:lang w:bidi="ar"/>
        </w:rPr>
        <w:t>在收到评审报告之日起3日内，依法公示成交候选人。</w:t>
      </w:r>
      <w:r>
        <w:rPr>
          <w:rFonts w:hint="eastAsia"/>
          <w:color w:val="auto"/>
          <w:sz w:val="24"/>
          <w:szCs w:val="18"/>
          <w:highlight w:val="none"/>
        </w:rPr>
        <w:t>业主单位</w:t>
      </w:r>
      <w:r>
        <w:rPr>
          <w:rFonts w:hint="eastAsia" w:cs="宋体"/>
          <w:color w:val="auto"/>
          <w:sz w:val="24"/>
          <w:szCs w:val="24"/>
          <w:highlight w:val="none"/>
          <w:lang w:bidi="ar"/>
        </w:rPr>
        <w:t>在确定成交人之日起3日内，依法公示成交结果。</w:t>
      </w:r>
    </w:p>
    <w:p w14:paraId="2D63E9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rPr>
        <w:t>成交</w:t>
      </w:r>
      <w:r>
        <w:rPr>
          <w:b/>
          <w:color w:val="auto"/>
          <w:sz w:val="24"/>
          <w:highlight w:val="none"/>
        </w:rPr>
        <w:t>通知书</w:t>
      </w:r>
    </w:p>
    <w:p w14:paraId="353C92AE">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rPr>
        <w:t>成交</w:t>
      </w:r>
      <w:r>
        <w:rPr>
          <w:color w:val="auto"/>
          <w:sz w:val="24"/>
          <w:highlight w:val="none"/>
        </w:rPr>
        <w:t>结果公告的同时以</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rPr>
        <w:t>成交人</w:t>
      </w:r>
      <w:r>
        <w:rPr>
          <w:color w:val="auto"/>
          <w:sz w:val="24"/>
          <w:highlight w:val="none"/>
        </w:rPr>
        <w:t>发出</w:t>
      </w:r>
      <w:r>
        <w:rPr>
          <w:rFonts w:hint="eastAsia"/>
          <w:color w:val="auto"/>
          <w:sz w:val="24"/>
          <w:highlight w:val="none"/>
        </w:rPr>
        <w:t>成交</w:t>
      </w:r>
      <w:r>
        <w:rPr>
          <w:color w:val="auto"/>
          <w:sz w:val="24"/>
          <w:highlight w:val="none"/>
        </w:rPr>
        <w:t>通知书。</w:t>
      </w:r>
    </w:p>
    <w:p w14:paraId="7F9E7774">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rPr>
        <w:t>成交</w:t>
      </w:r>
      <w:r>
        <w:rPr>
          <w:color w:val="auto"/>
          <w:sz w:val="24"/>
          <w:highlight w:val="none"/>
        </w:rPr>
        <w:t>通知书对</w:t>
      </w:r>
      <w:r>
        <w:rPr>
          <w:rFonts w:hint="eastAsia"/>
          <w:color w:val="auto"/>
          <w:sz w:val="24"/>
          <w:szCs w:val="18"/>
          <w:highlight w:val="none"/>
        </w:rPr>
        <w:t>业主单位</w:t>
      </w:r>
      <w:r>
        <w:rPr>
          <w:color w:val="auto"/>
          <w:sz w:val="24"/>
          <w:highlight w:val="none"/>
        </w:rPr>
        <w:t>和</w:t>
      </w:r>
      <w:r>
        <w:rPr>
          <w:rFonts w:hint="eastAsia"/>
          <w:color w:val="auto"/>
          <w:sz w:val="24"/>
          <w:highlight w:val="none"/>
        </w:rPr>
        <w:t>成交人</w:t>
      </w:r>
      <w:r>
        <w:rPr>
          <w:color w:val="auto"/>
          <w:sz w:val="24"/>
          <w:highlight w:val="none"/>
        </w:rPr>
        <w:t>具有同等法律效力。</w:t>
      </w:r>
      <w:r>
        <w:rPr>
          <w:rFonts w:hint="eastAsia"/>
          <w:color w:val="auto"/>
          <w:sz w:val="24"/>
          <w:highlight w:val="none"/>
        </w:rPr>
        <w:t>成交</w:t>
      </w:r>
      <w:r>
        <w:rPr>
          <w:color w:val="auto"/>
          <w:sz w:val="24"/>
          <w:highlight w:val="none"/>
        </w:rPr>
        <w:t>通知书发出以后，</w:t>
      </w:r>
      <w:r>
        <w:rPr>
          <w:rFonts w:hint="eastAsia"/>
          <w:color w:val="auto"/>
          <w:sz w:val="24"/>
          <w:szCs w:val="18"/>
          <w:highlight w:val="none"/>
        </w:rPr>
        <w:t>业主单位</w:t>
      </w:r>
      <w:r>
        <w:rPr>
          <w:color w:val="auto"/>
          <w:sz w:val="24"/>
          <w:highlight w:val="none"/>
        </w:rPr>
        <w:t>改变</w:t>
      </w:r>
      <w:r>
        <w:rPr>
          <w:rFonts w:hint="eastAsia"/>
          <w:color w:val="auto"/>
          <w:sz w:val="24"/>
          <w:highlight w:val="none"/>
        </w:rPr>
        <w:t>成交</w:t>
      </w:r>
      <w:r>
        <w:rPr>
          <w:color w:val="auto"/>
          <w:sz w:val="24"/>
          <w:highlight w:val="none"/>
        </w:rPr>
        <w:t>结果或者</w:t>
      </w:r>
      <w:r>
        <w:rPr>
          <w:rFonts w:hint="eastAsia"/>
          <w:color w:val="auto"/>
          <w:sz w:val="24"/>
          <w:highlight w:val="none"/>
        </w:rPr>
        <w:t>成交人</w:t>
      </w:r>
      <w:r>
        <w:rPr>
          <w:color w:val="auto"/>
          <w:sz w:val="24"/>
          <w:highlight w:val="none"/>
        </w:rPr>
        <w:t>放弃</w:t>
      </w:r>
      <w:r>
        <w:rPr>
          <w:rFonts w:hint="eastAsia"/>
          <w:color w:val="auto"/>
          <w:sz w:val="24"/>
          <w:highlight w:val="none"/>
        </w:rPr>
        <w:t>成交</w:t>
      </w:r>
      <w:r>
        <w:rPr>
          <w:color w:val="auto"/>
          <w:sz w:val="24"/>
          <w:highlight w:val="none"/>
        </w:rPr>
        <w:t>资格，应当承担相应的法律责任。</w:t>
      </w:r>
    </w:p>
    <w:p w14:paraId="30A87D77">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rPr>
        <w:t>成交</w:t>
      </w:r>
      <w:r>
        <w:rPr>
          <w:color w:val="auto"/>
          <w:sz w:val="24"/>
          <w:highlight w:val="none"/>
        </w:rPr>
        <w:t>通知书是合同的组成部分。</w:t>
      </w:r>
    </w:p>
    <w:p w14:paraId="0D6238E5">
      <w:pPr>
        <w:spacing w:line="360" w:lineRule="auto"/>
        <w:ind w:firstLine="437"/>
        <w:outlineLvl w:val="2"/>
        <w:rPr>
          <w:b/>
          <w:color w:val="auto"/>
          <w:sz w:val="24"/>
          <w:highlight w:val="none"/>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磋商</w:t>
      </w:r>
      <w:r>
        <w:rPr>
          <w:b/>
          <w:color w:val="auto"/>
          <w:sz w:val="24"/>
          <w:highlight w:val="none"/>
        </w:rPr>
        <w:t>结果</w:t>
      </w:r>
    </w:p>
    <w:p w14:paraId="635F57A7">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代理机构对未成交的</w:t>
      </w:r>
      <w:r>
        <w:rPr>
          <w:rFonts w:hint="eastAsia"/>
          <w:color w:val="auto"/>
          <w:sz w:val="24"/>
          <w:szCs w:val="18"/>
          <w:highlight w:val="none"/>
          <w:lang w:eastAsia="zh-CN"/>
        </w:rPr>
        <w:t>供应商</w:t>
      </w:r>
      <w:r>
        <w:rPr>
          <w:rFonts w:hint="eastAsia" w:cs="宋体"/>
          <w:color w:val="auto"/>
          <w:sz w:val="24"/>
          <w:szCs w:val="24"/>
          <w:highlight w:val="none"/>
          <w:lang w:bidi="ar"/>
        </w:rPr>
        <w:t>不做未成交原因的解释。</w:t>
      </w:r>
    </w:p>
    <w:p w14:paraId="4EB75A23">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6E130B7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30.1 成交人应按照</w:t>
      </w:r>
      <w:r>
        <w:rPr>
          <w:rFonts w:hint="eastAsia"/>
          <w:color w:val="auto"/>
          <w:sz w:val="24"/>
          <w:szCs w:val="18"/>
          <w:highlight w:val="none"/>
          <w:lang w:eastAsia="zh-CN"/>
        </w:rPr>
        <w:t>供应商</w:t>
      </w:r>
      <w:r>
        <w:rPr>
          <w:rFonts w:hint="eastAsia" w:cs="宋体"/>
          <w:color w:val="auto"/>
          <w:sz w:val="24"/>
          <w:szCs w:val="24"/>
          <w:highlight w:val="none"/>
          <w:lang w:bidi="ar"/>
        </w:rPr>
        <w:t xml:space="preserve">须知前附表规定缴纳履约保证金。 </w:t>
      </w:r>
    </w:p>
    <w:p w14:paraId="54D83287">
      <w:pPr>
        <w:spacing w:line="360" w:lineRule="auto"/>
        <w:ind w:firstLine="480" w:firstLineChars="200"/>
        <w:rPr>
          <w:color w:val="auto"/>
          <w:sz w:val="24"/>
          <w:highlight w:val="none"/>
        </w:rPr>
      </w:pPr>
      <w:r>
        <w:rPr>
          <w:rFonts w:hint="eastAsia" w:cs="宋体"/>
          <w:color w:val="auto"/>
          <w:sz w:val="24"/>
          <w:szCs w:val="24"/>
          <w:highlight w:val="none"/>
          <w:lang w:bidi="ar"/>
        </w:rPr>
        <w:t>30.2 如果成交人没有按照上述履约保证金的规定执行，将视为放弃成交资格。在此情况下，</w:t>
      </w:r>
      <w:r>
        <w:rPr>
          <w:rFonts w:hint="eastAsia"/>
          <w:color w:val="auto"/>
          <w:sz w:val="24"/>
          <w:szCs w:val="18"/>
          <w:highlight w:val="none"/>
        </w:rPr>
        <w:t>业主单位</w:t>
      </w:r>
      <w:r>
        <w:rPr>
          <w:rFonts w:hint="eastAsia" w:cs="宋体"/>
          <w:color w:val="auto"/>
          <w:sz w:val="24"/>
          <w:szCs w:val="24"/>
          <w:highlight w:val="none"/>
          <w:lang w:bidi="ar"/>
        </w:rPr>
        <w:t>可确定下一成交候选人为成交人，也可以重新开展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32F90A86">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p>
    <w:p w14:paraId="0F42E6E6">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在公告成交（成交）结果后，成交人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62E810E1">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代理费缴纳账户</w:t>
      </w:r>
      <w:r>
        <w:rPr>
          <w:rFonts w:hint="eastAsia"/>
          <w:bCs/>
          <w:color w:val="auto"/>
          <w:sz w:val="24"/>
          <w:highlight w:val="none"/>
          <w:lang w:eastAsia="zh-CN"/>
        </w:rPr>
        <w:t>：</w:t>
      </w:r>
    </w:p>
    <w:p w14:paraId="5F5E9F8D">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户名：肥西县公共资源交易有限责任公司</w:t>
      </w:r>
    </w:p>
    <w:p w14:paraId="05FFAFE0">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开户行：中国银行股份有限公司肥西支行</w:t>
      </w:r>
    </w:p>
    <w:p w14:paraId="55D7FCC2">
      <w:pPr>
        <w:spacing w:line="360" w:lineRule="auto"/>
        <w:ind w:firstLine="480" w:firstLineChars="200"/>
        <w:rPr>
          <w:rFonts w:hint="default"/>
          <w:bCs/>
          <w:sz w:val="24"/>
          <w:highlight w:val="none"/>
          <w:lang w:val="en-US" w:eastAsia="zh-CN"/>
        </w:rPr>
      </w:pPr>
      <w:r>
        <w:rPr>
          <w:rFonts w:hint="eastAsia"/>
          <w:bCs/>
          <w:sz w:val="24"/>
          <w:highlight w:val="none"/>
          <w:lang w:val="en-US" w:eastAsia="zh-CN"/>
        </w:rPr>
        <w:t>账号：179746801939</w:t>
      </w:r>
    </w:p>
    <w:p w14:paraId="2C789A02">
      <w:pPr>
        <w:widowControl/>
        <w:jc w:val="left"/>
        <w:rPr>
          <w:rFonts w:cs="宋体"/>
          <w:color w:val="auto"/>
          <w:sz w:val="24"/>
          <w:szCs w:val="24"/>
          <w:highlight w:val="none"/>
        </w:rPr>
      </w:pPr>
    </w:p>
    <w:p w14:paraId="38AF7258">
      <w:pPr>
        <w:spacing w:line="360" w:lineRule="auto"/>
        <w:ind w:firstLine="435"/>
        <w:rPr>
          <w:rFonts w:hint="eastAsia"/>
          <w:color w:val="auto"/>
          <w:sz w:val="24"/>
          <w:highlight w:val="none"/>
        </w:rPr>
      </w:pPr>
      <w:r>
        <w:rPr>
          <w:rFonts w:hint="eastAsia"/>
          <w:color w:val="auto"/>
          <w:sz w:val="24"/>
          <w:highlight w:val="none"/>
        </w:rPr>
        <w:t>代理费的收取采用差额定率累进计费方式，具体收费标准参照关于印发《招标（采购）代理行业服务收费指导意见》的通知（合公协〔2023〕03号）文件收取。</w:t>
      </w:r>
    </w:p>
    <w:p w14:paraId="05A5F9FA">
      <w:pPr>
        <w:jc w:val="center"/>
        <w:rPr>
          <w:rStyle w:val="24"/>
          <w:rFonts w:hint="eastAsia" w:cs="宋体"/>
          <w:color w:val="auto"/>
          <w:sz w:val="24"/>
          <w:highlight w:val="none"/>
        </w:rPr>
      </w:pPr>
    </w:p>
    <w:p w14:paraId="3BA7CAAC">
      <w:pPr>
        <w:jc w:val="center"/>
        <w:rPr>
          <w:rStyle w:val="24"/>
          <w:rFonts w:cs="宋体"/>
          <w:color w:val="auto"/>
          <w:sz w:val="24"/>
          <w:highlight w:val="none"/>
        </w:rPr>
      </w:pPr>
      <w:r>
        <w:rPr>
          <w:rStyle w:val="24"/>
          <w:rFonts w:hint="eastAsia" w:cs="宋体"/>
          <w:color w:val="auto"/>
          <w:sz w:val="24"/>
          <w:highlight w:val="none"/>
        </w:rPr>
        <w:t>收费标准</w:t>
      </w:r>
    </w:p>
    <w:tbl>
      <w:tblPr>
        <w:tblStyle w:val="21"/>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342D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60B6497">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6A28EE6D">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2AEC2802">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60DD9066">
            <w:pPr>
              <w:jc w:val="center"/>
              <w:rPr>
                <w:rFonts w:cs="宋体"/>
                <w:b/>
                <w:bCs/>
                <w:color w:val="auto"/>
                <w:sz w:val="24"/>
                <w:highlight w:val="none"/>
              </w:rPr>
            </w:pPr>
            <w:r>
              <w:rPr>
                <w:rFonts w:hint="eastAsia" w:cs="宋体"/>
                <w:b/>
                <w:bCs/>
                <w:color w:val="auto"/>
                <w:sz w:val="24"/>
                <w:highlight w:val="none"/>
              </w:rPr>
              <w:t>工程</w:t>
            </w:r>
          </w:p>
        </w:tc>
      </w:tr>
      <w:tr w14:paraId="64358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AE38AA5">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2FD3005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1060A94">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A277D1E">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1303B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4EE79D4">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06D6BD12">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3A179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16B0419">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2ED59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5DD881C">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EB1F14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6036317">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6E93F1C">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3577C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E3B2EBF">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02AAB5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D89D6F6">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0747FD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7492F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4E192C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E154AA0">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9057434">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37C0ED0">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0272D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A9901F9">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98B8F90">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FA612D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4B9748B">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66E59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6605F0D">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B2B67C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6FF9A85">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ECE45C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7AA0D1C0">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73A28E9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rPr>
        <w:t>业主单位</w:t>
      </w:r>
      <w:r>
        <w:rPr>
          <w:rFonts w:hint="eastAsia" w:cs="宋体"/>
          <w:color w:val="auto"/>
          <w:sz w:val="24"/>
          <w:szCs w:val="24"/>
          <w:highlight w:val="none"/>
          <w:lang w:bidi="ar"/>
        </w:rPr>
        <w:t>与成交人应当自发出成交通知书之日起30日内签订合同。</w:t>
      </w:r>
    </w:p>
    <w:p w14:paraId="15008C4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文件、成交人的响应文件及其澄清文件等，均为签订合同的依据。</w:t>
      </w:r>
    </w:p>
    <w:p w14:paraId="16F64ADA">
      <w:pPr>
        <w:spacing w:line="360" w:lineRule="auto"/>
        <w:ind w:firstLine="470" w:firstLineChars="196"/>
        <w:rPr>
          <w:color w:val="auto"/>
          <w:sz w:val="24"/>
          <w:highlight w:val="none"/>
        </w:rPr>
      </w:pPr>
      <w:r>
        <w:rPr>
          <w:rFonts w:hint="eastAsia" w:cs="宋体"/>
          <w:color w:val="auto"/>
          <w:sz w:val="24"/>
          <w:szCs w:val="24"/>
          <w:highlight w:val="none"/>
          <w:lang w:bidi="ar"/>
        </w:rPr>
        <w:t>32.3成交人拒绝与</w:t>
      </w:r>
      <w:r>
        <w:rPr>
          <w:rFonts w:hint="eastAsia"/>
          <w:color w:val="auto"/>
          <w:sz w:val="24"/>
          <w:szCs w:val="18"/>
          <w:highlight w:val="none"/>
        </w:rPr>
        <w:t>业主单位</w:t>
      </w:r>
      <w:r>
        <w:rPr>
          <w:rFonts w:hint="eastAsia" w:cs="宋体"/>
          <w:color w:val="auto"/>
          <w:sz w:val="24"/>
          <w:szCs w:val="24"/>
          <w:highlight w:val="none"/>
          <w:lang w:bidi="ar"/>
        </w:rPr>
        <w:t>签订合同的，</w:t>
      </w:r>
      <w:r>
        <w:rPr>
          <w:rFonts w:hint="eastAsia"/>
          <w:color w:val="auto"/>
          <w:sz w:val="24"/>
          <w:szCs w:val="18"/>
          <w:highlight w:val="none"/>
        </w:rPr>
        <w:t>业主单位</w:t>
      </w:r>
      <w:r>
        <w:rPr>
          <w:rFonts w:hint="eastAsia" w:cs="宋体"/>
          <w:color w:val="auto"/>
          <w:sz w:val="24"/>
          <w:szCs w:val="24"/>
          <w:highlight w:val="none"/>
          <w:lang w:bidi="ar"/>
        </w:rPr>
        <w:t>可以按照评审报告推荐的成交候选人名单排序，确定下一成交候选人为成交人，也可以重新开展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活动。成交人拒绝签订合同的不得参加对该项目重新开展的</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03B59B81">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3E3B1AD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rPr>
        <w:t>业主单位</w:t>
      </w:r>
      <w:r>
        <w:rPr>
          <w:rFonts w:hint="eastAsia" w:cs="宋体"/>
          <w:color w:val="auto"/>
          <w:sz w:val="24"/>
          <w:szCs w:val="24"/>
          <w:highlight w:val="none"/>
          <w:lang w:bidi="ar"/>
        </w:rPr>
        <w:t>、</w:t>
      </w:r>
      <w:r>
        <w:rPr>
          <w:rFonts w:hint="eastAsia"/>
          <w:color w:val="auto"/>
          <w:sz w:val="24"/>
          <w:szCs w:val="18"/>
          <w:highlight w:val="none"/>
          <w:lang w:eastAsia="zh-CN"/>
        </w:rPr>
        <w:t>供应商</w:t>
      </w:r>
      <w:r>
        <w:rPr>
          <w:rFonts w:hint="eastAsia" w:cs="宋体"/>
          <w:color w:val="auto"/>
          <w:sz w:val="24"/>
          <w:szCs w:val="24"/>
          <w:highlight w:val="none"/>
          <w:lang w:bidi="ar"/>
        </w:rPr>
        <w:t>恶意串通。</w:t>
      </w:r>
    </w:p>
    <w:p w14:paraId="32A95CC3">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报销应当由个人承担的费用。</w:t>
      </w:r>
    </w:p>
    <w:p w14:paraId="67C7D970">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19E95B3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r>
        <w:rPr>
          <w:rFonts w:hint="eastAsia" w:cs="宋体"/>
          <w:color w:val="auto"/>
          <w:sz w:val="24"/>
          <w:szCs w:val="24"/>
          <w:highlight w:val="none"/>
          <w:lang w:eastAsia="zh-CN" w:bidi="ar"/>
        </w:rPr>
        <w:t>磋商</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48D78714">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1B4E8F7A">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1DA4E03A">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包别</w:t>
      </w:r>
      <w:r>
        <w:rPr>
          <w:rFonts w:hint="eastAsia" w:cs="宋体"/>
          <w:color w:val="auto"/>
          <w:sz w:val="24"/>
          <w:szCs w:val="24"/>
          <w:highlight w:val="none"/>
          <w:lang w:bidi="ar"/>
        </w:rPr>
        <w:t>号（如有）；</w:t>
      </w:r>
    </w:p>
    <w:p w14:paraId="341CFFC1">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6656BE1B">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6104D97">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6E24D1A3">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060A51A5">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2F994E01">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89B8B7A">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4ED32849">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w:t>
      </w:r>
    </w:p>
    <w:p w14:paraId="7F4C7207">
      <w:pPr>
        <w:spacing w:line="360" w:lineRule="auto"/>
        <w:jc w:val="center"/>
        <w:outlineLvl w:val="0"/>
        <w:rPr>
          <w:b/>
          <w:color w:val="auto"/>
          <w:sz w:val="28"/>
          <w:highlight w:val="none"/>
        </w:rPr>
      </w:pPr>
      <w:r>
        <w:rPr>
          <w:color w:val="auto"/>
          <w:sz w:val="24"/>
          <w:highlight w:val="none"/>
        </w:rPr>
        <w:br w:type="page"/>
      </w:r>
      <w:bookmarkStart w:id="24" w:name="_Toc14519"/>
      <w:r>
        <w:rPr>
          <w:rFonts w:hint="eastAsia"/>
          <w:b/>
          <w:color w:val="auto"/>
          <w:sz w:val="28"/>
          <w:highlight w:val="none"/>
        </w:rPr>
        <w:t>第三章  项目需求</w:t>
      </w:r>
      <w:bookmarkEnd w:id="24"/>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00FD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C679D62">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679F6CB5">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1E315747">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608C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B1E0DC3">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1676F1D6">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349ADF58">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供应商</w:t>
            </w:r>
            <w:r>
              <w:rPr>
                <w:rFonts w:hint="eastAsia" w:cs="@仿宋_GB2312"/>
                <w:color w:val="auto"/>
                <w:kern w:val="2"/>
                <w:sz w:val="24"/>
                <w:szCs w:val="22"/>
                <w:highlight w:val="none"/>
              </w:rPr>
              <w:t>一旦成交，磋商时所报的本项目的项目经理、施工现场技术负责人、各专业负责工程师及施工机械等在整个项目施工期内必须在位，否则</w:t>
            </w:r>
            <w:r>
              <w:rPr>
                <w:rFonts w:hint="eastAsia"/>
                <w:color w:val="auto"/>
                <w:kern w:val="2"/>
                <w:sz w:val="24"/>
                <w:szCs w:val="18"/>
                <w:highlight w:val="none"/>
              </w:rPr>
              <w:t>业主单位</w:t>
            </w:r>
            <w:r>
              <w:rPr>
                <w:rFonts w:hint="eastAsia" w:cs="@仿宋_GB2312"/>
                <w:color w:val="auto"/>
                <w:kern w:val="2"/>
                <w:sz w:val="24"/>
                <w:szCs w:val="22"/>
                <w:highlight w:val="none"/>
              </w:rPr>
              <w:t>有权终止合同。由此造成的损失，成交人自行承担并赔偿可能给</w:t>
            </w:r>
            <w:r>
              <w:rPr>
                <w:rFonts w:hint="eastAsia"/>
                <w:color w:val="auto"/>
                <w:kern w:val="2"/>
                <w:sz w:val="24"/>
                <w:szCs w:val="18"/>
                <w:highlight w:val="none"/>
              </w:rPr>
              <w:t>业主单位</w:t>
            </w:r>
            <w:r>
              <w:rPr>
                <w:rFonts w:hint="eastAsia" w:cs="@仿宋_GB2312"/>
                <w:color w:val="auto"/>
                <w:kern w:val="2"/>
                <w:sz w:val="24"/>
                <w:szCs w:val="22"/>
                <w:highlight w:val="none"/>
              </w:rPr>
              <w:t>造成的损失。</w:t>
            </w:r>
          </w:p>
          <w:p w14:paraId="2EF06830">
            <w:pPr>
              <w:spacing w:line="360" w:lineRule="auto"/>
              <w:rPr>
                <w:rFonts w:cs="@仿宋_GB2312"/>
                <w:color w:val="auto"/>
                <w:kern w:val="2"/>
                <w:sz w:val="24"/>
                <w:szCs w:val="22"/>
                <w:highlight w:val="none"/>
              </w:rPr>
            </w:pPr>
            <w:r>
              <w:rPr>
                <w:rFonts w:hint="eastAsia" w:cs="@仿宋_GB2312"/>
                <w:color w:val="auto"/>
                <w:kern w:val="2"/>
                <w:sz w:val="24"/>
                <w:szCs w:val="22"/>
                <w:highlight w:val="none"/>
              </w:rPr>
              <w:t>（2）成交人不得擅自更换磋商时所报项目经理及项目部主要管理人员。确需更换时，须报</w:t>
            </w:r>
            <w:r>
              <w:rPr>
                <w:rFonts w:hint="eastAsia"/>
                <w:color w:val="auto"/>
                <w:kern w:val="2"/>
                <w:sz w:val="24"/>
                <w:szCs w:val="18"/>
                <w:highlight w:val="none"/>
              </w:rPr>
              <w:t>业主单位</w:t>
            </w:r>
            <w:r>
              <w:rPr>
                <w:rFonts w:hint="eastAsia" w:cs="@仿宋_GB2312"/>
                <w:color w:val="auto"/>
                <w:kern w:val="2"/>
                <w:sz w:val="24"/>
                <w:szCs w:val="22"/>
                <w:highlight w:val="none"/>
              </w:rPr>
              <w:t>同意，更换后人员不得低于成交人磋商时所报人员资质和技术水平。</w:t>
            </w:r>
            <w:r>
              <w:rPr>
                <w:rFonts w:hint="eastAsia"/>
                <w:color w:val="auto"/>
                <w:kern w:val="2"/>
                <w:sz w:val="24"/>
                <w:szCs w:val="18"/>
                <w:highlight w:val="none"/>
              </w:rPr>
              <w:t>业主单位</w:t>
            </w:r>
            <w:r>
              <w:rPr>
                <w:rFonts w:hint="eastAsia" w:cs="@仿宋_GB2312"/>
                <w:color w:val="auto"/>
                <w:kern w:val="2"/>
                <w:sz w:val="24"/>
                <w:szCs w:val="22"/>
                <w:highlight w:val="none"/>
              </w:rPr>
              <w:t>如认为有必要，可要求对上述人员中的部分人员作出更好的调整。</w:t>
            </w:r>
          </w:p>
          <w:p w14:paraId="059FEEB4">
            <w:pPr>
              <w:spacing w:line="360" w:lineRule="auto"/>
              <w:rPr>
                <w:rFonts w:cs="@仿宋_GB2312"/>
                <w:color w:val="auto"/>
                <w:kern w:val="2"/>
                <w:sz w:val="24"/>
                <w:szCs w:val="22"/>
                <w:highlight w:val="none"/>
              </w:rPr>
            </w:pPr>
            <w:r>
              <w:rPr>
                <w:rFonts w:hint="eastAsia" w:cs="@仿宋_GB2312"/>
                <w:color w:val="auto"/>
                <w:kern w:val="2"/>
                <w:sz w:val="24"/>
                <w:szCs w:val="22"/>
                <w:highlight w:val="none"/>
              </w:rPr>
              <w:t>（3）成交人未能按照承诺到岗尽职的，</w:t>
            </w:r>
            <w:r>
              <w:rPr>
                <w:rFonts w:hint="eastAsia"/>
                <w:color w:val="auto"/>
                <w:kern w:val="2"/>
                <w:sz w:val="24"/>
                <w:szCs w:val="18"/>
                <w:highlight w:val="none"/>
              </w:rPr>
              <w:t>业主单位</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rPr>
              <w:t>业主单位</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rPr>
              <w:t>业主单位</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rPr>
              <w:t>业主单位</w:t>
            </w:r>
            <w:r>
              <w:rPr>
                <w:rFonts w:hint="eastAsia" w:cs="@仿宋_GB2312"/>
                <w:color w:val="auto"/>
                <w:kern w:val="2"/>
                <w:sz w:val="24"/>
                <w:szCs w:val="22"/>
                <w:highlight w:val="none"/>
              </w:rPr>
              <w:t>的有关损失或工期延误的损失，并就此向承包人索赔。</w:t>
            </w:r>
          </w:p>
        </w:tc>
      </w:tr>
      <w:tr w14:paraId="5B7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7AC6AD0">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5B867290">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3A939F98">
            <w:pPr>
              <w:spacing w:line="360" w:lineRule="auto"/>
              <w:rPr>
                <w:rFonts w:cs="@仿宋_GB2312"/>
                <w:color w:val="auto"/>
                <w:kern w:val="2"/>
                <w:sz w:val="24"/>
                <w:szCs w:val="22"/>
                <w:highlight w:val="none"/>
              </w:rPr>
            </w:pPr>
            <w:r>
              <w:rPr>
                <w:rFonts w:hint="eastAsia" w:cs="@仿宋_GB2312"/>
                <w:color w:val="auto"/>
                <w:kern w:val="2"/>
                <w:sz w:val="24"/>
                <w:szCs w:val="22"/>
                <w:highlight w:val="none"/>
              </w:rPr>
              <w:t>（1）成交人自行采购的材料应满足设计和规范要求的质量等级，并须按有关技术规范要求对材料质量进行检验。成交人选定的材料供应厂家和价格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rPr>
              <w:t>业主单位</w:t>
            </w:r>
            <w:r>
              <w:rPr>
                <w:rFonts w:hint="eastAsia" w:cs="@仿宋_GB2312"/>
                <w:color w:val="auto"/>
                <w:kern w:val="2"/>
                <w:sz w:val="24"/>
                <w:szCs w:val="22"/>
                <w:highlight w:val="none"/>
              </w:rPr>
              <w:t>和监理单位认可。如</w:t>
            </w:r>
            <w:r>
              <w:rPr>
                <w:rFonts w:hint="eastAsia"/>
                <w:color w:val="auto"/>
                <w:kern w:val="2"/>
                <w:sz w:val="24"/>
                <w:szCs w:val="18"/>
                <w:highlight w:val="none"/>
              </w:rPr>
              <w:t>业主单位</w:t>
            </w:r>
            <w:r>
              <w:rPr>
                <w:rFonts w:hint="eastAsia" w:cs="@仿宋_GB2312"/>
                <w:color w:val="auto"/>
                <w:kern w:val="2"/>
                <w:sz w:val="24"/>
                <w:szCs w:val="22"/>
                <w:highlight w:val="none"/>
              </w:rPr>
              <w:t>和监理单位对某种或某些材料的质量有异议，有权提出停止使用的要求，成交人必须服从该要求。若该材料经权威检验部门鉴定确有质量问题，由此而发生的一切费用由成交人自负。因成交人自行采购的材料质量引起的工程质量问题由成交人承担所造成的一切损失。</w:t>
            </w:r>
          </w:p>
          <w:p w14:paraId="74ADF811">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rPr>
              <w:t>业主单位</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可选用参考品牌或不低于参考品牌质量标准的其它品牌；采用其它品牌的应在响应文件中提供相关技术参数证明材料供磋商小组评审，未提供相关技术参数证明材料或经磋商小组评审未通过的，成交后只能从</w:t>
            </w:r>
            <w:r>
              <w:rPr>
                <w:rFonts w:hint="eastAsia"/>
                <w:color w:val="auto"/>
                <w:kern w:val="2"/>
                <w:sz w:val="24"/>
                <w:szCs w:val="18"/>
                <w:highlight w:val="none"/>
              </w:rPr>
              <w:t>业主单位</w:t>
            </w:r>
            <w:r>
              <w:rPr>
                <w:rFonts w:hint="eastAsia" w:cs="@仿宋_GB2312"/>
                <w:color w:val="auto"/>
                <w:kern w:val="2"/>
                <w:sz w:val="24"/>
                <w:szCs w:val="22"/>
                <w:highlight w:val="none"/>
              </w:rPr>
              <w:t>参考品牌中进行选择，价格不予调整。</w:t>
            </w:r>
          </w:p>
          <w:p w14:paraId="723B20AF">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0629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6D0C3EF">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5F803BA6">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1CF3A3C7">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05E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F6DA432">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5AAD4225">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411A883F">
            <w:pPr>
              <w:spacing w:line="360" w:lineRule="auto"/>
              <w:rPr>
                <w:rFonts w:cs="@仿宋_GB2312"/>
                <w:color w:val="auto"/>
                <w:kern w:val="2"/>
                <w:sz w:val="24"/>
                <w:szCs w:val="22"/>
                <w:highlight w:val="none"/>
              </w:rPr>
            </w:pPr>
            <w:r>
              <w:rPr>
                <w:rFonts w:hint="eastAsia"/>
                <w:color w:val="auto"/>
                <w:kern w:val="2"/>
                <w:sz w:val="24"/>
                <w:szCs w:val="18"/>
                <w:highlight w:val="none"/>
                <w:lang w:eastAsia="zh-CN"/>
              </w:rPr>
              <w:t>供应商</w:t>
            </w:r>
            <w:r>
              <w:rPr>
                <w:rFonts w:cs="@仿宋_GB2312"/>
                <w:bCs/>
                <w:color w:val="auto"/>
                <w:kern w:val="2"/>
                <w:sz w:val="24"/>
                <w:szCs w:val="28"/>
                <w:highlight w:val="none"/>
              </w:rPr>
              <w:t>最后报价均不得高于磋商文件（公告）列明的项目预算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，否则其响应文件将被认定为响应无效</w:t>
            </w:r>
            <w:r>
              <w:rPr>
                <w:rFonts w:hint="eastAsia" w:cs="@仿宋_GB2312"/>
                <w:color w:val="auto"/>
                <w:kern w:val="2"/>
                <w:sz w:val="24"/>
                <w:szCs w:val="22"/>
                <w:highlight w:val="none"/>
              </w:rPr>
              <w:t>。</w:t>
            </w:r>
          </w:p>
        </w:tc>
      </w:tr>
      <w:tr w14:paraId="0CAC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87701BC">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6A5A6A61">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25564B0B">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（1）本项目的磋商文件、工程量清单、最高限价（控制价）、澄清、修改、补充等相关资料均通过优质采发布，请</w:t>
            </w:r>
            <w:r>
              <w:rPr>
                <w:rFonts w:hint="eastAsia"/>
                <w:color w:val="auto"/>
                <w:kern w:val="2"/>
                <w:sz w:val="24"/>
                <w:szCs w:val="18"/>
                <w:highlight w:val="none"/>
                <w:lang w:eastAsia="zh-CN"/>
              </w:rPr>
              <w:t>供应商</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供应商</w:t>
            </w:r>
            <w:r>
              <w:rPr>
                <w:rFonts w:hint="eastAsia" w:cs="@仿宋_GB2312"/>
                <w:color w:val="auto"/>
                <w:kern w:val="2"/>
                <w:sz w:val="24"/>
                <w:szCs w:val="22"/>
                <w:highlight w:val="none"/>
              </w:rPr>
              <w:t>应当及时查看有无相关澄清、修改、补充等内容。</w:t>
            </w:r>
          </w:p>
          <w:p w14:paraId="089FBE60">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（2）在工程项目磋商过程中，</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最后报价明显缺乏竞争性的，磋商小组可以否决其报价。</w:t>
            </w:r>
          </w:p>
          <w:p w14:paraId="4ADFF25A">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p w14:paraId="13FA02B4">
            <w:pPr>
              <w:spacing w:line="360" w:lineRule="auto"/>
              <w:rPr>
                <w:rFonts w:cs="@仿宋_GB2312"/>
                <w:color w:val="auto"/>
                <w:kern w:val="2"/>
                <w:sz w:val="24"/>
                <w:szCs w:val="22"/>
                <w:highlight w:val="none"/>
              </w:rPr>
            </w:pPr>
            <w:r>
              <w:rPr>
                <w:rFonts w:hint="eastAsia" w:cs="@仿宋_GB2312"/>
                <w:color w:val="auto"/>
                <w:kern w:val="2"/>
                <w:sz w:val="24"/>
                <w:szCs w:val="22"/>
                <w:highlight w:val="none"/>
              </w:rPr>
              <w:t>（4）建设工程不可竞争费构成及计费标准按《关于贯彻执行&lt;2018版安徽省建设工程计价依据动态调整（第1期）&gt;的通知》（合建监管〔2024〕13号）执行，</w:t>
            </w:r>
            <w:r>
              <w:rPr>
                <w:rFonts w:hint="eastAsia" w:cs="@仿宋_GB2312"/>
                <w:color w:val="auto"/>
                <w:kern w:val="2"/>
                <w:sz w:val="24"/>
                <w:szCs w:val="22"/>
                <w:highlight w:val="none"/>
                <w:lang w:val="en-US" w:eastAsia="zh-CN"/>
              </w:rPr>
              <w:t>供应商</w:t>
            </w:r>
            <w:r>
              <w:rPr>
                <w:rFonts w:hint="eastAsia" w:cs="@仿宋_GB2312"/>
                <w:color w:val="auto"/>
                <w:kern w:val="2"/>
                <w:sz w:val="24"/>
                <w:szCs w:val="22"/>
                <w:highlight w:val="none"/>
              </w:rPr>
              <w:t>应承诺报价中已包含</w:t>
            </w:r>
            <w:r>
              <w:rPr>
                <w:rFonts w:hint="eastAsia" w:cs="@仿宋_GB2312"/>
                <w:color w:val="auto"/>
                <w:kern w:val="2"/>
                <w:sz w:val="24"/>
                <w:szCs w:val="22"/>
                <w:highlight w:val="none"/>
                <w:lang w:val="en-US" w:eastAsia="zh-CN"/>
              </w:rPr>
              <w:t>磋商</w:t>
            </w:r>
            <w:r>
              <w:rPr>
                <w:rFonts w:hint="eastAsia" w:cs="@仿宋_GB2312"/>
                <w:color w:val="auto"/>
                <w:kern w:val="2"/>
                <w:sz w:val="24"/>
                <w:szCs w:val="22"/>
                <w:highlight w:val="none"/>
              </w:rPr>
              <w:t>文件公布的施工扬尘污染防治费用和建筑工人实名制管理费用。工程竣工结算时，未落实的施工扬尘污染防治和建筑工人实名制管理措施项目,应按清单所列金额从工程结算价款中扣除。</w:t>
            </w:r>
          </w:p>
        </w:tc>
      </w:tr>
      <w:tr w14:paraId="6CED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958" w:type="dxa"/>
            <w:vAlign w:val="center"/>
          </w:tcPr>
          <w:p w14:paraId="2F4CC27B">
            <w:pPr>
              <w:spacing w:line="360" w:lineRule="auto"/>
              <w:jc w:val="center"/>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6</w:t>
            </w:r>
          </w:p>
        </w:tc>
        <w:tc>
          <w:tcPr>
            <w:tcW w:w="1277" w:type="dxa"/>
            <w:vAlign w:val="center"/>
          </w:tcPr>
          <w:p w14:paraId="3EEB7917">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37A8A52E">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ascii="宋体" w:hAnsi="宋体" w:eastAsia="宋体" w:cs="Times New Roman"/>
                <w:color w:val="auto"/>
                <w:kern w:val="0"/>
                <w:sz w:val="24"/>
                <w:szCs w:val="20"/>
                <w:highlight w:val="none"/>
                <w:lang w:val="en-US" w:eastAsia="zh-CN"/>
              </w:rPr>
              <w:t>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后不再调整。</w:t>
            </w:r>
          </w:p>
          <w:p w14:paraId="0BFF9EE1">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除</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05680172">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04FC392D">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4</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成交人成交</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成交人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1FC6F36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3341EA85">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6</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2825ABE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7</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人不得以此为理由拒绝施工，否则应视为违约，</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人应承担由此造成的一切损失。</w:t>
            </w:r>
          </w:p>
          <w:p w14:paraId="39D4FEF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8</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人因</w:t>
            </w:r>
            <w:r>
              <w:rPr>
                <w:rFonts w:hint="eastAsia" w:cs="Times New Roman"/>
                <w:color w:val="auto"/>
                <w:kern w:val="0"/>
                <w:sz w:val="24"/>
                <w:szCs w:val="20"/>
                <w:highlight w:val="none"/>
                <w:lang w:val="en-US" w:eastAsia="zh-CN"/>
              </w:rPr>
              <w:t>参加磋商</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人不能因此提出调价或增加费用的要求。</w:t>
            </w:r>
          </w:p>
          <w:p w14:paraId="783CD4F7">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9</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77C3822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0</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p w14:paraId="00CE9F9A">
            <w:pPr>
              <w:spacing w:line="360" w:lineRule="auto"/>
              <w:rPr>
                <w:rFonts w:hint="eastAsia" w:ascii="宋体" w:hAnsi="宋体" w:eastAsia="宋体"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1</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 xml:space="preserve">人施工过程中，如房建工程质量安全检查及履责行为质量安全检查涉及以下附表中的情况，按照相应标准处以违约金。 </w:t>
            </w:r>
          </w:p>
          <w:p w14:paraId="1ED02915">
            <w:pPr>
              <w:spacing w:line="360" w:lineRule="auto"/>
              <w:rPr>
                <w:rFonts w:hint="eastAsia"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成交人必须无条件保证项目扬尘防治、农资维稳等政府主管部门要求事项，确保现场不发生人员斗殴等社会影响恶劣的事件，否则根据事态情况，处以500-1000元违约金。</w:t>
            </w:r>
          </w:p>
          <w:p w14:paraId="5E5F6897">
            <w:pPr>
              <w:spacing w:line="360" w:lineRule="auto"/>
              <w:rPr>
                <w:rFonts w:hint="default"/>
                <w:kern w:val="2"/>
                <w:sz w:val="21"/>
                <w:szCs w:val="22"/>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本项目在工程竣工验收合格后由第三方审计公司对该项目进行审计，支付金额为审计后金额。</w:t>
            </w:r>
          </w:p>
        </w:tc>
      </w:tr>
    </w:tbl>
    <w:p w14:paraId="7BCB7D7B">
      <w:pPr>
        <w:rPr>
          <w:rFonts w:hint="eastAsia"/>
          <w:color w:val="auto"/>
          <w:sz w:val="24"/>
          <w:highlight w:val="none"/>
          <w:lang w:val="en-US" w:eastAsia="zh-CN"/>
        </w:rPr>
      </w:pPr>
    </w:p>
    <w:p w14:paraId="022248C7">
      <w:pPr>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309010B2">
      <w:pPr>
        <w:spacing w:line="360" w:lineRule="auto"/>
        <w:jc w:val="center"/>
        <w:outlineLvl w:val="0"/>
        <w:rPr>
          <w:rFonts w:hint="eastAsia" w:ascii="宋体" w:hAnsi="宋体" w:eastAsia="宋体" w:cs="Times New Roman"/>
          <w:b/>
          <w:color w:val="auto"/>
          <w:sz w:val="28"/>
          <w:highlight w:val="none"/>
        </w:rPr>
      </w:pPr>
      <w:bookmarkStart w:id="25" w:name="_Toc19404"/>
      <w:r>
        <w:rPr>
          <w:rFonts w:hint="eastAsia" w:ascii="宋体" w:hAnsi="宋体" w:eastAsia="宋体" w:cs="Times New Roman"/>
          <w:b/>
          <w:color w:val="auto"/>
          <w:sz w:val="28"/>
          <w:highlight w:val="none"/>
        </w:rPr>
        <w:t>第四章  评审方法和标准</w:t>
      </w:r>
      <w:bookmarkEnd w:id="25"/>
    </w:p>
    <w:p w14:paraId="1F8F759A">
      <w:pPr>
        <w:spacing w:line="360" w:lineRule="auto"/>
        <w:ind w:firstLine="437"/>
        <w:outlineLvl w:val="1"/>
        <w:rPr>
          <w:b/>
          <w:color w:val="auto"/>
          <w:sz w:val="24"/>
          <w:highlight w:val="none"/>
        </w:rPr>
      </w:pPr>
      <w:bookmarkStart w:id="26" w:name="_Toc26567"/>
      <w:bookmarkStart w:id="27" w:name="_Toc19546"/>
      <w:r>
        <w:rPr>
          <w:rFonts w:hint="eastAsia"/>
          <w:b/>
          <w:color w:val="auto"/>
          <w:sz w:val="24"/>
          <w:highlight w:val="none"/>
        </w:rPr>
        <w:t>一、总则</w:t>
      </w:r>
      <w:bookmarkEnd w:id="26"/>
      <w:bookmarkEnd w:id="27"/>
    </w:p>
    <w:p w14:paraId="31024810">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磋商</w:t>
      </w:r>
      <w:r>
        <w:rPr>
          <w:rFonts w:hint="eastAsia"/>
          <w:color w:val="auto"/>
          <w:sz w:val="24"/>
          <w:highlight w:val="none"/>
        </w:rPr>
        <w:t xml:space="preserve">文件第二章 </w:t>
      </w:r>
      <w:r>
        <w:rPr>
          <w:rFonts w:hint="eastAsia"/>
          <w:color w:val="auto"/>
          <w:sz w:val="24"/>
          <w:szCs w:val="18"/>
          <w:highlight w:val="none"/>
          <w:lang w:eastAsia="zh-CN"/>
        </w:rPr>
        <w:t>供应商</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31F1752A">
      <w:pPr>
        <w:spacing w:line="360" w:lineRule="auto"/>
        <w:ind w:firstLine="437"/>
        <w:outlineLvl w:val="1"/>
        <w:rPr>
          <w:b/>
          <w:color w:val="auto"/>
          <w:sz w:val="24"/>
          <w:highlight w:val="none"/>
        </w:rPr>
      </w:pPr>
      <w:bookmarkStart w:id="28" w:name="_Toc4201"/>
      <w:bookmarkStart w:id="29" w:name="_Toc1688"/>
      <w:r>
        <w:rPr>
          <w:rFonts w:hint="eastAsia"/>
          <w:b/>
          <w:color w:val="auto"/>
          <w:sz w:val="24"/>
          <w:highlight w:val="none"/>
        </w:rPr>
        <w:t>二、评审方法</w:t>
      </w:r>
      <w:bookmarkEnd w:id="28"/>
      <w:bookmarkEnd w:id="29"/>
    </w:p>
    <w:p w14:paraId="58A2C9E6">
      <w:pPr>
        <w:spacing w:line="360" w:lineRule="auto"/>
        <w:ind w:firstLine="435"/>
        <w:outlineLvl w:val="2"/>
        <w:rPr>
          <w:color w:val="auto"/>
          <w:sz w:val="24"/>
          <w:highlight w:val="none"/>
        </w:rPr>
      </w:pPr>
      <w:r>
        <w:rPr>
          <w:rFonts w:hint="eastAsia"/>
          <w:color w:val="auto"/>
          <w:sz w:val="24"/>
          <w:highlight w:val="none"/>
        </w:rPr>
        <w:t>2.1初审</w:t>
      </w:r>
    </w:p>
    <w:p w14:paraId="111ED5C2">
      <w:pPr>
        <w:spacing w:line="360" w:lineRule="auto"/>
        <w:ind w:firstLine="435"/>
        <w:rPr>
          <w:color w:val="auto"/>
          <w:sz w:val="24"/>
          <w:highlight w:val="none"/>
        </w:rPr>
      </w:pP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的响应文件进行初审，以确定其是否满足</w:t>
      </w:r>
      <w:r>
        <w:rPr>
          <w:rFonts w:hint="eastAsia"/>
          <w:color w:val="auto"/>
          <w:sz w:val="24"/>
          <w:highlight w:val="none"/>
          <w:lang w:eastAsia="zh-CN"/>
        </w:rPr>
        <w:t>磋商</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585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02909826">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6879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40AEB4B">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068694A5">
            <w:pPr>
              <w:pStyle w:val="40"/>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76B94955">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759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F7817B6">
            <w:pPr>
              <w:pStyle w:val="44"/>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083580C8">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6BF8F2AE">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740E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99C161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33E0A7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资质证书</w:t>
            </w:r>
          </w:p>
        </w:tc>
        <w:tc>
          <w:tcPr>
            <w:tcW w:w="6149" w:type="dxa"/>
            <w:vAlign w:val="center"/>
          </w:tcPr>
          <w:p w14:paraId="0AC58D52">
            <w:pPr>
              <w:adjustRightInd w:val="0"/>
              <w:snapToGrid w:val="0"/>
              <w:spacing w:line="360" w:lineRule="auto"/>
              <w:ind w:right="-10"/>
              <w:jc w:val="both"/>
              <w:rPr>
                <w:color w:val="auto"/>
                <w:sz w:val="24"/>
                <w:highlight w:val="none"/>
              </w:rPr>
            </w:pPr>
            <w:r>
              <w:rPr>
                <w:rFonts w:hint="eastAsia"/>
                <w:color w:val="auto"/>
                <w:sz w:val="24"/>
                <w:highlight w:val="none"/>
              </w:rPr>
              <w:t>提供满足</w:t>
            </w:r>
            <w:r>
              <w:rPr>
                <w:rFonts w:hint="eastAsia"/>
                <w:color w:val="auto"/>
                <w:sz w:val="24"/>
                <w:szCs w:val="18"/>
                <w:highlight w:val="none"/>
                <w:lang w:eastAsia="zh-CN"/>
              </w:rPr>
              <w:t>供应商</w:t>
            </w:r>
            <w:r>
              <w:rPr>
                <w:rFonts w:hint="eastAsia"/>
                <w:color w:val="auto"/>
                <w:sz w:val="24"/>
                <w:highlight w:val="none"/>
              </w:rPr>
              <w:t>资格中本项目的特定资格要求的资质证书扫描件。</w:t>
            </w:r>
          </w:p>
        </w:tc>
      </w:tr>
      <w:tr w14:paraId="7CDF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E9F46E3">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1B9B18E">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安全生产许可证</w:t>
            </w:r>
          </w:p>
        </w:tc>
        <w:tc>
          <w:tcPr>
            <w:tcW w:w="6149" w:type="dxa"/>
            <w:vAlign w:val="center"/>
          </w:tcPr>
          <w:p w14:paraId="31AD5C2C">
            <w:pPr>
              <w:spacing w:line="360" w:lineRule="auto"/>
              <w:jc w:val="left"/>
              <w:rPr>
                <w:color w:val="auto"/>
                <w:sz w:val="24"/>
                <w:highlight w:val="none"/>
              </w:rPr>
            </w:pPr>
            <w:r>
              <w:rPr>
                <w:rFonts w:hint="eastAsia"/>
                <w:color w:val="auto"/>
                <w:sz w:val="24"/>
                <w:highlight w:val="none"/>
              </w:rPr>
              <w:t>提供有效的安全生产许可证扫描件。</w:t>
            </w:r>
          </w:p>
        </w:tc>
      </w:tr>
      <w:tr w14:paraId="51CD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D23C1CD">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1DF58A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项目经理</w:t>
            </w:r>
          </w:p>
        </w:tc>
        <w:tc>
          <w:tcPr>
            <w:tcW w:w="6149" w:type="dxa"/>
            <w:vAlign w:val="center"/>
          </w:tcPr>
          <w:p w14:paraId="563C6835">
            <w:pPr>
              <w:spacing w:line="360" w:lineRule="auto"/>
              <w:jc w:val="left"/>
              <w:rPr>
                <w:b w:val="0"/>
                <w:bCs w:val="0"/>
                <w:color w:val="auto"/>
                <w:sz w:val="24"/>
                <w:highlight w:val="none"/>
              </w:rPr>
            </w:pPr>
            <w:r>
              <w:rPr>
                <w:rFonts w:hint="eastAsia"/>
                <w:b w:val="0"/>
                <w:bCs w:val="0"/>
                <w:color w:val="auto"/>
                <w:sz w:val="24"/>
                <w:highlight w:val="none"/>
              </w:rPr>
              <w:t>1.</w:t>
            </w:r>
            <w:r>
              <w:rPr>
                <w:rFonts w:hint="eastAsia"/>
                <w:b w:val="0"/>
                <w:bCs w:val="0"/>
                <w:color w:val="auto"/>
                <w:sz w:val="24"/>
                <w:highlight w:val="none"/>
                <w:lang w:val="en-US" w:eastAsia="zh-CN"/>
              </w:rPr>
              <w:t>提供符合要求的证书，并</w:t>
            </w:r>
            <w:r>
              <w:rPr>
                <w:rFonts w:hint="eastAsia"/>
                <w:b w:val="0"/>
                <w:bCs w:val="0"/>
                <w:color w:val="auto"/>
                <w:sz w:val="24"/>
                <w:highlight w:val="none"/>
              </w:rPr>
              <w:t>提供</w:t>
            </w:r>
            <w:r>
              <w:rPr>
                <w:rFonts w:hint="eastAsia"/>
                <w:b w:val="0"/>
                <w:bCs w:val="0"/>
                <w:color w:val="auto"/>
                <w:sz w:val="24"/>
                <w:highlight w:val="none"/>
                <w:lang w:val="en-US" w:eastAsia="zh-CN"/>
              </w:rPr>
              <w:t>供应商</w:t>
            </w:r>
            <w:r>
              <w:rPr>
                <w:rFonts w:hint="eastAsia"/>
                <w:b w:val="0"/>
                <w:bCs w:val="0"/>
                <w:color w:val="auto"/>
                <w:sz w:val="24"/>
                <w:highlight w:val="none"/>
              </w:rPr>
              <w:t>为其缴纳的自202</w:t>
            </w:r>
            <w:r>
              <w:rPr>
                <w:rFonts w:hint="eastAsia"/>
                <w:b w:val="0"/>
                <w:bCs w:val="0"/>
                <w:color w:val="auto"/>
                <w:sz w:val="24"/>
                <w:highlight w:val="none"/>
                <w:lang w:val="en-US" w:eastAsia="zh-CN"/>
              </w:rPr>
              <w:t>5</w:t>
            </w:r>
            <w:r>
              <w:rPr>
                <w:rFonts w:hint="eastAsia"/>
                <w:b w:val="0"/>
                <w:bCs w:val="0"/>
                <w:color w:val="auto"/>
                <w:sz w:val="24"/>
                <w:highlight w:val="none"/>
              </w:rPr>
              <w:t>年</w:t>
            </w:r>
            <w:r>
              <w:rPr>
                <w:rFonts w:hint="eastAsia"/>
                <w:b w:val="0"/>
                <w:bCs w:val="0"/>
                <w:color w:val="auto"/>
                <w:sz w:val="24"/>
                <w:highlight w:val="none"/>
                <w:lang w:val="en-US" w:eastAsia="zh-CN"/>
              </w:rPr>
              <w:t>6</w:t>
            </w:r>
            <w:r>
              <w:rPr>
                <w:rFonts w:hint="eastAsia"/>
                <w:b w:val="0"/>
                <w:bCs w:val="0"/>
                <w:color w:val="auto"/>
                <w:sz w:val="24"/>
                <w:highlight w:val="none"/>
              </w:rPr>
              <w:t>月1日以来</w:t>
            </w:r>
            <w:r>
              <w:rPr>
                <w:rFonts w:cs="宋体"/>
                <w:b w:val="0"/>
                <w:bCs w:val="0"/>
                <w:color w:val="auto"/>
                <w:sz w:val="24"/>
                <w:szCs w:val="24"/>
                <w:highlight w:val="none"/>
              </w:rPr>
              <w:t>任意</w:t>
            </w:r>
            <w:r>
              <w:rPr>
                <w:rFonts w:hint="eastAsia" w:cs="宋体"/>
                <w:b w:val="0"/>
                <w:bCs w:val="0"/>
                <w:color w:val="auto"/>
                <w:sz w:val="24"/>
                <w:szCs w:val="24"/>
                <w:highlight w:val="none"/>
                <w:lang w:val="en-US" w:eastAsia="zh-CN"/>
              </w:rPr>
              <w:t>连续3</w:t>
            </w:r>
            <w:r>
              <w:rPr>
                <w:rFonts w:cs="宋体"/>
                <w:b w:val="0"/>
                <w:bCs w:val="0"/>
                <w:color w:val="auto"/>
                <w:sz w:val="24"/>
                <w:szCs w:val="24"/>
                <w:highlight w:val="none"/>
              </w:rPr>
              <w:t>个月</w:t>
            </w:r>
            <w:r>
              <w:rPr>
                <w:rFonts w:hint="eastAsia"/>
                <w:b w:val="0"/>
                <w:bCs w:val="0"/>
                <w:color w:val="auto"/>
                <w:sz w:val="24"/>
                <w:highlight w:val="none"/>
              </w:rPr>
              <w:t>的社保证明材料</w:t>
            </w:r>
            <w:r>
              <w:rPr>
                <w:rFonts w:hint="eastAsia"/>
                <w:b w:val="0"/>
                <w:bCs w:val="0"/>
                <w:color w:val="auto"/>
                <w:sz w:val="24"/>
                <w:highlight w:val="none"/>
                <w:lang w:eastAsia="zh-CN"/>
              </w:rPr>
              <w:t>（</w:t>
            </w:r>
            <w:r>
              <w:rPr>
                <w:rFonts w:hint="eastAsia"/>
                <w:b w:val="0"/>
                <w:bCs w:val="0"/>
                <w:color w:val="auto"/>
                <w:sz w:val="24"/>
                <w:highlight w:val="none"/>
                <w:lang w:val="en-US" w:eastAsia="zh-CN"/>
              </w:rPr>
              <w:t>社保证明材料至少包含养老保险</w:t>
            </w:r>
            <w:r>
              <w:rPr>
                <w:rFonts w:hint="eastAsia"/>
                <w:b w:val="0"/>
                <w:bCs w:val="0"/>
                <w:color w:val="auto"/>
                <w:sz w:val="24"/>
                <w:highlight w:val="none"/>
                <w:lang w:eastAsia="zh-CN"/>
              </w:rPr>
              <w:t>）</w:t>
            </w:r>
            <w:r>
              <w:rPr>
                <w:rFonts w:hint="eastAsia"/>
                <w:b w:val="0"/>
                <w:bCs w:val="0"/>
                <w:color w:val="auto"/>
                <w:sz w:val="24"/>
                <w:highlight w:val="none"/>
              </w:rPr>
              <w:t>；</w:t>
            </w:r>
          </w:p>
          <w:p w14:paraId="77C07159">
            <w:pPr>
              <w:adjustRightInd w:val="0"/>
              <w:snapToGrid w:val="0"/>
              <w:spacing w:line="360" w:lineRule="auto"/>
              <w:ind w:right="-10"/>
              <w:jc w:val="left"/>
              <w:rPr>
                <w:color w:val="auto"/>
                <w:sz w:val="24"/>
                <w:highlight w:val="none"/>
              </w:rPr>
            </w:pPr>
            <w:r>
              <w:rPr>
                <w:rFonts w:hint="eastAsia"/>
                <w:b w:val="0"/>
                <w:bCs w:val="0"/>
                <w:color w:val="auto"/>
                <w:sz w:val="24"/>
                <w:highlight w:val="none"/>
              </w:rPr>
              <w:t>2.提供项目经理承诺，格式后附。</w:t>
            </w:r>
          </w:p>
        </w:tc>
      </w:tr>
      <w:tr w14:paraId="4E58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9DDF57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87112E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5508C14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51E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0103E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881D55D">
            <w:pPr>
              <w:pStyle w:val="40"/>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电子交易服务费缴纳情况</w:t>
            </w:r>
          </w:p>
        </w:tc>
        <w:tc>
          <w:tcPr>
            <w:tcW w:w="6149" w:type="dxa"/>
            <w:vAlign w:val="center"/>
          </w:tcPr>
          <w:p w14:paraId="44D0397C">
            <w:pPr>
              <w:adjustRightInd w:val="0"/>
              <w:spacing w:line="360" w:lineRule="auto"/>
              <w:jc w:val="left"/>
              <w:rPr>
                <w:rFonts w:hint="eastAsia" w:eastAsia="宋体" w:cs="宋体"/>
                <w:color w:val="auto"/>
                <w:sz w:val="24"/>
                <w:szCs w:val="24"/>
                <w:highlight w:val="none"/>
                <w:lang w:eastAsia="zh-CN"/>
              </w:rPr>
            </w:pPr>
            <w:r>
              <w:rPr>
                <w:rFonts w:hint="eastAsia" w:cs="宋体"/>
                <w:color w:val="auto"/>
                <w:sz w:val="24"/>
                <w:szCs w:val="24"/>
                <w:highlight w:val="none"/>
              </w:rPr>
              <w:t>未在</w:t>
            </w:r>
            <w:r>
              <w:rPr>
                <w:rFonts w:hint="eastAsia" w:cs="宋体"/>
                <w:color w:val="auto"/>
                <w:sz w:val="24"/>
                <w:szCs w:val="24"/>
                <w:highlight w:val="none"/>
                <w:lang w:eastAsia="zh-CN"/>
              </w:rPr>
              <w:t>磋商</w:t>
            </w:r>
            <w:r>
              <w:rPr>
                <w:rFonts w:hint="eastAsia" w:cs="宋体"/>
                <w:color w:val="auto"/>
                <w:sz w:val="24"/>
                <w:szCs w:val="24"/>
                <w:highlight w:val="none"/>
              </w:rPr>
              <w:t>文件获取截止时间前</w:t>
            </w:r>
            <w:r>
              <w:rPr>
                <w:rFonts w:hint="eastAsia" w:cs="宋体"/>
                <w:color w:val="auto"/>
                <w:sz w:val="24"/>
                <w:szCs w:val="24"/>
                <w:highlight w:val="none"/>
                <w:lang w:val="en-US" w:eastAsia="zh-CN"/>
              </w:rPr>
              <w:t>转入指定账户的</w:t>
            </w:r>
            <w:r>
              <w:rPr>
                <w:rFonts w:hint="eastAsia" w:cs="宋体"/>
                <w:color w:val="auto"/>
                <w:sz w:val="24"/>
                <w:szCs w:val="24"/>
                <w:highlight w:val="none"/>
              </w:rPr>
              <w:t>，其响应无效</w:t>
            </w:r>
            <w:r>
              <w:rPr>
                <w:rFonts w:hint="eastAsia" w:cs="宋体"/>
                <w:color w:val="auto"/>
                <w:sz w:val="24"/>
                <w:szCs w:val="24"/>
                <w:highlight w:val="none"/>
                <w:lang w:eastAsia="zh-CN"/>
              </w:rPr>
              <w:t>。</w:t>
            </w:r>
          </w:p>
          <w:p w14:paraId="1DD4545C">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财务查询为准，提供“缴纳凭证”。</w:t>
            </w:r>
          </w:p>
        </w:tc>
      </w:tr>
      <w:tr w14:paraId="3F4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DBA3BE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0AC7882">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2F7C205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2533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5E4FC1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666F881">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磋商</w:t>
            </w:r>
            <w:r>
              <w:rPr>
                <w:rFonts w:hint="eastAsia"/>
                <w:color w:val="auto"/>
                <w:highlight w:val="none"/>
              </w:rPr>
              <w:t>响应函</w:t>
            </w:r>
          </w:p>
        </w:tc>
        <w:tc>
          <w:tcPr>
            <w:tcW w:w="6149" w:type="dxa"/>
            <w:vAlign w:val="center"/>
          </w:tcPr>
          <w:p w14:paraId="2BDD61F2">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16B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CF327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8D770B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667DBABD">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704E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26B3A9E">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E4480FD">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62F70029">
            <w:pPr>
              <w:adjustRightInd w:val="0"/>
              <w:snapToGrid w:val="0"/>
              <w:spacing w:line="360" w:lineRule="auto"/>
              <w:ind w:right="-10"/>
              <w:jc w:val="left"/>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tc>
      </w:tr>
      <w:tr w14:paraId="0820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45CA48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D895090">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50A085F0">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52C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8F93CD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F74F824">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40FBA9A7">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磋商</w:t>
            </w:r>
            <w:r>
              <w:rPr>
                <w:rFonts w:hint="eastAsia"/>
                <w:color w:val="auto"/>
                <w:sz w:val="24"/>
                <w:szCs w:val="28"/>
                <w:highlight w:val="none"/>
              </w:rPr>
              <w:t>文件列明的其他要求</w:t>
            </w:r>
          </w:p>
        </w:tc>
      </w:tr>
      <w:tr w14:paraId="5F7D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347FF602">
            <w:pPr>
              <w:adjustRightInd w:val="0"/>
              <w:snapToGrid w:val="0"/>
              <w:spacing w:line="360" w:lineRule="auto"/>
              <w:ind w:right="-10"/>
              <w:jc w:val="center"/>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5EA673E1">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供应商</w:t>
      </w:r>
      <w:r>
        <w:rPr>
          <w:rFonts w:hint="eastAsia"/>
          <w:color w:val="auto"/>
          <w:sz w:val="24"/>
          <w:highlight w:val="none"/>
        </w:rPr>
        <w:t>必须通过初审表中的全部评审指标。</w:t>
      </w:r>
    </w:p>
    <w:p w14:paraId="6D23960B">
      <w:pPr>
        <w:spacing w:line="360" w:lineRule="auto"/>
        <w:ind w:firstLine="435"/>
        <w:outlineLvl w:val="2"/>
        <w:rPr>
          <w:b/>
          <w:color w:val="auto"/>
          <w:sz w:val="24"/>
          <w:highlight w:val="none"/>
        </w:rPr>
      </w:pPr>
      <w:r>
        <w:rPr>
          <w:rFonts w:hint="eastAsia"/>
          <w:b/>
          <w:color w:val="auto"/>
          <w:sz w:val="24"/>
          <w:highlight w:val="none"/>
        </w:rPr>
        <w:t>2.2综合评分</w:t>
      </w:r>
    </w:p>
    <w:p w14:paraId="6B935070">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磋商</w:t>
      </w:r>
      <w:r>
        <w:rPr>
          <w:rFonts w:hint="eastAsia"/>
          <w:color w:val="auto"/>
          <w:sz w:val="24"/>
          <w:highlight w:val="none"/>
        </w:rPr>
        <w:t>小组按照下表对进入综合评分的所有</w:t>
      </w:r>
      <w:r>
        <w:rPr>
          <w:rFonts w:hint="eastAsia"/>
          <w:color w:val="auto"/>
          <w:sz w:val="24"/>
          <w:szCs w:val="18"/>
          <w:highlight w:val="none"/>
          <w:lang w:eastAsia="zh-CN"/>
        </w:rPr>
        <w:t>供应商</w:t>
      </w:r>
      <w:r>
        <w:rPr>
          <w:rFonts w:hint="eastAsia"/>
          <w:color w:val="auto"/>
          <w:sz w:val="24"/>
          <w:highlight w:val="none"/>
        </w:rPr>
        <w:t>的响应文件进行综合评分。</w:t>
      </w:r>
    </w:p>
    <w:p w14:paraId="41E6DD21">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 xml:space="preserve"> 90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 xml:space="preserve"> 10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21"/>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89"/>
        <w:gridCol w:w="5522"/>
        <w:gridCol w:w="1247"/>
      </w:tblGrid>
      <w:tr w14:paraId="5DB0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top w:val="single" w:color="auto" w:sz="4" w:space="0"/>
              <w:left w:val="single" w:color="auto" w:sz="4" w:space="0"/>
              <w:bottom w:val="single" w:color="auto" w:sz="4" w:space="0"/>
              <w:right w:val="single" w:color="auto" w:sz="4" w:space="0"/>
            </w:tcBorders>
            <w:vAlign w:val="center"/>
          </w:tcPr>
          <w:p w14:paraId="60046E58">
            <w:pPr>
              <w:spacing w:line="360" w:lineRule="auto"/>
              <w:jc w:val="center"/>
              <w:rPr>
                <w:rFonts w:cs="宋体"/>
                <w:b/>
                <w:bCs/>
                <w:color w:val="auto"/>
                <w:sz w:val="24"/>
                <w:highlight w:val="none"/>
              </w:rPr>
            </w:pPr>
            <w:r>
              <w:rPr>
                <w:rFonts w:hint="eastAsia" w:cs="宋体"/>
                <w:b/>
                <w:bCs/>
                <w:color w:val="auto"/>
                <w:sz w:val="24"/>
                <w:highlight w:val="none"/>
              </w:rPr>
              <w:t>类别</w:t>
            </w:r>
          </w:p>
        </w:tc>
        <w:tc>
          <w:tcPr>
            <w:tcW w:w="694" w:type="pct"/>
            <w:tcBorders>
              <w:top w:val="single" w:color="auto" w:sz="4" w:space="0"/>
              <w:left w:val="single" w:color="auto" w:sz="4" w:space="0"/>
              <w:bottom w:val="single" w:color="auto" w:sz="4" w:space="0"/>
              <w:right w:val="single" w:color="auto" w:sz="4" w:space="0"/>
            </w:tcBorders>
            <w:vAlign w:val="center"/>
          </w:tcPr>
          <w:p w14:paraId="2E7F6F3F">
            <w:pPr>
              <w:spacing w:line="360" w:lineRule="auto"/>
              <w:jc w:val="center"/>
              <w:rPr>
                <w:rFonts w:cs="宋体"/>
                <w:b/>
                <w:bCs/>
                <w:color w:val="auto"/>
                <w:sz w:val="24"/>
                <w:highlight w:val="none"/>
              </w:rPr>
            </w:pPr>
            <w:r>
              <w:rPr>
                <w:rFonts w:hint="eastAsia" w:cs="宋体"/>
                <w:b/>
                <w:bCs/>
                <w:color w:val="auto"/>
                <w:sz w:val="24"/>
                <w:highlight w:val="none"/>
              </w:rPr>
              <w:t>评分内容</w:t>
            </w:r>
          </w:p>
        </w:tc>
        <w:tc>
          <w:tcPr>
            <w:tcW w:w="2972" w:type="pct"/>
            <w:tcBorders>
              <w:top w:val="single" w:color="auto" w:sz="4" w:space="0"/>
              <w:left w:val="single" w:color="auto" w:sz="4" w:space="0"/>
              <w:bottom w:val="single" w:color="auto" w:sz="4" w:space="0"/>
              <w:right w:val="single" w:color="auto" w:sz="4" w:space="0"/>
            </w:tcBorders>
            <w:vAlign w:val="center"/>
          </w:tcPr>
          <w:p w14:paraId="214DE92F">
            <w:pPr>
              <w:spacing w:line="360" w:lineRule="auto"/>
              <w:jc w:val="center"/>
              <w:rPr>
                <w:rFonts w:cs="宋体"/>
                <w:b/>
                <w:bCs/>
                <w:color w:val="auto"/>
                <w:sz w:val="24"/>
                <w:highlight w:val="none"/>
              </w:rPr>
            </w:pPr>
            <w:r>
              <w:rPr>
                <w:rFonts w:hint="eastAsia" w:cs="宋体"/>
                <w:b/>
                <w:bCs/>
                <w:color w:val="auto"/>
                <w:sz w:val="24"/>
                <w:highlight w:val="none"/>
              </w:rPr>
              <w:t>评分标准</w:t>
            </w:r>
          </w:p>
        </w:tc>
        <w:tc>
          <w:tcPr>
            <w:tcW w:w="671" w:type="pct"/>
            <w:tcBorders>
              <w:top w:val="single" w:color="auto" w:sz="4" w:space="0"/>
              <w:left w:val="single" w:color="auto" w:sz="4" w:space="0"/>
              <w:bottom w:val="single" w:color="auto" w:sz="4" w:space="0"/>
              <w:right w:val="single" w:color="auto" w:sz="4" w:space="0"/>
            </w:tcBorders>
            <w:vAlign w:val="center"/>
          </w:tcPr>
          <w:p w14:paraId="249FC889">
            <w:pPr>
              <w:spacing w:line="360" w:lineRule="auto"/>
              <w:jc w:val="center"/>
              <w:rPr>
                <w:rFonts w:cs="宋体"/>
                <w:b/>
                <w:bCs/>
                <w:color w:val="auto"/>
                <w:sz w:val="24"/>
                <w:highlight w:val="none"/>
              </w:rPr>
            </w:pPr>
            <w:r>
              <w:rPr>
                <w:rFonts w:hint="eastAsia" w:cs="宋体"/>
                <w:b/>
                <w:bCs/>
                <w:color w:val="auto"/>
                <w:sz w:val="24"/>
                <w:highlight w:val="none"/>
              </w:rPr>
              <w:t>分值范围</w:t>
            </w:r>
          </w:p>
        </w:tc>
      </w:tr>
      <w:tr w14:paraId="5793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restart"/>
            <w:tcBorders>
              <w:top w:val="single" w:color="auto" w:sz="4" w:space="0"/>
              <w:left w:val="single" w:color="auto" w:sz="4" w:space="0"/>
              <w:right w:val="single" w:color="auto" w:sz="4" w:space="0"/>
            </w:tcBorders>
            <w:vAlign w:val="center"/>
          </w:tcPr>
          <w:p w14:paraId="2F7C043A">
            <w:pPr>
              <w:spacing w:line="360" w:lineRule="auto"/>
              <w:jc w:val="center"/>
              <w:rPr>
                <w:rFonts w:cs="宋体"/>
                <w:b/>
                <w:bCs/>
                <w:color w:val="auto"/>
                <w:sz w:val="24"/>
                <w:highlight w:val="none"/>
              </w:rPr>
            </w:pPr>
            <w:r>
              <w:rPr>
                <w:rFonts w:hint="eastAsia" w:cs="宋体"/>
                <w:color w:val="auto"/>
                <w:sz w:val="24"/>
                <w:highlight w:val="none"/>
              </w:rPr>
              <w:t>技术资信分（</w:t>
            </w:r>
            <w:r>
              <w:rPr>
                <w:rFonts w:hint="eastAsia" w:cs="宋体"/>
                <w:color w:val="auto"/>
                <w:sz w:val="24"/>
                <w:highlight w:val="none"/>
                <w:lang w:val="en-US" w:eastAsia="zh-CN"/>
              </w:rPr>
              <w:t>90</w:t>
            </w:r>
            <w:r>
              <w:rPr>
                <w:rFonts w:hint="eastAsia" w:cs="宋体"/>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223C2D2A">
            <w:pPr>
              <w:spacing w:line="360" w:lineRule="auto"/>
              <w:jc w:val="center"/>
              <w:rPr>
                <w:rFonts w:cs="宋体"/>
                <w:b/>
                <w:bCs/>
                <w:color w:val="auto"/>
                <w:kern w:val="2"/>
                <w:sz w:val="24"/>
                <w:szCs w:val="24"/>
                <w:highlight w:val="none"/>
              </w:rPr>
            </w:pPr>
            <w:r>
              <w:rPr>
                <w:rFonts w:hint="eastAsia" w:cs="宋体"/>
                <w:color w:val="auto"/>
                <w:sz w:val="24"/>
                <w:szCs w:val="24"/>
                <w:highlight w:val="none"/>
              </w:rPr>
              <w:t>项目实施方案（1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462B6DE8">
            <w:pPr>
              <w:spacing w:line="360" w:lineRule="auto"/>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提供项目实施方案包括但不限于：</w:t>
            </w:r>
          </w:p>
          <w:p w14:paraId="3CBE3598">
            <w:pPr>
              <w:spacing w:line="360" w:lineRule="auto"/>
              <w:rPr>
                <w:rFonts w:cs="宋体"/>
                <w:color w:val="auto"/>
                <w:sz w:val="24"/>
                <w:szCs w:val="24"/>
                <w:highlight w:val="none"/>
              </w:rPr>
            </w:pPr>
            <w:r>
              <w:rPr>
                <w:rFonts w:hint="eastAsia" w:cs="宋体"/>
                <w:color w:val="auto"/>
                <w:sz w:val="24"/>
                <w:szCs w:val="24"/>
                <w:highlight w:val="none"/>
              </w:rPr>
              <w:t>1.各分部分项工程施工方案；</w:t>
            </w:r>
          </w:p>
          <w:p w14:paraId="66BF9E07">
            <w:pPr>
              <w:spacing w:line="360" w:lineRule="auto"/>
              <w:rPr>
                <w:rFonts w:cs="宋体"/>
                <w:color w:val="auto"/>
                <w:sz w:val="24"/>
                <w:szCs w:val="24"/>
                <w:highlight w:val="none"/>
              </w:rPr>
            </w:pPr>
            <w:r>
              <w:rPr>
                <w:rFonts w:hint="eastAsia" w:cs="宋体"/>
                <w:color w:val="auto"/>
                <w:sz w:val="24"/>
                <w:szCs w:val="24"/>
                <w:highlight w:val="none"/>
              </w:rPr>
              <w:t>2.关键工序；</w:t>
            </w:r>
          </w:p>
          <w:p w14:paraId="54E5A50B">
            <w:pPr>
              <w:spacing w:line="360" w:lineRule="auto"/>
              <w:rPr>
                <w:rFonts w:cs="宋体"/>
                <w:color w:val="auto"/>
                <w:sz w:val="24"/>
                <w:szCs w:val="24"/>
                <w:highlight w:val="none"/>
              </w:rPr>
            </w:pPr>
            <w:r>
              <w:rPr>
                <w:rFonts w:hint="eastAsia" w:cs="宋体"/>
                <w:color w:val="auto"/>
                <w:sz w:val="24"/>
                <w:szCs w:val="24"/>
                <w:highlight w:val="none"/>
              </w:rPr>
              <w:t>3.技术保障措施；</w:t>
            </w:r>
          </w:p>
          <w:p w14:paraId="683E467F">
            <w:pPr>
              <w:spacing w:line="360" w:lineRule="auto"/>
              <w:rPr>
                <w:rFonts w:cs="宋体"/>
                <w:color w:val="auto"/>
                <w:sz w:val="24"/>
                <w:szCs w:val="24"/>
                <w:highlight w:val="none"/>
              </w:rPr>
            </w:pPr>
            <w:r>
              <w:rPr>
                <w:rFonts w:hint="eastAsia" w:cs="宋体"/>
                <w:color w:val="auto"/>
                <w:sz w:val="24"/>
                <w:szCs w:val="24"/>
                <w:highlight w:val="none"/>
              </w:rPr>
              <w:t>4.施工技术等。</w:t>
            </w:r>
          </w:p>
          <w:p w14:paraId="774152DB">
            <w:pPr>
              <w:spacing w:line="360" w:lineRule="auto"/>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45B5D386">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4E71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15ADFC3">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7C6414C8">
            <w:pPr>
              <w:spacing w:line="360" w:lineRule="auto"/>
              <w:jc w:val="center"/>
              <w:rPr>
                <w:rFonts w:cs="宋体"/>
                <w:color w:val="auto"/>
                <w:sz w:val="24"/>
                <w:szCs w:val="24"/>
                <w:highlight w:val="none"/>
              </w:rPr>
            </w:pPr>
            <w:r>
              <w:rPr>
                <w:rFonts w:hint="eastAsia" w:cs="宋体"/>
                <w:color w:val="auto"/>
                <w:sz w:val="24"/>
                <w:szCs w:val="24"/>
                <w:highlight w:val="none"/>
              </w:rPr>
              <w:t>确保工程质量的管理体系与措施（1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7BD003D0">
            <w:pPr>
              <w:spacing w:line="360" w:lineRule="auto"/>
              <w:rPr>
                <w:rFonts w:cs="宋体"/>
                <w:color w:val="auto"/>
                <w:sz w:val="24"/>
                <w:szCs w:val="24"/>
                <w:highlight w:val="none"/>
              </w:rPr>
            </w:pPr>
            <w:r>
              <w:rPr>
                <w:rFonts w:hint="eastAsia" w:cs="宋体"/>
                <w:color w:val="auto"/>
                <w:sz w:val="24"/>
                <w:szCs w:val="24"/>
                <w:highlight w:val="none"/>
              </w:rPr>
              <w:t>确保工程质量的管理体系与措施包含但不限于：</w:t>
            </w:r>
          </w:p>
          <w:p w14:paraId="315E6EAD">
            <w:pPr>
              <w:spacing w:line="360" w:lineRule="auto"/>
              <w:rPr>
                <w:rFonts w:cs="宋体"/>
                <w:color w:val="auto"/>
                <w:sz w:val="24"/>
                <w:szCs w:val="24"/>
                <w:highlight w:val="none"/>
              </w:rPr>
            </w:pPr>
            <w:r>
              <w:rPr>
                <w:rFonts w:hint="eastAsia" w:cs="宋体"/>
                <w:color w:val="auto"/>
                <w:sz w:val="24"/>
                <w:szCs w:val="24"/>
                <w:highlight w:val="none"/>
              </w:rPr>
              <w:t>1.施工完成部分与正在施工部分做好现场维护措施；</w:t>
            </w:r>
          </w:p>
          <w:p w14:paraId="06705EC4">
            <w:pPr>
              <w:spacing w:line="360" w:lineRule="auto"/>
              <w:rPr>
                <w:rFonts w:cs="宋体"/>
                <w:color w:val="auto"/>
                <w:sz w:val="24"/>
                <w:szCs w:val="24"/>
                <w:highlight w:val="none"/>
              </w:rPr>
            </w:pPr>
            <w:r>
              <w:rPr>
                <w:rFonts w:hint="eastAsia" w:cs="宋体"/>
                <w:color w:val="auto"/>
                <w:sz w:val="24"/>
                <w:szCs w:val="24"/>
                <w:highlight w:val="none"/>
              </w:rPr>
              <w:t>2.质保具体内容；</w:t>
            </w:r>
          </w:p>
          <w:p w14:paraId="14E142F1">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49B7E1D2">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CC7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32B48F3F">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638E3C07">
            <w:pPr>
              <w:spacing w:line="360" w:lineRule="auto"/>
              <w:jc w:val="center"/>
              <w:rPr>
                <w:rFonts w:cs="宋体"/>
                <w:color w:val="auto"/>
                <w:sz w:val="24"/>
                <w:szCs w:val="24"/>
                <w:highlight w:val="none"/>
              </w:rPr>
            </w:pPr>
            <w:r>
              <w:rPr>
                <w:rFonts w:hint="eastAsia" w:cs="宋体"/>
                <w:color w:val="auto"/>
                <w:sz w:val="24"/>
                <w:szCs w:val="24"/>
                <w:highlight w:val="none"/>
              </w:rPr>
              <w:t>项目进度计划及工期安排（1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5FE965AA">
            <w:pPr>
              <w:spacing w:line="360" w:lineRule="auto"/>
              <w:rPr>
                <w:rFonts w:cs="宋体"/>
                <w:color w:val="auto"/>
                <w:sz w:val="24"/>
                <w:highlight w:val="none"/>
              </w:rPr>
            </w:pPr>
            <w:r>
              <w:rPr>
                <w:rFonts w:hint="eastAsia" w:cs="宋体"/>
                <w:color w:val="auto"/>
                <w:sz w:val="24"/>
                <w:highlight w:val="none"/>
              </w:rPr>
              <w:t>工程进度计划及保证措施包含但不限于：</w:t>
            </w:r>
          </w:p>
          <w:p w14:paraId="3DB49560">
            <w:pPr>
              <w:spacing w:line="360" w:lineRule="auto"/>
              <w:rPr>
                <w:rFonts w:cs="宋体"/>
                <w:color w:val="auto"/>
                <w:sz w:val="24"/>
                <w:highlight w:val="none"/>
              </w:rPr>
            </w:pPr>
            <w:r>
              <w:rPr>
                <w:rFonts w:hint="eastAsia" w:cs="宋体"/>
                <w:color w:val="auto"/>
                <w:sz w:val="24"/>
                <w:highlight w:val="none"/>
              </w:rPr>
              <w:t>1.工程进度计划；</w:t>
            </w:r>
          </w:p>
          <w:p w14:paraId="44CF2A40">
            <w:pPr>
              <w:spacing w:line="360" w:lineRule="auto"/>
              <w:rPr>
                <w:rFonts w:cs="宋体"/>
                <w:color w:val="auto"/>
                <w:sz w:val="24"/>
                <w:highlight w:val="none"/>
              </w:rPr>
            </w:pPr>
            <w:r>
              <w:rPr>
                <w:rFonts w:hint="eastAsia" w:cs="宋体"/>
                <w:color w:val="auto"/>
                <w:sz w:val="24"/>
                <w:highlight w:val="none"/>
              </w:rPr>
              <w:t>2.工程进度保证措施；</w:t>
            </w:r>
          </w:p>
          <w:p w14:paraId="676C6E35">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ACEB368">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7D6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282B2DD1">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36F94A36">
            <w:pPr>
              <w:spacing w:line="360" w:lineRule="auto"/>
              <w:jc w:val="center"/>
              <w:rPr>
                <w:rFonts w:cs="宋体"/>
                <w:color w:val="auto"/>
                <w:sz w:val="24"/>
                <w:szCs w:val="24"/>
                <w:highlight w:val="none"/>
              </w:rPr>
            </w:pPr>
            <w:r>
              <w:rPr>
                <w:rFonts w:hint="eastAsia" w:cs="宋体"/>
                <w:color w:val="auto"/>
                <w:sz w:val="24"/>
                <w:szCs w:val="24"/>
                <w:highlight w:val="none"/>
              </w:rPr>
              <w:t>安全、文明施工的技术措施及规章制度（1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79A02B15">
            <w:pPr>
              <w:spacing w:line="360" w:lineRule="auto"/>
              <w:rPr>
                <w:rFonts w:cs="宋体"/>
                <w:color w:val="auto"/>
                <w:sz w:val="24"/>
                <w:highlight w:val="none"/>
              </w:rPr>
            </w:pPr>
            <w:r>
              <w:rPr>
                <w:rFonts w:hint="eastAsia" w:cs="宋体"/>
                <w:color w:val="auto"/>
                <w:sz w:val="24"/>
                <w:highlight w:val="none"/>
              </w:rPr>
              <w:t>安全、文明施工的技术措施及规章制度包含但不限于：</w:t>
            </w:r>
          </w:p>
          <w:p w14:paraId="5AAB7D26">
            <w:pPr>
              <w:spacing w:line="360" w:lineRule="auto"/>
              <w:rPr>
                <w:rFonts w:cs="宋体"/>
                <w:color w:val="auto"/>
                <w:sz w:val="24"/>
                <w:highlight w:val="none"/>
              </w:rPr>
            </w:pPr>
            <w:r>
              <w:rPr>
                <w:rFonts w:hint="eastAsia" w:cs="宋体"/>
                <w:color w:val="auto"/>
                <w:sz w:val="24"/>
                <w:highlight w:val="none"/>
              </w:rPr>
              <w:t>1.安全、文明施工的技术措施；</w:t>
            </w:r>
          </w:p>
          <w:p w14:paraId="2C0AD858">
            <w:pPr>
              <w:spacing w:line="360" w:lineRule="auto"/>
              <w:rPr>
                <w:rFonts w:cs="宋体"/>
                <w:color w:val="auto"/>
                <w:sz w:val="24"/>
                <w:highlight w:val="none"/>
              </w:rPr>
            </w:pPr>
            <w:r>
              <w:rPr>
                <w:rFonts w:hint="eastAsia" w:cs="宋体"/>
                <w:color w:val="auto"/>
                <w:sz w:val="24"/>
                <w:highlight w:val="none"/>
              </w:rPr>
              <w:t>2.安全、文明施工的规章制度；</w:t>
            </w:r>
          </w:p>
          <w:p w14:paraId="4CF6C4F7">
            <w:pPr>
              <w:spacing w:line="360" w:lineRule="auto"/>
              <w:rPr>
                <w:rFonts w:cs="宋体"/>
                <w:color w:val="auto"/>
                <w:sz w:val="24"/>
                <w:highlight w:val="none"/>
              </w:rPr>
            </w:pPr>
            <w:r>
              <w:rPr>
                <w:rFonts w:hint="eastAsia" w:cs="宋体"/>
                <w:color w:val="auto"/>
                <w:sz w:val="24"/>
                <w:highlight w:val="none"/>
              </w:rPr>
              <w:t>3.安全、文明施工管理体系；</w:t>
            </w:r>
          </w:p>
          <w:p w14:paraId="02E9ED01">
            <w:pPr>
              <w:spacing w:line="360" w:lineRule="auto"/>
              <w:rPr>
                <w:rFonts w:cs="宋体"/>
                <w:color w:val="auto"/>
                <w:sz w:val="24"/>
                <w:highlight w:val="none"/>
              </w:rPr>
            </w:pPr>
            <w:r>
              <w:rPr>
                <w:rFonts w:hint="eastAsia" w:cs="宋体"/>
                <w:color w:val="auto"/>
                <w:sz w:val="24"/>
                <w:highlight w:val="none"/>
              </w:rPr>
              <w:t>4.安全、文明施工技术组织措施等。</w:t>
            </w:r>
          </w:p>
          <w:p w14:paraId="47628B89">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44B7A90">
            <w:pPr>
              <w:spacing w:line="360" w:lineRule="auto"/>
              <w:jc w:val="center"/>
              <w:rPr>
                <w:rFonts w:cs="宋体"/>
                <w:color w:val="auto"/>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54A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29AAA21D">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1F48964">
            <w:pPr>
              <w:spacing w:line="360" w:lineRule="auto"/>
              <w:jc w:val="center"/>
              <w:rPr>
                <w:rFonts w:cs="宋体"/>
                <w:color w:val="auto"/>
                <w:sz w:val="24"/>
                <w:szCs w:val="24"/>
                <w:highlight w:val="none"/>
              </w:rPr>
            </w:pPr>
            <w:r>
              <w:rPr>
                <w:rFonts w:hint="eastAsia" w:cs="宋体"/>
                <w:color w:val="auto"/>
                <w:sz w:val="24"/>
                <w:szCs w:val="24"/>
                <w:highlight w:val="none"/>
              </w:rPr>
              <w:t>施工重点、难点及保证措施（</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1205319D">
            <w:pPr>
              <w:spacing w:line="360" w:lineRule="auto"/>
              <w:rPr>
                <w:rFonts w:cs="宋体"/>
                <w:color w:val="auto"/>
                <w:sz w:val="24"/>
                <w:highlight w:val="none"/>
              </w:rPr>
            </w:pPr>
            <w:r>
              <w:rPr>
                <w:rFonts w:hint="eastAsia" w:cs="宋体"/>
                <w:color w:val="auto"/>
                <w:sz w:val="24"/>
                <w:highlight w:val="none"/>
              </w:rPr>
              <w:t>磋商小组根据</w:t>
            </w:r>
            <w:r>
              <w:rPr>
                <w:rFonts w:hint="eastAsia"/>
                <w:color w:val="auto"/>
                <w:sz w:val="24"/>
                <w:szCs w:val="18"/>
                <w:highlight w:val="none"/>
                <w:lang w:eastAsia="zh-CN"/>
              </w:rPr>
              <w:t>供应商</w:t>
            </w:r>
            <w:r>
              <w:rPr>
                <w:rFonts w:hint="eastAsia" w:cs="宋体"/>
                <w:color w:val="auto"/>
                <w:sz w:val="24"/>
                <w:highlight w:val="none"/>
              </w:rPr>
              <w:t>针对本项目实际情况提出的施工重点、难点及保证措施进行综合评分：</w:t>
            </w:r>
          </w:p>
          <w:p w14:paraId="7ACF0020">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EA4B804">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641F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571D7A1">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2BD939F2">
            <w:pPr>
              <w:spacing w:line="360" w:lineRule="auto"/>
              <w:jc w:val="center"/>
              <w:rPr>
                <w:rFonts w:cs="宋体"/>
                <w:color w:val="auto"/>
                <w:sz w:val="24"/>
                <w:szCs w:val="24"/>
                <w:highlight w:val="none"/>
              </w:rPr>
            </w:pPr>
            <w:r>
              <w:rPr>
                <w:color w:val="auto"/>
                <w:sz w:val="24"/>
                <w:highlight w:val="none"/>
              </w:rPr>
              <w:t>主要施工机械、设备</w:t>
            </w:r>
            <w:r>
              <w:rPr>
                <w:rFonts w:hint="eastAsia"/>
                <w:color w:val="auto"/>
                <w:sz w:val="24"/>
                <w:highlight w:val="none"/>
              </w:rPr>
              <w:t>进场</w:t>
            </w:r>
            <w:r>
              <w:rPr>
                <w:color w:val="auto"/>
                <w:sz w:val="24"/>
                <w:highlight w:val="none"/>
              </w:rPr>
              <w:t>计划</w:t>
            </w:r>
            <w:r>
              <w:rPr>
                <w:rFonts w:hint="eastAsia" w:cs="宋体"/>
                <w:color w:val="auto"/>
                <w:sz w:val="24"/>
                <w:szCs w:val="24"/>
                <w:highlight w:val="none"/>
              </w:rPr>
              <w:t>（</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0DD1AD9B">
            <w:pPr>
              <w:pStyle w:val="8"/>
              <w:spacing w:line="360" w:lineRule="auto"/>
              <w:ind w:left="0" w:leftChars="0"/>
              <w:rPr>
                <w:rFonts w:cs="宋体"/>
                <w:color w:val="auto"/>
                <w:sz w:val="24"/>
                <w:highlight w:val="none"/>
              </w:rPr>
            </w:pPr>
            <w:r>
              <w:rPr>
                <w:rFonts w:cs="宋体"/>
                <w:color w:val="auto"/>
                <w:sz w:val="24"/>
                <w:highlight w:val="none"/>
              </w:rPr>
              <w:t>投入的施工机械、设备、机具有详细计划且计划周密，设备数量、选型配置、进场数量、时间安排合理，满足施工需要。</w:t>
            </w:r>
          </w:p>
          <w:p w14:paraId="5B11B16F">
            <w:pPr>
              <w:spacing w:line="360" w:lineRule="auto"/>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6D1B6F1A">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0372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EBF78AA">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5B8F9589">
            <w:pPr>
              <w:spacing w:line="360" w:lineRule="auto"/>
              <w:jc w:val="center"/>
              <w:rPr>
                <w:color w:val="auto"/>
                <w:sz w:val="24"/>
                <w:highlight w:val="none"/>
              </w:rPr>
            </w:pPr>
            <w:r>
              <w:rPr>
                <w:rFonts w:hint="eastAsia" w:cs="宋体"/>
                <w:color w:val="auto"/>
                <w:sz w:val="24"/>
                <w:szCs w:val="24"/>
                <w:highlight w:val="none"/>
                <w:lang w:bidi="ar"/>
              </w:rPr>
              <w:t>资源配备计划</w:t>
            </w:r>
            <w:r>
              <w:rPr>
                <w:rFonts w:hint="eastAsia" w:cs="宋体"/>
                <w:color w:val="auto"/>
                <w:sz w:val="24"/>
                <w:szCs w:val="24"/>
                <w:highlight w:val="none"/>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vAlign w:val="center"/>
          </w:tcPr>
          <w:p w14:paraId="517F4EE4">
            <w:pPr>
              <w:widowControl/>
              <w:spacing w:line="360" w:lineRule="auto"/>
              <w:jc w:val="left"/>
              <w:rPr>
                <w:rFonts w:cs="宋体"/>
                <w:color w:val="auto"/>
                <w:sz w:val="24"/>
                <w:szCs w:val="24"/>
                <w:highlight w:val="none"/>
                <w:lang w:bidi="ar"/>
              </w:rPr>
            </w:pPr>
            <w:r>
              <w:rPr>
                <w:rFonts w:hint="eastAsia" w:cs="宋体"/>
                <w:color w:val="auto"/>
                <w:sz w:val="24"/>
                <w:szCs w:val="24"/>
                <w:highlight w:val="none"/>
                <w:lang w:bidi="ar"/>
              </w:rPr>
              <w:t>结合本工程特点，依据</w:t>
            </w:r>
            <w:r>
              <w:rPr>
                <w:rFonts w:hint="eastAsia"/>
                <w:color w:val="auto"/>
                <w:sz w:val="24"/>
                <w:szCs w:val="18"/>
                <w:highlight w:val="none"/>
                <w:lang w:eastAsia="zh-CN"/>
              </w:rPr>
              <w:t>供应商</w:t>
            </w:r>
            <w:r>
              <w:rPr>
                <w:rFonts w:hint="eastAsia" w:cs="宋体"/>
                <w:color w:val="auto"/>
                <w:sz w:val="24"/>
                <w:szCs w:val="24"/>
                <w:highlight w:val="none"/>
                <w:lang w:bidi="ar"/>
              </w:rPr>
              <w:t>提出的主要物资、机械设备、劳动力计划进行评审：</w:t>
            </w:r>
          </w:p>
          <w:p w14:paraId="5626699D">
            <w:pPr>
              <w:pStyle w:val="8"/>
              <w:spacing w:line="360" w:lineRule="auto"/>
              <w:ind w:left="0" w:leftChars="0"/>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AE2E274">
            <w:pPr>
              <w:spacing w:line="360" w:lineRule="auto"/>
              <w:jc w:val="center"/>
              <w:rPr>
                <w:rFonts w:hint="eastAsia" w:cs="宋体"/>
                <w:color w:val="auto"/>
                <w:sz w:val="24"/>
                <w:szCs w:val="24"/>
                <w:highlight w:val="none"/>
              </w:rPr>
            </w:pPr>
            <w:r>
              <w:rPr>
                <w:rFonts w:hint="eastAsia" w:cs="宋体"/>
                <w:color w:val="auto"/>
                <w:sz w:val="24"/>
                <w:szCs w:val="24"/>
                <w:highlight w:val="none"/>
                <w:u w:val="single"/>
              </w:rPr>
              <w:t>0-10</w:t>
            </w:r>
            <w:r>
              <w:rPr>
                <w:rFonts w:hint="eastAsia" w:cs="宋体"/>
                <w:color w:val="auto"/>
                <w:sz w:val="24"/>
                <w:szCs w:val="24"/>
                <w:highlight w:val="none"/>
              </w:rPr>
              <w:t>分</w:t>
            </w:r>
          </w:p>
        </w:tc>
      </w:tr>
      <w:tr w14:paraId="648F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76FFA1E0">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D8BC4C3">
            <w:pPr>
              <w:spacing w:line="360" w:lineRule="auto"/>
              <w:jc w:val="center"/>
              <w:rPr>
                <w:rFonts w:cs="宋体"/>
                <w:color w:val="auto"/>
                <w:sz w:val="24"/>
                <w:szCs w:val="24"/>
                <w:highlight w:val="none"/>
              </w:rPr>
            </w:pPr>
            <w:r>
              <w:rPr>
                <w:rFonts w:hint="eastAsia" w:cs="宋体"/>
                <w:color w:val="auto"/>
                <w:kern w:val="2"/>
                <w:sz w:val="24"/>
                <w:szCs w:val="24"/>
                <w:highlight w:val="none"/>
                <w:lang w:val="zh-CN" w:bidi="zh-CN"/>
              </w:rPr>
              <w:t>供应商业绩（</w:t>
            </w:r>
            <w:r>
              <w:rPr>
                <w:rFonts w:hint="eastAsia" w:cs="宋体"/>
                <w:color w:val="auto"/>
                <w:kern w:val="2"/>
                <w:sz w:val="24"/>
                <w:szCs w:val="24"/>
                <w:highlight w:val="none"/>
                <w:lang w:val="en-US" w:bidi="zh-CN"/>
              </w:rPr>
              <w:t>12</w:t>
            </w:r>
            <w:r>
              <w:rPr>
                <w:rFonts w:hint="eastAsia" w:cs="宋体"/>
                <w:color w:val="auto"/>
                <w:kern w:val="2"/>
                <w:sz w:val="24"/>
                <w:szCs w:val="24"/>
                <w:highlight w:val="none"/>
                <w:lang w:val="zh-CN" w:bidi="zh-CN"/>
              </w:rPr>
              <w:t>分）</w:t>
            </w:r>
          </w:p>
        </w:tc>
        <w:tc>
          <w:tcPr>
            <w:tcW w:w="2972" w:type="pct"/>
            <w:tcBorders>
              <w:top w:val="single" w:color="auto" w:sz="4" w:space="0"/>
              <w:left w:val="single" w:color="auto" w:sz="4" w:space="0"/>
              <w:bottom w:val="single" w:color="auto" w:sz="4" w:space="0"/>
              <w:right w:val="single" w:color="auto" w:sz="4" w:space="0"/>
            </w:tcBorders>
            <w:vAlign w:val="center"/>
          </w:tcPr>
          <w:p w14:paraId="2AD04E58">
            <w:pPr>
              <w:spacing w:line="360" w:lineRule="auto"/>
              <w:jc w:val="left"/>
              <w:rPr>
                <w:rFonts w:cs="宋体"/>
                <w:color w:val="auto"/>
                <w:kern w:val="2"/>
                <w:sz w:val="24"/>
                <w:szCs w:val="24"/>
                <w:highlight w:val="none"/>
              </w:rPr>
            </w:pPr>
            <w:r>
              <w:rPr>
                <w:rFonts w:hint="eastAsia" w:cs="宋体"/>
                <w:color w:val="auto"/>
                <w:kern w:val="2"/>
                <w:sz w:val="24"/>
                <w:szCs w:val="24"/>
                <w:highlight w:val="none"/>
              </w:rPr>
              <w:t>自20</w:t>
            </w:r>
            <w:r>
              <w:rPr>
                <w:rFonts w:hint="eastAsia" w:cs="宋体"/>
                <w:color w:val="auto"/>
                <w:kern w:val="2"/>
                <w:sz w:val="24"/>
                <w:szCs w:val="24"/>
                <w:highlight w:val="none"/>
                <w:lang w:val="en-US" w:eastAsia="zh-CN"/>
              </w:rPr>
              <w:t>21</w:t>
            </w:r>
            <w:r>
              <w:rPr>
                <w:rFonts w:hint="eastAsia" w:cs="宋体"/>
                <w:color w:val="auto"/>
                <w:kern w:val="2"/>
                <w:sz w:val="24"/>
                <w:szCs w:val="24"/>
                <w:highlight w:val="none"/>
              </w:rPr>
              <w:t>年1月1日以来（以</w:t>
            </w:r>
            <w:r>
              <w:rPr>
                <w:rFonts w:hint="eastAsia" w:cs="宋体"/>
                <w:color w:val="auto"/>
                <w:kern w:val="2"/>
                <w:sz w:val="24"/>
                <w:szCs w:val="24"/>
                <w:highlight w:val="none"/>
                <w:lang w:eastAsia="zh-CN"/>
              </w:rPr>
              <w:t>竣工验收时间</w:t>
            </w:r>
            <w:r>
              <w:rPr>
                <w:rFonts w:hint="eastAsia" w:cs="宋体"/>
                <w:color w:val="auto"/>
                <w:kern w:val="2"/>
                <w:sz w:val="24"/>
                <w:szCs w:val="24"/>
                <w:highlight w:val="none"/>
              </w:rPr>
              <w:t>为准），</w:t>
            </w:r>
            <w:r>
              <w:rPr>
                <w:rFonts w:hint="eastAsia" w:cs="宋体"/>
                <w:color w:val="auto"/>
                <w:kern w:val="2"/>
                <w:sz w:val="24"/>
                <w:szCs w:val="24"/>
                <w:highlight w:val="none"/>
                <w:lang w:eastAsia="zh-CN"/>
              </w:rPr>
              <w:t>供应商</w:t>
            </w:r>
            <w:r>
              <w:rPr>
                <w:rFonts w:hint="eastAsia" w:cs="宋体"/>
                <w:color w:val="auto"/>
                <w:kern w:val="2"/>
                <w:sz w:val="24"/>
                <w:szCs w:val="24"/>
                <w:highlight w:val="none"/>
              </w:rPr>
              <w:t>具有</w:t>
            </w:r>
            <w:r>
              <w:rPr>
                <w:rFonts w:hint="eastAsia" w:cs="宋体"/>
                <w:color w:val="auto"/>
                <w:kern w:val="2"/>
                <w:sz w:val="24"/>
                <w:szCs w:val="24"/>
                <w:highlight w:val="none"/>
                <w:lang w:val="en-US" w:eastAsia="zh-CN"/>
              </w:rPr>
              <w:t>建筑</w:t>
            </w:r>
            <w:r>
              <w:rPr>
                <w:rFonts w:hint="eastAsia" w:cs="宋体"/>
                <w:color w:val="auto"/>
                <w:kern w:val="2"/>
                <w:sz w:val="24"/>
                <w:szCs w:val="24"/>
                <w:highlight w:val="none"/>
              </w:rPr>
              <w:t>工程施工业绩，每提供一个得</w:t>
            </w:r>
            <w:r>
              <w:rPr>
                <w:rFonts w:hint="eastAsia" w:cs="宋体"/>
                <w:color w:val="auto"/>
                <w:kern w:val="2"/>
                <w:sz w:val="24"/>
                <w:szCs w:val="24"/>
                <w:highlight w:val="none"/>
                <w:lang w:val="en-US" w:eastAsia="zh-CN"/>
              </w:rPr>
              <w:t>4</w:t>
            </w:r>
            <w:r>
              <w:rPr>
                <w:rFonts w:hint="eastAsia" w:cs="宋体"/>
                <w:color w:val="auto"/>
                <w:kern w:val="2"/>
                <w:sz w:val="24"/>
                <w:szCs w:val="24"/>
                <w:highlight w:val="none"/>
              </w:rPr>
              <w:t>分，满分</w:t>
            </w:r>
            <w:r>
              <w:rPr>
                <w:rFonts w:hint="eastAsia" w:cs="宋体"/>
                <w:color w:val="auto"/>
                <w:kern w:val="2"/>
                <w:sz w:val="24"/>
                <w:szCs w:val="24"/>
                <w:highlight w:val="none"/>
                <w:lang w:val="en-US" w:eastAsia="zh-CN"/>
              </w:rPr>
              <w:t>12</w:t>
            </w:r>
            <w:r>
              <w:rPr>
                <w:rFonts w:hint="eastAsia" w:cs="宋体"/>
                <w:color w:val="auto"/>
                <w:kern w:val="2"/>
                <w:sz w:val="24"/>
                <w:szCs w:val="24"/>
                <w:highlight w:val="none"/>
              </w:rPr>
              <w:t>分。</w:t>
            </w:r>
          </w:p>
          <w:p w14:paraId="2D664A71">
            <w:pPr>
              <w:widowControl/>
              <w:spacing w:line="440" w:lineRule="exact"/>
              <w:jc w:val="left"/>
              <w:rPr>
                <w:rFonts w:cs="宋体"/>
                <w:b/>
                <w:bCs/>
                <w:color w:val="auto"/>
                <w:sz w:val="24"/>
                <w:szCs w:val="24"/>
                <w:highlight w:val="none"/>
                <w:lang w:bidi="ar"/>
              </w:rPr>
            </w:pPr>
            <w:r>
              <w:rPr>
                <w:rFonts w:hint="eastAsia" w:cs="宋体"/>
                <w:b/>
                <w:bCs/>
                <w:color w:val="auto"/>
                <w:sz w:val="24"/>
                <w:szCs w:val="24"/>
                <w:highlight w:val="none"/>
                <w:lang w:bidi="ar"/>
              </w:rPr>
              <w:t>注：</w:t>
            </w:r>
            <w:r>
              <w:rPr>
                <w:rFonts w:hint="eastAsia" w:cs="宋体"/>
                <w:b/>
                <w:bCs/>
                <w:color w:val="auto"/>
                <w:sz w:val="24"/>
                <w:szCs w:val="24"/>
                <w:highlight w:val="none"/>
                <w:lang w:eastAsia="zh-CN" w:bidi="ar"/>
              </w:rPr>
              <w:t>供应商</w:t>
            </w:r>
            <w:r>
              <w:rPr>
                <w:rFonts w:hint="eastAsia" w:cs="宋体"/>
                <w:b/>
                <w:bCs/>
                <w:color w:val="auto"/>
                <w:sz w:val="24"/>
                <w:szCs w:val="24"/>
                <w:highlight w:val="none"/>
                <w:lang w:bidi="ar"/>
              </w:rPr>
              <w:t>最多提供3个业绩，响应文件须同时提供以下证明材料：</w:t>
            </w:r>
          </w:p>
          <w:p w14:paraId="08EFC5B9">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（1）合同；</w:t>
            </w:r>
          </w:p>
          <w:p w14:paraId="404F64F7">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（2）竣工验收证明文件。</w:t>
            </w:r>
          </w:p>
          <w:p w14:paraId="0E891435">
            <w:pPr>
              <w:spacing w:line="360" w:lineRule="auto"/>
              <w:rPr>
                <w:rFonts w:cs="宋体"/>
                <w:color w:val="auto"/>
                <w:sz w:val="24"/>
                <w:highlight w:val="none"/>
              </w:rPr>
            </w:pPr>
            <w:r>
              <w:rPr>
                <w:rFonts w:hint="eastAsia"/>
                <w:b/>
                <w:bCs/>
                <w:color w:val="auto"/>
                <w:sz w:val="24"/>
                <w:szCs w:val="24"/>
                <w:highlight w:val="none"/>
                <w:lang w:bidi="ar"/>
              </w:rPr>
              <w:t>未提供或提供不全的不得分。（若合同和竣工验收证明文件未能体现签订时间、服务内容等关键评审因素，须出具业主（合同甲方）证明材料）。</w:t>
            </w:r>
          </w:p>
        </w:tc>
        <w:tc>
          <w:tcPr>
            <w:tcW w:w="671" w:type="pct"/>
            <w:tcBorders>
              <w:top w:val="single" w:color="auto" w:sz="4" w:space="0"/>
              <w:left w:val="single" w:color="auto" w:sz="4" w:space="0"/>
              <w:bottom w:val="single" w:color="auto" w:sz="4" w:space="0"/>
              <w:right w:val="single" w:color="auto" w:sz="4" w:space="0"/>
            </w:tcBorders>
            <w:vAlign w:val="center"/>
          </w:tcPr>
          <w:p w14:paraId="3FEAB7C9">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12</w:t>
            </w:r>
            <w:r>
              <w:rPr>
                <w:rFonts w:hint="eastAsia" w:cs="宋体"/>
                <w:color w:val="auto"/>
                <w:sz w:val="24"/>
                <w:szCs w:val="24"/>
                <w:highlight w:val="none"/>
              </w:rPr>
              <w:t>分</w:t>
            </w:r>
          </w:p>
        </w:tc>
      </w:tr>
      <w:tr w14:paraId="551B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61" w:type="pct"/>
            <w:vMerge w:val="continue"/>
            <w:tcBorders>
              <w:left w:val="single" w:color="auto" w:sz="4" w:space="0"/>
              <w:right w:val="single" w:color="auto" w:sz="4" w:space="0"/>
            </w:tcBorders>
            <w:vAlign w:val="center"/>
          </w:tcPr>
          <w:p w14:paraId="401A1F7D">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251D0CEC">
            <w:pPr>
              <w:spacing w:line="360" w:lineRule="auto"/>
              <w:jc w:val="center"/>
              <w:rPr>
                <w:color w:val="auto"/>
                <w:kern w:val="2"/>
                <w:sz w:val="24"/>
                <w:szCs w:val="24"/>
                <w:highlight w:val="none"/>
              </w:rPr>
            </w:pPr>
            <w:r>
              <w:rPr>
                <w:rFonts w:hint="eastAsia"/>
                <w:color w:val="auto"/>
                <w:sz w:val="24"/>
                <w:highlight w:val="none"/>
              </w:rPr>
              <w:t>人员配备（</w:t>
            </w:r>
            <w:r>
              <w:rPr>
                <w:rFonts w:hint="eastAsia"/>
                <w:color w:val="auto"/>
                <w:sz w:val="24"/>
                <w:highlight w:val="none"/>
                <w:lang w:val="en-US" w:eastAsia="zh-CN"/>
              </w:rPr>
              <w:t>8</w:t>
            </w:r>
            <w:r>
              <w:rPr>
                <w:color w:val="auto"/>
                <w:sz w:val="24"/>
                <w:highlight w:val="none"/>
              </w:rPr>
              <w:t>分</w:t>
            </w:r>
            <w:r>
              <w:rPr>
                <w:rFonts w:hint="eastAsia"/>
                <w:color w:val="auto"/>
                <w:sz w:val="24"/>
                <w:highlight w:val="none"/>
              </w:rPr>
              <w:t>）</w:t>
            </w:r>
          </w:p>
        </w:tc>
        <w:tc>
          <w:tcPr>
            <w:tcW w:w="2972" w:type="pct"/>
            <w:tcBorders>
              <w:top w:val="single" w:color="auto" w:sz="4" w:space="0"/>
              <w:left w:val="single" w:color="auto" w:sz="4" w:space="0"/>
              <w:bottom w:val="single" w:color="auto" w:sz="4" w:space="0"/>
              <w:right w:val="single" w:color="auto" w:sz="4" w:space="0"/>
            </w:tcBorders>
            <w:vAlign w:val="center"/>
          </w:tcPr>
          <w:p w14:paraId="7634F0CD">
            <w:pPr>
              <w:spacing w:line="360" w:lineRule="auto"/>
              <w:rPr>
                <w:rFonts w:cs="宋体"/>
                <w:b/>
                <w:bCs/>
                <w:color w:val="auto"/>
                <w:sz w:val="24"/>
                <w:szCs w:val="24"/>
                <w:highlight w:val="none"/>
              </w:rPr>
            </w:pPr>
            <w:r>
              <w:rPr>
                <w:rFonts w:cs="宋体"/>
                <w:b/>
                <w:bCs/>
                <w:color w:val="auto"/>
                <w:sz w:val="24"/>
                <w:szCs w:val="24"/>
                <w:highlight w:val="none"/>
              </w:rPr>
              <w:t>1、拟派项目经理（1人，满分2分）：</w:t>
            </w:r>
          </w:p>
          <w:p w14:paraId="5AA0EA10">
            <w:pPr>
              <w:spacing w:line="360" w:lineRule="auto"/>
              <w:rPr>
                <w:rFonts w:cs="宋体"/>
                <w:color w:val="auto"/>
                <w:sz w:val="24"/>
                <w:szCs w:val="24"/>
                <w:highlight w:val="none"/>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b/>
                <w:bCs/>
                <w:color w:val="auto"/>
                <w:sz w:val="24"/>
                <w:szCs w:val="24"/>
                <w:highlight w:val="none"/>
                <w:lang w:val="en-US" w:eastAsia="zh-CN"/>
              </w:rPr>
              <w:t>建筑工程</w:t>
            </w:r>
            <w:r>
              <w:rPr>
                <w:rFonts w:hint="eastAsia" w:cs="宋体"/>
                <w:b/>
                <w:bCs/>
                <w:color w:val="auto"/>
                <w:sz w:val="24"/>
                <w:szCs w:val="24"/>
                <w:highlight w:val="none"/>
              </w:rPr>
              <w:t>相关专业高级及以上职称</w:t>
            </w:r>
            <w:r>
              <w:rPr>
                <w:rFonts w:hint="eastAsia" w:cs="宋体"/>
                <w:b/>
                <w:bCs/>
                <w:color w:val="auto"/>
                <w:sz w:val="24"/>
                <w:szCs w:val="24"/>
                <w:highlight w:val="none"/>
                <w:lang w:val="en-US" w:eastAsia="zh-CN"/>
              </w:rPr>
              <w:t>证书</w:t>
            </w:r>
            <w:r>
              <w:rPr>
                <w:rFonts w:hint="eastAsia" w:cs="宋体"/>
                <w:color w:val="auto"/>
                <w:sz w:val="24"/>
                <w:szCs w:val="24"/>
                <w:highlight w:val="none"/>
                <w:lang w:val="en-US" w:eastAsia="zh-CN"/>
              </w:rPr>
              <w:t>或</w:t>
            </w:r>
            <w:r>
              <w:rPr>
                <w:rFonts w:hint="eastAsia" w:cs="宋体"/>
                <w:b/>
                <w:bCs/>
                <w:color w:val="auto"/>
                <w:sz w:val="24"/>
                <w:szCs w:val="24"/>
                <w:highlight w:val="none"/>
                <w:lang w:val="en-US" w:eastAsia="zh-CN"/>
              </w:rPr>
              <w:t>建筑工程专业一级注册建造师证书</w:t>
            </w:r>
            <w:r>
              <w:rPr>
                <w:rFonts w:hint="eastAsia" w:cs="宋体"/>
                <w:color w:val="auto"/>
                <w:sz w:val="24"/>
                <w:szCs w:val="24"/>
                <w:highlight w:val="none"/>
              </w:rPr>
              <w:t>的得</w:t>
            </w:r>
            <w:r>
              <w:rPr>
                <w:rFonts w:cs="宋体"/>
                <w:color w:val="auto"/>
                <w:sz w:val="24"/>
                <w:szCs w:val="24"/>
                <w:highlight w:val="none"/>
              </w:rPr>
              <w:t>2分；</w:t>
            </w:r>
          </w:p>
          <w:p w14:paraId="14B2F38E">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p>
          <w:p w14:paraId="0376D34F">
            <w:pPr>
              <w:spacing w:line="360" w:lineRule="auto"/>
              <w:rPr>
                <w:rFonts w:cs="宋体"/>
                <w:b/>
                <w:bCs/>
                <w:color w:val="auto"/>
                <w:sz w:val="24"/>
                <w:szCs w:val="24"/>
                <w:highlight w:val="none"/>
              </w:rPr>
            </w:pPr>
            <w:r>
              <w:rPr>
                <w:rFonts w:hint="eastAsia" w:cs="宋体"/>
                <w:b/>
                <w:bCs/>
                <w:color w:val="auto"/>
                <w:sz w:val="24"/>
                <w:szCs w:val="24"/>
                <w:highlight w:val="none"/>
                <w:lang w:val="en-US" w:eastAsia="zh-CN"/>
              </w:rPr>
              <w:t>2</w:t>
            </w:r>
            <w:r>
              <w:rPr>
                <w:rFonts w:cs="宋体"/>
                <w:b/>
                <w:bCs/>
                <w:color w:val="auto"/>
                <w:sz w:val="24"/>
                <w:szCs w:val="24"/>
                <w:highlight w:val="none"/>
              </w:rPr>
              <w:t>、拟派其他人员（项目经理除外</w:t>
            </w:r>
            <w:r>
              <w:rPr>
                <w:rFonts w:hint="eastAsia" w:cs="宋体"/>
                <w:b/>
                <w:bCs/>
                <w:color w:val="auto"/>
                <w:sz w:val="24"/>
                <w:szCs w:val="24"/>
                <w:highlight w:val="none"/>
              </w:rPr>
              <w:t>，提供</w:t>
            </w:r>
            <w:r>
              <w:rPr>
                <w:rFonts w:hint="eastAsia" w:cs="宋体"/>
                <w:b/>
                <w:bCs/>
                <w:color w:val="auto"/>
                <w:sz w:val="24"/>
                <w:szCs w:val="24"/>
                <w:highlight w:val="none"/>
                <w:lang w:val="en-US" w:eastAsia="zh-CN"/>
              </w:rPr>
              <w:t>3</w:t>
            </w:r>
            <w:r>
              <w:rPr>
                <w:rFonts w:hint="eastAsia" w:cs="宋体"/>
                <w:b/>
                <w:bCs/>
                <w:color w:val="auto"/>
                <w:sz w:val="24"/>
                <w:szCs w:val="24"/>
                <w:highlight w:val="none"/>
              </w:rPr>
              <w:t>人，满分</w:t>
            </w:r>
            <w:r>
              <w:rPr>
                <w:rFonts w:hint="eastAsia" w:cs="宋体"/>
                <w:b/>
                <w:bCs/>
                <w:color w:val="auto"/>
                <w:sz w:val="24"/>
                <w:szCs w:val="24"/>
                <w:highlight w:val="none"/>
                <w:lang w:val="en-US" w:eastAsia="zh-CN"/>
              </w:rPr>
              <w:t>6</w:t>
            </w:r>
            <w:r>
              <w:rPr>
                <w:rFonts w:hint="eastAsia" w:cs="宋体"/>
                <w:b/>
                <w:bCs/>
                <w:color w:val="auto"/>
                <w:sz w:val="24"/>
                <w:szCs w:val="24"/>
                <w:highlight w:val="none"/>
              </w:rPr>
              <w:t>分</w:t>
            </w:r>
            <w:r>
              <w:rPr>
                <w:rFonts w:cs="宋体"/>
                <w:b/>
                <w:bCs/>
                <w:color w:val="auto"/>
                <w:sz w:val="24"/>
                <w:szCs w:val="24"/>
                <w:highlight w:val="none"/>
              </w:rPr>
              <w:t>）：</w:t>
            </w:r>
          </w:p>
          <w:p w14:paraId="5CB50E32">
            <w:pPr>
              <w:spacing w:line="360" w:lineRule="auto"/>
              <w:rPr>
                <w:rFonts w:hint="eastAsia" w:cs="宋体"/>
                <w:color w:val="auto"/>
                <w:sz w:val="24"/>
                <w:szCs w:val="24"/>
                <w:highlight w:val="none"/>
                <w:lang w:eastAsia="zh-CN"/>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color w:val="auto"/>
                <w:sz w:val="24"/>
                <w:szCs w:val="24"/>
                <w:highlight w:val="none"/>
                <w:lang w:eastAsia="zh-CN"/>
              </w:rPr>
              <w:t>建筑工程相关专业</w:t>
            </w:r>
            <w:r>
              <w:rPr>
                <w:rFonts w:hint="eastAsia" w:cs="宋体"/>
                <w:b/>
                <w:bCs/>
                <w:color w:val="auto"/>
                <w:sz w:val="24"/>
                <w:szCs w:val="24"/>
                <w:highlight w:val="none"/>
              </w:rPr>
              <w:t>中级及以上职称证书</w:t>
            </w:r>
            <w:r>
              <w:rPr>
                <w:rFonts w:hint="eastAsia" w:cs="宋体"/>
                <w:color w:val="auto"/>
                <w:sz w:val="24"/>
                <w:szCs w:val="24"/>
                <w:highlight w:val="none"/>
              </w:rPr>
              <w:t>或者</w:t>
            </w:r>
            <w:r>
              <w:rPr>
                <w:rFonts w:hint="eastAsia" w:cs="宋体"/>
                <w:color w:val="auto"/>
                <w:sz w:val="24"/>
                <w:szCs w:val="24"/>
                <w:highlight w:val="none"/>
                <w:lang w:eastAsia="zh-CN"/>
              </w:rPr>
              <w:t>建筑工程</w:t>
            </w:r>
            <w:r>
              <w:rPr>
                <w:rFonts w:hint="eastAsia" w:cs="宋体"/>
                <w:b/>
                <w:bCs/>
                <w:color w:val="auto"/>
                <w:sz w:val="24"/>
                <w:szCs w:val="24"/>
                <w:highlight w:val="none"/>
              </w:rPr>
              <w:t>二级及以上注册建造师证书</w:t>
            </w:r>
            <w:r>
              <w:rPr>
                <w:rFonts w:hint="eastAsia" w:cs="宋体"/>
                <w:color w:val="auto"/>
                <w:sz w:val="24"/>
                <w:szCs w:val="24"/>
                <w:highlight w:val="none"/>
              </w:rPr>
              <w:t>的得</w:t>
            </w:r>
            <w:r>
              <w:rPr>
                <w:rFonts w:cs="宋体"/>
                <w:color w:val="auto"/>
                <w:sz w:val="24"/>
                <w:szCs w:val="24"/>
                <w:highlight w:val="none"/>
              </w:rPr>
              <w:t>2分</w:t>
            </w:r>
            <w:r>
              <w:rPr>
                <w:rFonts w:hint="eastAsia" w:cs="宋体"/>
                <w:color w:val="auto"/>
                <w:sz w:val="24"/>
                <w:szCs w:val="24"/>
                <w:highlight w:val="none"/>
                <w:lang w:eastAsia="zh-CN"/>
              </w:rPr>
              <w:t>；</w:t>
            </w:r>
          </w:p>
          <w:p w14:paraId="55A41245">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r>
              <w:rPr>
                <w:rFonts w:cs="宋体"/>
                <w:color w:val="auto"/>
                <w:sz w:val="24"/>
                <w:szCs w:val="24"/>
                <w:highlight w:val="none"/>
              </w:rPr>
              <w:t>。</w:t>
            </w:r>
          </w:p>
          <w:p w14:paraId="5C2AA863">
            <w:pPr>
              <w:spacing w:line="360" w:lineRule="auto"/>
              <w:rPr>
                <w:rFonts w:cs="宋体"/>
                <w:color w:val="auto"/>
                <w:sz w:val="24"/>
                <w:szCs w:val="24"/>
                <w:highlight w:val="none"/>
              </w:rPr>
            </w:pPr>
            <w:r>
              <w:rPr>
                <w:rFonts w:hint="eastAsia" w:cs="宋体"/>
                <w:color w:val="auto"/>
                <w:sz w:val="24"/>
                <w:szCs w:val="24"/>
                <w:highlight w:val="none"/>
              </w:rPr>
              <w:t>注：</w:t>
            </w:r>
            <w:r>
              <w:rPr>
                <w:rFonts w:hint="eastAsia" w:cs="宋体"/>
                <w:b w:val="0"/>
                <w:bCs w:val="0"/>
                <w:color w:val="auto"/>
                <w:sz w:val="24"/>
                <w:szCs w:val="24"/>
                <w:highlight w:val="none"/>
                <w:lang w:val="en-US" w:eastAsia="zh-CN"/>
              </w:rPr>
              <w:t>拟派的其他人员</w:t>
            </w:r>
            <w:r>
              <w:rPr>
                <w:rFonts w:hint="eastAsia" w:cs="宋体"/>
                <w:b w:val="0"/>
                <w:bCs w:val="0"/>
                <w:color w:val="auto"/>
                <w:sz w:val="24"/>
                <w:szCs w:val="24"/>
                <w:highlight w:val="none"/>
              </w:rPr>
              <w:t>不得</w:t>
            </w:r>
            <w:r>
              <w:rPr>
                <w:rFonts w:hint="eastAsia" w:cs="宋体"/>
                <w:b w:val="0"/>
                <w:bCs w:val="0"/>
                <w:color w:val="auto"/>
                <w:sz w:val="24"/>
                <w:szCs w:val="24"/>
                <w:highlight w:val="none"/>
                <w:lang w:val="en-US" w:eastAsia="zh-CN"/>
              </w:rPr>
              <w:t>由</w:t>
            </w:r>
            <w:r>
              <w:rPr>
                <w:rFonts w:cs="宋体"/>
                <w:b w:val="0"/>
                <w:bCs w:val="0"/>
                <w:color w:val="auto"/>
                <w:sz w:val="24"/>
                <w:szCs w:val="24"/>
                <w:highlight w:val="none"/>
              </w:rPr>
              <w:t>项目经理</w:t>
            </w:r>
            <w:r>
              <w:rPr>
                <w:rFonts w:hint="eastAsia" w:cs="宋体"/>
                <w:b w:val="0"/>
                <w:bCs w:val="0"/>
                <w:color w:val="auto"/>
                <w:sz w:val="24"/>
                <w:szCs w:val="24"/>
                <w:highlight w:val="none"/>
              </w:rPr>
              <w:t>兼任，且</w:t>
            </w:r>
            <w:r>
              <w:rPr>
                <w:rFonts w:hint="eastAsia" w:cs="宋体"/>
                <w:b/>
                <w:bCs/>
                <w:color w:val="auto"/>
                <w:sz w:val="24"/>
                <w:szCs w:val="24"/>
                <w:highlight w:val="none"/>
                <w:lang w:val="en-US" w:eastAsia="zh-CN"/>
              </w:rPr>
              <w:t>拟派其他人员中一人如具有两个及以上证书的，仅计分一次</w:t>
            </w:r>
            <w:r>
              <w:rPr>
                <w:rFonts w:hint="eastAsia" w:cs="宋体"/>
                <w:color w:val="auto"/>
                <w:sz w:val="24"/>
                <w:szCs w:val="24"/>
                <w:highlight w:val="none"/>
              </w:rPr>
              <w:t>，响应文件中同时提供以下证明材料：</w:t>
            </w:r>
          </w:p>
          <w:p w14:paraId="042C322B">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1）上述人员证书扫描件；</w:t>
            </w:r>
          </w:p>
          <w:p w14:paraId="0489E799">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2）</w:t>
            </w:r>
            <w:r>
              <w:rPr>
                <w:rFonts w:hint="eastAsia" w:cs="宋体"/>
                <w:b/>
                <w:bCs/>
                <w:color w:val="auto"/>
                <w:sz w:val="24"/>
                <w:szCs w:val="24"/>
                <w:highlight w:val="none"/>
                <w:lang w:eastAsia="zh-CN"/>
              </w:rPr>
              <w:t>供应商</w:t>
            </w:r>
            <w:r>
              <w:rPr>
                <w:rFonts w:cs="宋体"/>
                <w:b/>
                <w:bCs/>
                <w:color w:val="auto"/>
                <w:sz w:val="24"/>
                <w:szCs w:val="24"/>
                <w:highlight w:val="none"/>
              </w:rPr>
              <w:t>为上述人员缴纳的近3个月内（任意1个月）的社保证明材料扫描件，具体详见</w:t>
            </w:r>
            <w:r>
              <w:rPr>
                <w:rFonts w:hint="eastAsia" w:cs="宋体"/>
                <w:b/>
                <w:bCs/>
                <w:color w:val="auto"/>
                <w:sz w:val="24"/>
                <w:szCs w:val="24"/>
                <w:highlight w:val="none"/>
                <w:lang w:eastAsia="zh-CN"/>
              </w:rPr>
              <w:t>供应商</w:t>
            </w:r>
            <w:r>
              <w:rPr>
                <w:rFonts w:cs="宋体"/>
                <w:b/>
                <w:bCs/>
                <w:color w:val="auto"/>
                <w:sz w:val="24"/>
                <w:szCs w:val="24"/>
                <w:highlight w:val="none"/>
              </w:rPr>
              <w:t xml:space="preserve">须知。 </w:t>
            </w:r>
          </w:p>
        </w:tc>
        <w:tc>
          <w:tcPr>
            <w:tcW w:w="671" w:type="pct"/>
            <w:tcBorders>
              <w:top w:val="single" w:color="auto" w:sz="4" w:space="0"/>
              <w:left w:val="single" w:color="auto" w:sz="4" w:space="0"/>
              <w:bottom w:val="single" w:color="auto" w:sz="4" w:space="0"/>
              <w:right w:val="single" w:color="auto" w:sz="4" w:space="0"/>
            </w:tcBorders>
            <w:vAlign w:val="center"/>
          </w:tcPr>
          <w:p w14:paraId="54F6767C">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7A0F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left w:val="single" w:color="auto" w:sz="4" w:space="0"/>
              <w:right w:val="single" w:color="auto" w:sz="4" w:space="0"/>
            </w:tcBorders>
            <w:vAlign w:val="center"/>
          </w:tcPr>
          <w:p w14:paraId="10A14063">
            <w:pPr>
              <w:spacing w:line="360" w:lineRule="auto"/>
              <w:jc w:val="center"/>
              <w:rPr>
                <w:color w:val="auto"/>
                <w:sz w:val="24"/>
                <w:highlight w:val="none"/>
              </w:rPr>
            </w:pPr>
            <w:r>
              <w:rPr>
                <w:rFonts w:hint="eastAsia"/>
                <w:color w:val="auto"/>
                <w:sz w:val="24"/>
                <w:highlight w:val="none"/>
              </w:rPr>
              <w:t>价格分</w:t>
            </w:r>
          </w:p>
          <w:p w14:paraId="57D559E8">
            <w:pPr>
              <w:spacing w:line="360" w:lineRule="auto"/>
              <w:jc w:val="center"/>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1A0AE82A">
            <w:pPr>
              <w:spacing w:line="360" w:lineRule="auto"/>
              <w:jc w:val="center"/>
              <w:rPr>
                <w:color w:val="auto"/>
                <w:sz w:val="24"/>
                <w:highlight w:val="none"/>
              </w:rPr>
            </w:pPr>
            <w:r>
              <w:rPr>
                <w:rFonts w:hint="eastAsia"/>
                <w:color w:val="auto"/>
                <w:sz w:val="24"/>
                <w:highlight w:val="none"/>
              </w:rPr>
              <w:t>价格分</w:t>
            </w:r>
          </w:p>
          <w:p w14:paraId="57EF4508">
            <w:pPr>
              <w:spacing w:line="360" w:lineRule="auto"/>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2972" w:type="pct"/>
            <w:tcBorders>
              <w:top w:val="single" w:color="auto" w:sz="4" w:space="0"/>
              <w:left w:val="single" w:color="auto" w:sz="4" w:space="0"/>
              <w:bottom w:val="single" w:color="auto" w:sz="4" w:space="0"/>
              <w:right w:val="single" w:color="auto" w:sz="4" w:space="0"/>
            </w:tcBorders>
            <w:vAlign w:val="center"/>
          </w:tcPr>
          <w:p w14:paraId="5781F7D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价格分统一采用低价优先法，即满足磋商文件要求且最后报价最低的供应商的价格为磋商基准价，其价格分为满分10分。其他供应商的价格分统一按照下列公式计算： </w:t>
            </w:r>
          </w:p>
          <w:p w14:paraId="1C54A1AF">
            <w:pPr>
              <w:spacing w:line="360" w:lineRule="auto"/>
              <w:rPr>
                <w:color w:val="auto"/>
                <w:highlight w:val="none"/>
              </w:rPr>
            </w:pPr>
            <w:r>
              <w:rPr>
                <w:rFonts w:hint="eastAsia" w:ascii="宋体" w:hAnsi="宋体" w:eastAsia="宋体" w:cs="宋体"/>
                <w:b w:val="0"/>
                <w:bCs w:val="0"/>
                <w:color w:val="auto"/>
                <w:sz w:val="24"/>
                <w:szCs w:val="24"/>
                <w:highlight w:val="none"/>
                <w:lang w:val="en-US" w:eastAsia="zh-CN"/>
              </w:rPr>
              <w:t xml:space="preserve">磋商报价得分＝（磋商基准价/最后磋商报价）×10％×100 </w:t>
            </w:r>
          </w:p>
        </w:tc>
        <w:tc>
          <w:tcPr>
            <w:tcW w:w="671" w:type="pct"/>
            <w:tcBorders>
              <w:top w:val="single" w:color="auto" w:sz="4" w:space="0"/>
              <w:left w:val="single" w:color="auto" w:sz="4" w:space="0"/>
              <w:bottom w:val="single" w:color="auto" w:sz="4" w:space="0"/>
              <w:right w:val="single" w:color="auto" w:sz="4" w:space="0"/>
            </w:tcBorders>
            <w:vAlign w:val="center"/>
          </w:tcPr>
          <w:p w14:paraId="42EC5347">
            <w:pPr>
              <w:spacing w:line="360" w:lineRule="auto"/>
              <w:jc w:val="center"/>
              <w:rPr>
                <w:rFonts w:cs="宋体"/>
                <w:b/>
                <w:bCs/>
                <w:color w:val="auto"/>
                <w:sz w:val="24"/>
                <w:highlight w:val="none"/>
              </w:rPr>
            </w:pPr>
            <w:r>
              <w:rPr>
                <w:rFonts w:hint="eastAsia" w:cs="宋体"/>
                <w:color w:val="auto"/>
                <w:kern w:val="2"/>
                <w:sz w:val="24"/>
                <w:szCs w:val="24"/>
                <w:highlight w:val="none"/>
                <w:u w:val="single"/>
              </w:rPr>
              <w:t>0-1</w:t>
            </w:r>
            <w:r>
              <w:rPr>
                <w:rFonts w:hint="eastAsia" w:cs="宋体"/>
                <w:color w:val="auto"/>
                <w:kern w:val="2"/>
                <w:sz w:val="24"/>
                <w:szCs w:val="24"/>
                <w:highlight w:val="none"/>
                <w:u w:val="single"/>
                <w:lang w:val="en-US" w:eastAsia="zh-CN"/>
              </w:rPr>
              <w:t>0</w:t>
            </w:r>
            <w:r>
              <w:rPr>
                <w:rFonts w:hint="eastAsia" w:cs="宋体"/>
                <w:color w:val="auto"/>
                <w:kern w:val="2"/>
                <w:sz w:val="24"/>
                <w:szCs w:val="24"/>
                <w:highlight w:val="none"/>
              </w:rPr>
              <w:t>分</w:t>
            </w:r>
          </w:p>
        </w:tc>
      </w:tr>
    </w:tbl>
    <w:p w14:paraId="7D01FFCC">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3B745196">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磋商</w:t>
      </w:r>
      <w:r>
        <w:rPr>
          <w:rFonts w:hint="eastAsia"/>
          <w:color w:val="auto"/>
          <w:sz w:val="24"/>
          <w:highlight w:val="none"/>
        </w:rPr>
        <w:t>小组各成员应当独立对每个有效响应的文件进行评价、打分，然后汇总每个</w:t>
      </w:r>
      <w:r>
        <w:rPr>
          <w:rFonts w:hint="eastAsia"/>
          <w:color w:val="auto"/>
          <w:sz w:val="24"/>
          <w:szCs w:val="18"/>
          <w:highlight w:val="none"/>
          <w:lang w:eastAsia="zh-CN"/>
        </w:rPr>
        <w:t>供应商</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供应商</w:t>
      </w:r>
      <w:r>
        <w:rPr>
          <w:rFonts w:hint="eastAsia"/>
          <w:color w:val="auto"/>
          <w:sz w:val="24"/>
          <w:highlight w:val="none"/>
        </w:rPr>
        <w:t>的技术资信分。</w:t>
      </w:r>
    </w:p>
    <w:p w14:paraId="76DADD51">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供应商</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供应商</w:t>
      </w:r>
      <w:r>
        <w:rPr>
          <w:rFonts w:hint="eastAsia"/>
          <w:color w:val="auto"/>
          <w:sz w:val="24"/>
          <w:highlight w:val="none"/>
        </w:rPr>
        <w:t>的综合总得分。</w:t>
      </w:r>
    </w:p>
    <w:p w14:paraId="41930897">
      <w:pPr>
        <w:spacing w:line="360" w:lineRule="auto"/>
        <w:jc w:val="center"/>
        <w:outlineLvl w:val="0"/>
        <w:rPr>
          <w:rFonts w:hint="eastAsia"/>
          <w:b/>
          <w:color w:val="auto"/>
          <w:sz w:val="28"/>
          <w:highlight w:val="none"/>
        </w:rPr>
      </w:pPr>
      <w:r>
        <w:rPr>
          <w:color w:val="auto"/>
          <w:sz w:val="24"/>
          <w:highlight w:val="none"/>
        </w:rPr>
        <w:br w:type="page"/>
      </w:r>
      <w:bookmarkStart w:id="30" w:name="_Toc14989"/>
      <w:r>
        <w:rPr>
          <w:rFonts w:hint="eastAsia"/>
          <w:b/>
          <w:color w:val="auto"/>
          <w:sz w:val="28"/>
          <w:highlight w:val="none"/>
        </w:rPr>
        <w:t>第五章  合同条款及格式</w:t>
      </w:r>
      <w:bookmarkEnd w:id="30"/>
    </w:p>
    <w:p w14:paraId="6B790684">
      <w:pPr>
        <w:keepNext/>
        <w:keepLines/>
        <w:spacing w:before="240" w:beforeLines="100" w:after="240" w:afterLines="100"/>
        <w:jc w:val="center"/>
        <w:outlineLvl w:val="1"/>
        <w:rPr>
          <w:rFonts w:hint="eastAsia" w:ascii="Times New Roman" w:eastAsia="黑体"/>
          <w:bCs/>
          <w:color w:val="000000"/>
          <w:sz w:val="32"/>
          <w:szCs w:val="32"/>
        </w:rPr>
      </w:pPr>
      <w:bookmarkStart w:id="31" w:name="_Toc28799376"/>
      <w:bookmarkStart w:id="32" w:name="_Toc130919120"/>
      <w:r>
        <w:rPr>
          <w:rFonts w:hint="eastAsia" w:ascii="Times New Roman" w:eastAsia="黑体"/>
          <w:bCs/>
          <w:color w:val="000000"/>
          <w:sz w:val="32"/>
          <w:szCs w:val="32"/>
        </w:rPr>
        <w:t>第一节  合同协议书</w:t>
      </w:r>
      <w:bookmarkEnd w:id="31"/>
      <w:bookmarkEnd w:id="32"/>
    </w:p>
    <w:p w14:paraId="3F12259A">
      <w:pPr>
        <w:spacing w:line="360" w:lineRule="auto"/>
        <w:rPr>
          <w:rFonts w:ascii="Times New Roman"/>
          <w:b/>
          <w:color w:val="000000"/>
          <w:sz w:val="24"/>
          <w:szCs w:val="24"/>
          <w:u w:val="single"/>
        </w:rPr>
      </w:pPr>
      <w:r>
        <w:rPr>
          <w:rFonts w:ascii="Times New Roman"/>
          <w:b/>
          <w:color w:val="000000"/>
          <w:sz w:val="24"/>
          <w:szCs w:val="24"/>
        </w:rPr>
        <w:t>发包人（全称）：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77810057">
      <w:pPr>
        <w:spacing w:line="360" w:lineRule="auto"/>
        <w:rPr>
          <w:rFonts w:ascii="Times New Roman" w:eastAsia="仿宋_GB2312"/>
          <w:b/>
          <w:color w:val="000000"/>
          <w:sz w:val="24"/>
          <w:szCs w:val="24"/>
          <w:u w:val="single"/>
        </w:rPr>
      </w:pPr>
      <w:r>
        <w:rPr>
          <w:rFonts w:ascii="Times New Roman"/>
          <w:b/>
          <w:color w:val="000000"/>
          <w:sz w:val="24"/>
          <w:szCs w:val="24"/>
        </w:rPr>
        <w:t>承包人（全称）：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4A452F20">
      <w:pPr>
        <w:spacing w:line="360" w:lineRule="auto"/>
        <w:ind w:firstLine="480" w:firstLineChars="200"/>
        <w:rPr>
          <w:rFonts w:hint="eastAsia" w:ascii="Times New Roman"/>
          <w:color w:val="000000"/>
          <w:sz w:val="24"/>
          <w:szCs w:val="24"/>
        </w:rPr>
      </w:pPr>
    </w:p>
    <w:p w14:paraId="63CF4C15">
      <w:pPr>
        <w:spacing w:line="360" w:lineRule="auto"/>
        <w:ind w:firstLine="480" w:firstLineChars="200"/>
        <w:rPr>
          <w:rFonts w:hint="eastAsia" w:ascii="Times New Roman"/>
          <w:color w:val="000000"/>
          <w:sz w:val="24"/>
          <w:szCs w:val="24"/>
        </w:rPr>
      </w:pPr>
      <w:r>
        <w:rPr>
          <w:rFonts w:ascii="Times New Roman"/>
          <w:color w:val="000000"/>
          <w:sz w:val="24"/>
          <w:szCs w:val="24"/>
        </w:rPr>
        <w:t>根据《中华人民共和国</w:t>
      </w:r>
      <w:r>
        <w:rPr>
          <w:rFonts w:hint="eastAsia" w:ascii="Times New Roman"/>
          <w:color w:val="000000"/>
          <w:sz w:val="24"/>
          <w:szCs w:val="24"/>
        </w:rPr>
        <w:t>民法典</w:t>
      </w:r>
      <w:r>
        <w:rPr>
          <w:rFonts w:ascii="Times New Roman"/>
          <w:color w:val="000000"/>
          <w:sz w:val="24"/>
          <w:szCs w:val="24"/>
        </w:rPr>
        <w:t>》《中华人民共和国建筑法》及有关法律规定，遵循平等、自愿、公平和诚实信用的原则，双方就</w:t>
      </w:r>
      <w:r>
        <w:rPr>
          <w:rFonts w:ascii="Times New Roman"/>
          <w:color w:val="000000"/>
          <w:sz w:val="24"/>
          <w:szCs w:val="24"/>
          <w:u w:val="single"/>
        </w:rPr>
        <w:t xml:space="preserve">                       </w:t>
      </w:r>
      <w:r>
        <w:rPr>
          <w:rFonts w:ascii="Times New Roman"/>
          <w:color w:val="000000"/>
          <w:sz w:val="24"/>
          <w:szCs w:val="24"/>
        </w:rPr>
        <w:t>工程施工及有关事项协商一致</w:t>
      </w:r>
      <w:r>
        <w:rPr>
          <w:rFonts w:hint="eastAsia" w:ascii="Times New Roman"/>
          <w:color w:val="000000"/>
          <w:sz w:val="24"/>
          <w:szCs w:val="24"/>
        </w:rPr>
        <w:t>，</w:t>
      </w:r>
      <w:r>
        <w:rPr>
          <w:rFonts w:ascii="Times New Roman"/>
          <w:color w:val="000000"/>
          <w:sz w:val="24"/>
          <w:szCs w:val="24"/>
        </w:rPr>
        <w:t>共同达成如下协议：</w:t>
      </w:r>
      <w:bookmarkStart w:id="33" w:name="_Toc351203481"/>
    </w:p>
    <w:p w14:paraId="4FD875A4">
      <w:pPr>
        <w:spacing w:line="360" w:lineRule="auto"/>
        <w:ind w:firstLine="482" w:firstLineChars="200"/>
        <w:rPr>
          <w:rFonts w:ascii="Times New Roman"/>
          <w:color w:val="000000"/>
          <w:sz w:val="24"/>
          <w:szCs w:val="24"/>
        </w:rPr>
      </w:pPr>
      <w:r>
        <w:rPr>
          <w:rFonts w:ascii="Times New Roman"/>
          <w:b/>
          <w:color w:val="000000"/>
          <w:sz w:val="24"/>
          <w:szCs w:val="24"/>
        </w:rPr>
        <w:t>一、工程概况</w:t>
      </w:r>
      <w:bookmarkEnd w:id="33"/>
    </w:p>
    <w:p w14:paraId="0B4B36EE">
      <w:pPr>
        <w:spacing w:line="360" w:lineRule="auto"/>
        <w:ind w:firstLine="470" w:firstLineChars="196"/>
        <w:rPr>
          <w:rFonts w:ascii="Times New Roman"/>
          <w:color w:val="000000"/>
          <w:sz w:val="24"/>
          <w:szCs w:val="24"/>
          <w:u w:val="single"/>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工程名称</w:t>
      </w:r>
      <w:r>
        <w:rPr>
          <w:rFonts w:ascii="Times New Roman"/>
          <w:color w:val="000000"/>
          <w:sz w:val="24"/>
          <w:szCs w:val="24"/>
        </w:rPr>
        <w:t>：</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5909E77">
      <w:pPr>
        <w:spacing w:line="360" w:lineRule="auto"/>
        <w:ind w:firstLine="470" w:firstLineChars="196"/>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工程地点：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400F94D">
      <w:pPr>
        <w:spacing w:line="360" w:lineRule="auto"/>
        <w:ind w:firstLine="470" w:firstLineChars="196"/>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工程立项批准文号：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4481BA21">
      <w:pPr>
        <w:spacing w:line="360" w:lineRule="auto"/>
        <w:ind w:firstLine="470" w:firstLineChars="196"/>
        <w:rPr>
          <w:rFonts w:hint="eastAsia" w:ascii="Times New Roman"/>
          <w:bCs/>
          <w:color w:val="000000"/>
          <w:sz w:val="24"/>
          <w:szCs w:val="24"/>
        </w:rPr>
      </w:pPr>
      <w:r>
        <w:rPr>
          <w:rFonts w:ascii="Times New Roman"/>
          <w:bCs/>
          <w:color w:val="000000"/>
          <w:sz w:val="24"/>
          <w:szCs w:val="24"/>
        </w:rPr>
        <w:t>4.</w:t>
      </w:r>
      <w:r>
        <w:rPr>
          <w:rFonts w:hint="eastAsia" w:ascii="Times New Roman"/>
          <w:bCs/>
          <w:color w:val="000000"/>
          <w:sz w:val="24"/>
          <w:szCs w:val="24"/>
        </w:rPr>
        <w:t xml:space="preserve"> </w:t>
      </w:r>
      <w:r>
        <w:rPr>
          <w:rFonts w:ascii="Times New Roman"/>
          <w:bCs/>
          <w:color w:val="000000"/>
          <w:sz w:val="24"/>
          <w:szCs w:val="24"/>
        </w:rPr>
        <w:t>资金来源：</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1A266559">
      <w:pPr>
        <w:spacing w:line="360" w:lineRule="auto"/>
        <w:ind w:firstLine="470" w:firstLineChars="196"/>
        <w:rPr>
          <w:rFonts w:hint="eastAsia" w:ascii="Times New Roman"/>
          <w:bCs/>
          <w:color w:val="000000"/>
          <w:sz w:val="24"/>
          <w:szCs w:val="24"/>
        </w:rPr>
      </w:pPr>
      <w:r>
        <w:rPr>
          <w:rFonts w:hint="eastAsia" w:ascii="Times New Roman"/>
          <w:bCs/>
          <w:color w:val="000000"/>
          <w:sz w:val="24"/>
          <w:szCs w:val="24"/>
        </w:rPr>
        <w:t>5. 工程内容：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789C2894">
      <w:pPr>
        <w:spacing w:line="360" w:lineRule="auto"/>
        <w:ind w:firstLine="470" w:firstLineChars="196"/>
        <w:rPr>
          <w:rFonts w:ascii="Times New Roman"/>
          <w:bCs/>
          <w:color w:val="000000"/>
          <w:sz w:val="24"/>
          <w:szCs w:val="24"/>
        </w:rPr>
      </w:pPr>
      <w:r>
        <w:rPr>
          <w:rFonts w:hint="eastAsia" w:ascii="Times New Roman"/>
          <w:color w:val="000000"/>
          <w:sz w:val="24"/>
          <w:szCs w:val="24"/>
        </w:rPr>
        <w:t>群体工程应附《</w:t>
      </w:r>
      <w:r>
        <w:rPr>
          <w:rFonts w:ascii="Times New Roman"/>
          <w:color w:val="000000"/>
          <w:sz w:val="24"/>
          <w:szCs w:val="24"/>
        </w:rPr>
        <w:t>承包人承揽工程项目一览表</w:t>
      </w:r>
      <w:r>
        <w:rPr>
          <w:rFonts w:hint="eastAsia" w:ascii="Times New Roman"/>
          <w:color w:val="000000"/>
          <w:sz w:val="24"/>
          <w:szCs w:val="24"/>
        </w:rPr>
        <w:t>》（附件1）。</w:t>
      </w:r>
    </w:p>
    <w:p w14:paraId="4B7262BE">
      <w:pPr>
        <w:spacing w:line="360" w:lineRule="auto"/>
        <w:ind w:firstLine="470" w:firstLineChars="196"/>
        <w:rPr>
          <w:rFonts w:ascii="Times New Roman"/>
          <w:bCs/>
          <w:color w:val="000000"/>
          <w:sz w:val="24"/>
          <w:szCs w:val="24"/>
        </w:rPr>
      </w:pPr>
      <w:r>
        <w:rPr>
          <w:rFonts w:hint="eastAsia" w:ascii="Times New Roman"/>
          <w:bCs/>
          <w:color w:val="000000"/>
          <w:sz w:val="24"/>
          <w:szCs w:val="24"/>
        </w:rPr>
        <w:t>6</w:t>
      </w:r>
      <w:r>
        <w:rPr>
          <w:rFonts w:ascii="Times New Roman"/>
          <w:bCs/>
          <w:color w:val="000000"/>
          <w:sz w:val="24"/>
          <w:szCs w:val="24"/>
        </w:rPr>
        <w:t>.</w:t>
      </w:r>
      <w:r>
        <w:rPr>
          <w:rFonts w:hint="eastAsia" w:ascii="Times New Roman"/>
          <w:bCs/>
          <w:color w:val="000000"/>
          <w:sz w:val="24"/>
          <w:szCs w:val="24"/>
        </w:rPr>
        <w:t xml:space="preserve"> </w:t>
      </w:r>
      <w:r>
        <w:rPr>
          <w:rFonts w:ascii="Times New Roman"/>
          <w:bCs/>
          <w:color w:val="000000"/>
          <w:sz w:val="24"/>
          <w:szCs w:val="24"/>
        </w:rPr>
        <w:t>工程承包范围：</w:t>
      </w:r>
    </w:p>
    <w:p w14:paraId="6B0E6F7E">
      <w:pPr>
        <w:spacing w:line="360" w:lineRule="auto"/>
        <w:ind w:firstLine="463" w:firstLineChars="193"/>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p>
    <w:p w14:paraId="634BE863">
      <w:pPr>
        <w:spacing w:line="360" w:lineRule="auto"/>
        <w:ind w:firstLine="480" w:firstLineChars="200"/>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ascii="Times New Roman"/>
          <w:color w:val="000000"/>
          <w:sz w:val="24"/>
          <w:szCs w:val="24"/>
        </w:rPr>
        <w:t>。</w:t>
      </w:r>
    </w:p>
    <w:p w14:paraId="2F9D0129">
      <w:pPr>
        <w:spacing w:line="360" w:lineRule="auto"/>
        <w:ind w:firstLine="482" w:firstLineChars="200"/>
        <w:rPr>
          <w:rFonts w:ascii="Times New Roman"/>
          <w:b/>
          <w:color w:val="000000"/>
          <w:sz w:val="24"/>
          <w:szCs w:val="24"/>
        </w:rPr>
      </w:pPr>
      <w:bookmarkStart w:id="34" w:name="_Toc351203482"/>
      <w:r>
        <w:rPr>
          <w:rFonts w:ascii="Times New Roman"/>
          <w:b/>
          <w:color w:val="000000"/>
          <w:sz w:val="24"/>
          <w:szCs w:val="24"/>
        </w:rPr>
        <w:t>二、合同工期</w:t>
      </w:r>
      <w:bookmarkEnd w:id="34"/>
    </w:p>
    <w:p w14:paraId="63BF9ABB">
      <w:pPr>
        <w:spacing w:line="360" w:lineRule="auto"/>
        <w:ind w:firstLine="459"/>
        <w:rPr>
          <w:rFonts w:ascii="Times New Roman"/>
          <w:color w:val="000000"/>
          <w:sz w:val="24"/>
          <w:szCs w:val="24"/>
        </w:rPr>
      </w:pPr>
      <w:r>
        <w:rPr>
          <w:rFonts w:ascii="Times New Roman"/>
          <w:color w:val="000000"/>
          <w:sz w:val="24"/>
          <w:szCs w:val="24"/>
        </w:rPr>
        <w:t>计划开工日期：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773658A9">
      <w:pPr>
        <w:spacing w:line="360" w:lineRule="auto"/>
        <w:ind w:firstLine="459"/>
        <w:rPr>
          <w:rFonts w:ascii="Times New Roman"/>
          <w:color w:val="000000"/>
          <w:sz w:val="24"/>
          <w:szCs w:val="24"/>
        </w:rPr>
      </w:pPr>
      <w:r>
        <w:rPr>
          <w:rFonts w:ascii="Times New Roman"/>
          <w:color w:val="000000"/>
          <w:sz w:val="24"/>
          <w:szCs w:val="24"/>
        </w:rPr>
        <w:t>计划竣工日期：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4485B038">
      <w:pPr>
        <w:spacing w:line="360" w:lineRule="auto"/>
        <w:ind w:firstLine="459"/>
        <w:rPr>
          <w:rFonts w:ascii="Times New Roman"/>
          <w:color w:val="000000"/>
          <w:sz w:val="24"/>
          <w:szCs w:val="24"/>
        </w:rPr>
      </w:pPr>
      <w:r>
        <w:rPr>
          <w:rFonts w:ascii="Times New Roman"/>
          <w:color w:val="000000"/>
          <w:sz w:val="24"/>
          <w:szCs w:val="24"/>
        </w:rPr>
        <w:t>工期总日历天数：</w:t>
      </w:r>
      <w:r>
        <w:rPr>
          <w:rFonts w:ascii="Times New Roman"/>
          <w:color w:val="000000"/>
          <w:sz w:val="24"/>
          <w:szCs w:val="24"/>
          <w:u w:val="single"/>
        </w:rPr>
        <w:t></w:t>
      </w:r>
      <w:r>
        <w:rPr>
          <w:rFonts w:ascii="Times New Roman"/>
          <w:color w:val="000000"/>
          <w:sz w:val="24"/>
          <w:szCs w:val="24"/>
        </w:rPr>
        <w:t>天。工期总日历天数与根据前述计划开竣工日期计算的工期天数不一致的，以工期总日历天数为准。</w:t>
      </w:r>
    </w:p>
    <w:p w14:paraId="4AF0A719">
      <w:pPr>
        <w:spacing w:line="360" w:lineRule="auto"/>
        <w:ind w:firstLine="482" w:firstLineChars="200"/>
        <w:rPr>
          <w:rFonts w:ascii="Times New Roman"/>
          <w:b/>
          <w:color w:val="000000"/>
          <w:sz w:val="24"/>
          <w:szCs w:val="24"/>
        </w:rPr>
      </w:pPr>
      <w:bookmarkStart w:id="35" w:name="_Toc351203483"/>
      <w:r>
        <w:rPr>
          <w:rFonts w:ascii="Times New Roman"/>
          <w:b/>
          <w:color w:val="000000"/>
          <w:sz w:val="24"/>
          <w:szCs w:val="24"/>
        </w:rPr>
        <w:t>三、质量标准</w:t>
      </w:r>
      <w:bookmarkEnd w:id="35"/>
    </w:p>
    <w:p w14:paraId="5F35369C">
      <w:pPr>
        <w:spacing w:line="360" w:lineRule="auto"/>
        <w:ind w:firstLine="459"/>
        <w:rPr>
          <w:rFonts w:ascii="Times New Roman"/>
          <w:color w:val="000000"/>
          <w:sz w:val="24"/>
          <w:szCs w:val="24"/>
        </w:rPr>
      </w:pPr>
      <w:r>
        <w:rPr>
          <w:rFonts w:ascii="Times New Roman"/>
          <w:color w:val="000000"/>
          <w:sz w:val="24"/>
          <w:szCs w:val="24"/>
        </w:rPr>
        <w:t>工程质量符合</w:t>
      </w:r>
      <w:r>
        <w:rPr>
          <w:rFonts w:ascii="Times New Roman"/>
          <w:color w:val="000000"/>
          <w:sz w:val="24"/>
          <w:szCs w:val="24"/>
          <w:u w:val="single"/>
        </w:rPr>
        <w:t></w:t>
      </w:r>
      <w:r>
        <w:rPr>
          <w:rFonts w:ascii="Times New Roman"/>
          <w:color w:val="000000"/>
          <w:sz w:val="24"/>
          <w:szCs w:val="24"/>
        </w:rPr>
        <w:t>标准。</w:t>
      </w:r>
    </w:p>
    <w:p w14:paraId="69FA025C">
      <w:pPr>
        <w:spacing w:line="360" w:lineRule="auto"/>
        <w:ind w:firstLine="482" w:firstLineChars="200"/>
        <w:rPr>
          <w:rFonts w:ascii="Times New Roman"/>
          <w:b/>
          <w:color w:val="000000"/>
          <w:sz w:val="24"/>
          <w:szCs w:val="24"/>
        </w:rPr>
      </w:pPr>
      <w:bookmarkStart w:id="36" w:name="_Toc351203484"/>
      <w:r>
        <w:rPr>
          <w:rFonts w:ascii="Times New Roman"/>
          <w:b/>
          <w:color w:val="000000"/>
          <w:sz w:val="24"/>
          <w:szCs w:val="24"/>
        </w:rPr>
        <w:t>四、签约合同价与合同价格形式</w:t>
      </w:r>
      <w:bookmarkEnd w:id="36"/>
    </w:p>
    <w:p w14:paraId="509F34C2">
      <w:pPr>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 xml:space="preserve"> </w:t>
      </w:r>
      <w:r>
        <w:rPr>
          <w:rFonts w:ascii="Times New Roman"/>
          <w:color w:val="000000"/>
          <w:sz w:val="24"/>
          <w:szCs w:val="24"/>
        </w:rPr>
        <w:t>签约合同价为：</w:t>
      </w:r>
    </w:p>
    <w:p w14:paraId="5E0ED305">
      <w:pPr>
        <w:spacing w:line="360" w:lineRule="auto"/>
        <w:ind w:firstLine="600" w:firstLineChars="2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06A7A785">
      <w:pPr>
        <w:spacing w:line="360" w:lineRule="auto"/>
        <w:ind w:firstLine="480" w:firstLineChars="200"/>
        <w:rPr>
          <w:rFonts w:ascii="Times New Roman"/>
          <w:color w:val="000000"/>
          <w:sz w:val="24"/>
          <w:szCs w:val="24"/>
        </w:rPr>
      </w:pPr>
      <w:r>
        <w:rPr>
          <w:rFonts w:ascii="Times New Roman"/>
          <w:color w:val="000000"/>
          <w:sz w:val="24"/>
          <w:szCs w:val="24"/>
        </w:rPr>
        <w:t>其中：</w:t>
      </w:r>
    </w:p>
    <w:p w14:paraId="3BD2DD2B">
      <w:pPr>
        <w:spacing w:line="360" w:lineRule="auto"/>
        <w:ind w:firstLine="480" w:firstLineChars="200"/>
        <w:rPr>
          <w:rFonts w:ascii="Times New Roman"/>
          <w:color w:val="000000"/>
          <w:sz w:val="24"/>
          <w:szCs w:val="24"/>
        </w:rPr>
      </w:pPr>
      <w:r>
        <w:rPr>
          <w:rFonts w:ascii="Times New Roman"/>
          <w:color w:val="000000"/>
          <w:sz w:val="24"/>
          <w:szCs w:val="24"/>
        </w:rPr>
        <w:t>（1）安全文明施工费：</w:t>
      </w:r>
    </w:p>
    <w:p w14:paraId="5365FA4B">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18AA0B80">
      <w:pPr>
        <w:spacing w:line="360" w:lineRule="auto"/>
        <w:ind w:firstLine="480" w:firstLineChars="200"/>
        <w:rPr>
          <w:rFonts w:ascii="Times New Roman"/>
          <w:color w:val="000000"/>
          <w:sz w:val="24"/>
          <w:szCs w:val="24"/>
        </w:rPr>
      </w:pPr>
      <w:r>
        <w:rPr>
          <w:rFonts w:ascii="Times New Roman"/>
          <w:color w:val="000000"/>
          <w:sz w:val="24"/>
          <w:szCs w:val="24"/>
        </w:rPr>
        <w:t>（2）材料和工程设备暂估价金额：</w:t>
      </w:r>
    </w:p>
    <w:p w14:paraId="67F17DC9">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04FFFFB4">
      <w:pPr>
        <w:spacing w:line="360" w:lineRule="auto"/>
        <w:ind w:firstLine="480" w:firstLineChars="200"/>
        <w:rPr>
          <w:rFonts w:ascii="Times New Roman"/>
          <w:color w:val="000000"/>
          <w:sz w:val="24"/>
          <w:szCs w:val="24"/>
        </w:rPr>
      </w:pPr>
      <w:r>
        <w:rPr>
          <w:rFonts w:ascii="Times New Roman"/>
          <w:color w:val="000000"/>
          <w:sz w:val="24"/>
          <w:szCs w:val="24"/>
        </w:rPr>
        <w:t>（3）专业工程暂估价金额：</w:t>
      </w:r>
    </w:p>
    <w:p w14:paraId="311C825C">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514788CE">
      <w:pPr>
        <w:spacing w:line="360" w:lineRule="auto"/>
        <w:ind w:firstLine="480" w:firstLineChars="200"/>
        <w:rPr>
          <w:rFonts w:ascii="Times New Roman"/>
          <w:color w:val="000000"/>
          <w:sz w:val="24"/>
          <w:szCs w:val="24"/>
        </w:rPr>
      </w:pPr>
      <w:r>
        <w:rPr>
          <w:rFonts w:ascii="Times New Roman"/>
          <w:color w:val="000000"/>
          <w:sz w:val="24"/>
          <w:szCs w:val="24"/>
        </w:rPr>
        <w:t>（4）暂列金额：</w:t>
      </w:r>
    </w:p>
    <w:p w14:paraId="63EFF59D">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6F5614D9">
      <w:pPr>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rPr>
        <w:t xml:space="preserve"> </w:t>
      </w:r>
      <w:r>
        <w:rPr>
          <w:rFonts w:ascii="Times New Roman"/>
          <w:color w:val="000000"/>
          <w:sz w:val="24"/>
          <w:szCs w:val="24"/>
        </w:rPr>
        <w:t>合同价格形式：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AA6D833">
      <w:pPr>
        <w:spacing w:line="360" w:lineRule="auto"/>
        <w:ind w:firstLine="482" w:firstLineChars="200"/>
        <w:rPr>
          <w:rFonts w:ascii="Times New Roman"/>
          <w:b/>
          <w:color w:val="000000"/>
          <w:sz w:val="24"/>
          <w:szCs w:val="24"/>
        </w:rPr>
      </w:pPr>
      <w:bookmarkStart w:id="37" w:name="_Toc351203485"/>
      <w:r>
        <w:rPr>
          <w:rFonts w:ascii="Times New Roman"/>
          <w:b/>
          <w:color w:val="000000"/>
          <w:sz w:val="24"/>
          <w:szCs w:val="24"/>
        </w:rPr>
        <w:t>五、</w:t>
      </w:r>
      <w:bookmarkEnd w:id="37"/>
      <w:r>
        <w:rPr>
          <w:rFonts w:ascii="Times New Roman"/>
          <w:b/>
          <w:color w:val="000000"/>
          <w:sz w:val="24"/>
          <w:szCs w:val="24"/>
        </w:rPr>
        <w:t>项目经理</w:t>
      </w:r>
    </w:p>
    <w:p w14:paraId="55883A27">
      <w:pPr>
        <w:spacing w:line="360" w:lineRule="auto"/>
        <w:ind w:firstLine="480" w:firstLineChars="200"/>
        <w:rPr>
          <w:rFonts w:ascii="Times New Roman"/>
          <w:color w:val="000000"/>
          <w:sz w:val="24"/>
          <w:szCs w:val="24"/>
        </w:rPr>
      </w:pPr>
      <w:r>
        <w:rPr>
          <w:rFonts w:ascii="Times New Roman"/>
          <w:color w:val="000000"/>
          <w:sz w:val="24"/>
          <w:szCs w:val="24"/>
        </w:rPr>
        <w:t>承包人项目经理：</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w:t>
      </w:r>
      <w:r>
        <w:rPr>
          <w:rFonts w:ascii="Times New Roman"/>
          <w:color w:val="000000"/>
          <w:sz w:val="24"/>
          <w:szCs w:val="24"/>
        </w:rPr>
        <w:t>。</w:t>
      </w:r>
    </w:p>
    <w:p w14:paraId="222CABF0">
      <w:pPr>
        <w:spacing w:line="360" w:lineRule="auto"/>
        <w:ind w:firstLine="482" w:firstLineChars="200"/>
        <w:rPr>
          <w:rFonts w:ascii="Times New Roman"/>
          <w:b/>
          <w:color w:val="000000"/>
          <w:sz w:val="24"/>
          <w:szCs w:val="24"/>
        </w:rPr>
      </w:pPr>
      <w:bookmarkStart w:id="38" w:name="_Toc351203486"/>
      <w:r>
        <w:rPr>
          <w:rFonts w:ascii="Times New Roman"/>
          <w:b/>
          <w:color w:val="000000"/>
          <w:sz w:val="24"/>
          <w:szCs w:val="24"/>
        </w:rPr>
        <w:t>六、合同文件构成</w:t>
      </w:r>
      <w:bookmarkEnd w:id="38"/>
    </w:p>
    <w:p w14:paraId="1EE8009E">
      <w:pPr>
        <w:spacing w:line="360" w:lineRule="auto"/>
        <w:ind w:firstLine="480" w:firstLineChars="200"/>
        <w:rPr>
          <w:rFonts w:ascii="Times New Roman"/>
          <w:bCs/>
          <w:color w:val="000000"/>
          <w:sz w:val="24"/>
          <w:szCs w:val="24"/>
        </w:rPr>
      </w:pPr>
      <w:r>
        <w:rPr>
          <w:rFonts w:ascii="Times New Roman"/>
          <w:bCs/>
          <w:color w:val="000000"/>
          <w:sz w:val="24"/>
          <w:szCs w:val="24"/>
        </w:rPr>
        <w:t>本协议书与下列文件一起构成合同文件：</w:t>
      </w:r>
    </w:p>
    <w:p w14:paraId="095571AD">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（1）中标通知书（如果有）；</w:t>
      </w:r>
    </w:p>
    <w:p w14:paraId="7CFDC6C6">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 xml:space="preserve">（2）投标函及其附录（如果有）； </w:t>
      </w:r>
    </w:p>
    <w:p w14:paraId="714F1441">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（3）专用合同条款及其附件；</w:t>
      </w:r>
    </w:p>
    <w:p w14:paraId="680D1C32">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（4）通用合同条款；</w:t>
      </w:r>
    </w:p>
    <w:p w14:paraId="30280ECF">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（5）技术标准和要求；</w:t>
      </w:r>
    </w:p>
    <w:p w14:paraId="52515E2B">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（6）图纸；</w:t>
      </w:r>
    </w:p>
    <w:p w14:paraId="2FFC388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（7）已标价工程量清单或预算书；</w:t>
      </w:r>
    </w:p>
    <w:p w14:paraId="71726DE3">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（8）其他合同文件。</w:t>
      </w:r>
    </w:p>
    <w:p w14:paraId="213C3CCA">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在合同订立及履行过程中形成的与合同有关的文件均构成合同文件组成部分。</w:t>
      </w:r>
    </w:p>
    <w:p w14:paraId="72B1C738">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上述各项合同文件包括合同当事人就该项合同文件所作出的补充和修改，属于同一类内容的文件，应以最新签署的为准。</w:t>
      </w:r>
      <w:r>
        <w:rPr>
          <w:rFonts w:hint="eastAsia" w:ascii="Times New Roman"/>
          <w:color w:val="000000"/>
          <w:sz w:val="24"/>
          <w:szCs w:val="24"/>
        </w:rPr>
        <w:t>专用合同条款及其附件须经合同当事人签字或盖章。</w:t>
      </w:r>
    </w:p>
    <w:p w14:paraId="678615DB">
      <w:pPr>
        <w:spacing w:line="360" w:lineRule="auto"/>
        <w:ind w:firstLine="482" w:firstLineChars="200"/>
        <w:rPr>
          <w:rFonts w:ascii="Times New Roman"/>
          <w:b/>
          <w:color w:val="000000"/>
          <w:sz w:val="24"/>
          <w:szCs w:val="24"/>
        </w:rPr>
      </w:pPr>
      <w:bookmarkStart w:id="39" w:name="_Toc351203487"/>
      <w:r>
        <w:rPr>
          <w:rFonts w:ascii="Times New Roman"/>
          <w:b/>
          <w:color w:val="000000"/>
          <w:sz w:val="24"/>
          <w:szCs w:val="24"/>
        </w:rPr>
        <w:t>七、承诺</w:t>
      </w:r>
      <w:bookmarkEnd w:id="39"/>
    </w:p>
    <w:p w14:paraId="0AA99DFC">
      <w:pPr>
        <w:spacing w:line="360" w:lineRule="auto"/>
        <w:ind w:firstLine="480" w:firstLineChars="200"/>
        <w:rPr>
          <w:rFonts w:ascii="Times New Roman"/>
          <w:bCs/>
          <w:color w:val="000000"/>
          <w:sz w:val="24"/>
          <w:szCs w:val="24"/>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发包人承诺按照法律规定履行项目审批手续、筹集工程建设资金并按照合同约定的期限和方式支付合同价款。</w:t>
      </w:r>
    </w:p>
    <w:p w14:paraId="64EE7049">
      <w:pPr>
        <w:spacing w:line="360" w:lineRule="auto"/>
        <w:ind w:firstLine="480" w:firstLineChars="200"/>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承包人承诺按照法律规定及合同约定组织完成工程施工，确保工程质量和安全，不进行转包及违法分包，并在缺陷责任期及保修期内承担相应的工程维修责任。</w:t>
      </w:r>
    </w:p>
    <w:p w14:paraId="33E14A48">
      <w:pPr>
        <w:spacing w:line="360" w:lineRule="auto"/>
        <w:ind w:firstLine="480" w:firstLineChars="200"/>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发包人和承包人通过招投标形式签订合同的，双方理解并</w:t>
      </w:r>
      <w:r>
        <w:rPr>
          <w:rFonts w:hint="eastAsia" w:ascii="Times New Roman"/>
          <w:bCs/>
          <w:color w:val="000000"/>
          <w:sz w:val="24"/>
          <w:szCs w:val="24"/>
        </w:rPr>
        <w:t>承诺</w:t>
      </w:r>
      <w:r>
        <w:rPr>
          <w:rFonts w:ascii="Times New Roman"/>
          <w:bCs/>
          <w:color w:val="000000"/>
          <w:sz w:val="24"/>
          <w:szCs w:val="24"/>
        </w:rPr>
        <w:t>不再就同一工程另行签订与合同实质性内容相背离的协议。</w:t>
      </w:r>
    </w:p>
    <w:p w14:paraId="20DDA18F">
      <w:pPr>
        <w:spacing w:line="360" w:lineRule="auto"/>
        <w:ind w:firstLine="482" w:firstLineChars="200"/>
        <w:rPr>
          <w:rFonts w:ascii="Times New Roman"/>
          <w:b/>
          <w:color w:val="000000"/>
          <w:sz w:val="24"/>
          <w:szCs w:val="24"/>
        </w:rPr>
      </w:pPr>
      <w:bookmarkStart w:id="40" w:name="_Toc351203488"/>
      <w:r>
        <w:rPr>
          <w:rFonts w:ascii="Times New Roman"/>
          <w:b/>
          <w:color w:val="000000"/>
          <w:sz w:val="24"/>
          <w:szCs w:val="24"/>
        </w:rPr>
        <w:t>八、词语含义</w:t>
      </w:r>
      <w:bookmarkEnd w:id="40"/>
    </w:p>
    <w:p w14:paraId="1D99A6C6">
      <w:pPr>
        <w:spacing w:line="360" w:lineRule="auto"/>
        <w:ind w:firstLine="480" w:firstLineChars="200"/>
        <w:rPr>
          <w:rFonts w:ascii="Times New Roman"/>
          <w:bCs/>
          <w:color w:val="000000"/>
          <w:sz w:val="24"/>
          <w:szCs w:val="24"/>
        </w:rPr>
      </w:pPr>
      <w:r>
        <w:rPr>
          <w:rFonts w:ascii="Times New Roman"/>
          <w:bCs/>
          <w:color w:val="000000"/>
          <w:sz w:val="24"/>
          <w:szCs w:val="24"/>
        </w:rPr>
        <w:t>本协议书中词语含义与第二部分通用合同条款中赋予的含义相同。</w:t>
      </w:r>
    </w:p>
    <w:p w14:paraId="45193501">
      <w:pPr>
        <w:spacing w:line="360" w:lineRule="auto"/>
        <w:ind w:firstLine="482" w:firstLineChars="200"/>
        <w:rPr>
          <w:rFonts w:ascii="Times New Roman"/>
          <w:b/>
          <w:color w:val="000000"/>
          <w:sz w:val="24"/>
          <w:szCs w:val="24"/>
        </w:rPr>
      </w:pPr>
      <w:bookmarkStart w:id="41" w:name="_Toc351203489"/>
      <w:r>
        <w:rPr>
          <w:rFonts w:ascii="Times New Roman"/>
          <w:b/>
          <w:color w:val="000000"/>
          <w:sz w:val="24"/>
          <w:szCs w:val="24"/>
        </w:rPr>
        <w:t>九、签订时间</w:t>
      </w:r>
      <w:bookmarkEnd w:id="41"/>
    </w:p>
    <w:p w14:paraId="199284A0">
      <w:pPr>
        <w:spacing w:line="360" w:lineRule="auto"/>
        <w:ind w:firstLine="480" w:firstLineChars="200"/>
        <w:rPr>
          <w:rFonts w:ascii="Times New Roman"/>
          <w:bCs/>
          <w:color w:val="000000"/>
          <w:sz w:val="24"/>
          <w:szCs w:val="24"/>
        </w:rPr>
      </w:pPr>
      <w:r>
        <w:rPr>
          <w:rFonts w:ascii="Times New Roman"/>
          <w:bCs/>
          <w:color w:val="000000"/>
          <w:sz w:val="24"/>
          <w:szCs w:val="24"/>
        </w:rPr>
        <w:t>本合同于</w:t>
      </w:r>
      <w:r>
        <w:rPr>
          <w:rFonts w:ascii="Times New Roman"/>
          <w:bCs/>
          <w:color w:val="000000"/>
          <w:sz w:val="24"/>
          <w:szCs w:val="24"/>
          <w:u w:val="single"/>
        </w:rPr>
        <w:t xml:space="preserve">         </w:t>
      </w:r>
      <w:r>
        <w:rPr>
          <w:rFonts w:ascii="Times New Roman"/>
          <w:bCs/>
          <w:color w:val="000000"/>
          <w:sz w:val="24"/>
          <w:szCs w:val="24"/>
        </w:rPr>
        <w:t>年</w:t>
      </w:r>
      <w:r>
        <w:rPr>
          <w:rFonts w:ascii="Times New Roman"/>
          <w:bCs/>
          <w:color w:val="000000"/>
          <w:sz w:val="24"/>
          <w:szCs w:val="24"/>
          <w:u w:val="single"/>
        </w:rPr>
        <w:t xml:space="preserve">    </w:t>
      </w:r>
      <w:r>
        <w:rPr>
          <w:rFonts w:ascii="Times New Roman"/>
          <w:bCs/>
          <w:color w:val="000000"/>
          <w:sz w:val="24"/>
          <w:szCs w:val="24"/>
        </w:rPr>
        <w:t>月</w:t>
      </w:r>
      <w:r>
        <w:rPr>
          <w:rFonts w:ascii="Times New Roman"/>
          <w:bCs/>
          <w:color w:val="000000"/>
          <w:sz w:val="24"/>
          <w:szCs w:val="24"/>
          <w:u w:val="single"/>
        </w:rPr>
        <w:t xml:space="preserve">    </w:t>
      </w:r>
      <w:r>
        <w:rPr>
          <w:rFonts w:ascii="Times New Roman"/>
          <w:bCs/>
          <w:color w:val="000000"/>
          <w:sz w:val="24"/>
          <w:szCs w:val="24"/>
        </w:rPr>
        <w:t>日签订。</w:t>
      </w:r>
    </w:p>
    <w:p w14:paraId="54F67BC1">
      <w:pPr>
        <w:spacing w:line="360" w:lineRule="auto"/>
        <w:ind w:firstLine="482" w:firstLineChars="200"/>
        <w:rPr>
          <w:rFonts w:ascii="Times New Roman"/>
          <w:b/>
          <w:color w:val="000000"/>
          <w:sz w:val="24"/>
          <w:szCs w:val="24"/>
        </w:rPr>
      </w:pPr>
      <w:bookmarkStart w:id="42" w:name="_Toc351203490"/>
      <w:r>
        <w:rPr>
          <w:rFonts w:ascii="Times New Roman"/>
          <w:b/>
          <w:color w:val="000000"/>
          <w:sz w:val="24"/>
          <w:szCs w:val="24"/>
        </w:rPr>
        <w:t>十、签订地点</w:t>
      </w:r>
      <w:bookmarkEnd w:id="42"/>
    </w:p>
    <w:p w14:paraId="46DCFD5C">
      <w:pPr>
        <w:spacing w:line="360" w:lineRule="auto"/>
        <w:ind w:firstLine="480" w:firstLineChars="200"/>
        <w:rPr>
          <w:rFonts w:ascii="Times New Roman"/>
          <w:bCs/>
          <w:color w:val="000000"/>
          <w:sz w:val="24"/>
          <w:szCs w:val="24"/>
        </w:rPr>
      </w:pPr>
      <w:r>
        <w:rPr>
          <w:rFonts w:ascii="Times New Roman"/>
          <w:bCs/>
          <w:color w:val="000000"/>
          <w:sz w:val="24"/>
          <w:szCs w:val="24"/>
        </w:rPr>
        <w:t>本合同在</w:t>
      </w:r>
      <w:r>
        <w:rPr>
          <w:rFonts w:ascii="Times New Roman"/>
          <w:bCs/>
          <w:color w:val="000000"/>
          <w:sz w:val="24"/>
          <w:szCs w:val="24"/>
          <w:u w:val="single"/>
        </w:rPr>
        <w:t xml:space="preserve">                                    </w:t>
      </w:r>
      <w:r>
        <w:rPr>
          <w:rFonts w:ascii="Times New Roman"/>
          <w:bCs/>
          <w:color w:val="000000"/>
          <w:sz w:val="24"/>
          <w:szCs w:val="24"/>
        </w:rPr>
        <w:t>签订。</w:t>
      </w:r>
    </w:p>
    <w:p w14:paraId="59FA5813">
      <w:pPr>
        <w:spacing w:line="360" w:lineRule="auto"/>
        <w:ind w:firstLine="482" w:firstLineChars="200"/>
        <w:rPr>
          <w:rFonts w:ascii="Times New Roman"/>
          <w:b/>
          <w:color w:val="000000"/>
          <w:sz w:val="24"/>
          <w:szCs w:val="24"/>
        </w:rPr>
      </w:pPr>
      <w:bookmarkStart w:id="43" w:name="_Toc351203491"/>
      <w:r>
        <w:rPr>
          <w:rFonts w:ascii="Times New Roman"/>
          <w:b/>
          <w:color w:val="000000"/>
          <w:sz w:val="24"/>
          <w:szCs w:val="24"/>
        </w:rPr>
        <w:t>十一、补充协议</w:t>
      </w:r>
      <w:bookmarkEnd w:id="43"/>
    </w:p>
    <w:p w14:paraId="3E413A68">
      <w:pPr>
        <w:spacing w:line="360" w:lineRule="auto"/>
        <w:ind w:firstLine="480" w:firstLineChars="200"/>
        <w:rPr>
          <w:rFonts w:ascii="Times New Roman"/>
          <w:b/>
          <w:bCs/>
          <w:color w:val="000000"/>
          <w:sz w:val="24"/>
          <w:szCs w:val="24"/>
        </w:rPr>
      </w:pPr>
      <w:r>
        <w:rPr>
          <w:rFonts w:ascii="Times New Roman"/>
          <w:bCs/>
          <w:color w:val="000000"/>
          <w:sz w:val="24"/>
          <w:szCs w:val="24"/>
        </w:rPr>
        <w:t>合同未尽事宜，合同当事人另行签订补充协议</w:t>
      </w:r>
      <w:r>
        <w:rPr>
          <w:rFonts w:hint="eastAsia" w:ascii="Times New Roman"/>
          <w:bCs/>
          <w:color w:val="000000"/>
          <w:sz w:val="24"/>
          <w:szCs w:val="24"/>
        </w:rPr>
        <w:t>，</w:t>
      </w:r>
      <w:r>
        <w:rPr>
          <w:rFonts w:ascii="Times New Roman"/>
          <w:bCs/>
          <w:color w:val="000000"/>
          <w:sz w:val="24"/>
          <w:szCs w:val="24"/>
        </w:rPr>
        <w:t>补充协议是合同的组成部分。</w:t>
      </w:r>
    </w:p>
    <w:p w14:paraId="0232546E">
      <w:pPr>
        <w:spacing w:line="360" w:lineRule="auto"/>
        <w:ind w:firstLine="482" w:firstLineChars="200"/>
        <w:rPr>
          <w:rFonts w:ascii="Times New Roman"/>
          <w:b/>
          <w:color w:val="000000"/>
          <w:sz w:val="24"/>
          <w:szCs w:val="24"/>
        </w:rPr>
      </w:pPr>
      <w:bookmarkStart w:id="44" w:name="_Toc351203492"/>
      <w:r>
        <w:rPr>
          <w:rFonts w:ascii="Times New Roman"/>
          <w:b/>
          <w:color w:val="000000"/>
          <w:sz w:val="24"/>
          <w:szCs w:val="24"/>
        </w:rPr>
        <w:t>十二、合同生效</w:t>
      </w:r>
      <w:bookmarkEnd w:id="44"/>
    </w:p>
    <w:p w14:paraId="76C1D6D3">
      <w:pPr>
        <w:spacing w:line="360" w:lineRule="auto"/>
        <w:ind w:firstLine="480" w:firstLineChars="200"/>
        <w:rPr>
          <w:rFonts w:ascii="Times New Roman"/>
          <w:bCs/>
          <w:color w:val="000000"/>
          <w:sz w:val="24"/>
          <w:szCs w:val="24"/>
        </w:rPr>
      </w:pPr>
      <w:r>
        <w:rPr>
          <w:rFonts w:ascii="Times New Roman"/>
          <w:bCs/>
          <w:color w:val="000000"/>
          <w:sz w:val="24"/>
          <w:szCs w:val="24"/>
        </w:rPr>
        <w:t>本合同自</w:t>
      </w:r>
      <w:r>
        <w:rPr>
          <w:rFonts w:ascii="Times New Roman"/>
          <w:bCs/>
          <w:color w:val="000000"/>
          <w:sz w:val="24"/>
          <w:szCs w:val="24"/>
          <w:u w:val="single"/>
        </w:rPr>
        <w:t xml:space="preserve">                                   </w:t>
      </w:r>
      <w:r>
        <w:rPr>
          <w:rFonts w:ascii="Times New Roman"/>
          <w:bCs/>
          <w:color w:val="000000"/>
          <w:sz w:val="24"/>
          <w:szCs w:val="24"/>
        </w:rPr>
        <w:t>生效。</w:t>
      </w:r>
    </w:p>
    <w:p w14:paraId="1845C6B4">
      <w:pPr>
        <w:spacing w:line="360" w:lineRule="auto"/>
        <w:ind w:firstLine="482" w:firstLineChars="200"/>
        <w:rPr>
          <w:rFonts w:ascii="Times New Roman"/>
          <w:b/>
          <w:color w:val="000000"/>
          <w:sz w:val="24"/>
          <w:szCs w:val="24"/>
        </w:rPr>
      </w:pPr>
      <w:bookmarkStart w:id="45" w:name="_Toc351203493"/>
      <w:r>
        <w:rPr>
          <w:rFonts w:ascii="Times New Roman"/>
          <w:b/>
          <w:color w:val="000000"/>
          <w:sz w:val="24"/>
          <w:szCs w:val="24"/>
        </w:rPr>
        <w:t>十三、合同份数</w:t>
      </w:r>
      <w:bookmarkEnd w:id="45"/>
    </w:p>
    <w:p w14:paraId="6D2C2068">
      <w:pPr>
        <w:spacing w:line="360" w:lineRule="auto"/>
        <w:ind w:firstLine="480" w:firstLineChars="200"/>
        <w:rPr>
          <w:rFonts w:ascii="Times New Roman"/>
          <w:bCs/>
          <w:color w:val="000000"/>
          <w:sz w:val="24"/>
          <w:szCs w:val="24"/>
        </w:rPr>
      </w:pPr>
      <w:r>
        <w:rPr>
          <w:rFonts w:ascii="Times New Roman"/>
          <w:bCs/>
          <w:color w:val="000000"/>
          <w:sz w:val="24"/>
          <w:szCs w:val="24"/>
        </w:rPr>
        <w:t>本合同一式</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份，均具有同等法律效力，发包人执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份，承包人执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w:t>
      </w:r>
    </w:p>
    <w:p w14:paraId="4A136F6F">
      <w:pPr>
        <w:spacing w:line="360" w:lineRule="auto"/>
        <w:rPr>
          <w:rFonts w:hint="eastAsia" w:ascii="Times New Roman"/>
          <w:bCs/>
          <w:color w:val="000000"/>
          <w:sz w:val="24"/>
          <w:szCs w:val="24"/>
        </w:rPr>
      </w:pPr>
    </w:p>
    <w:p w14:paraId="0F2DB745">
      <w:pPr>
        <w:spacing w:line="360" w:lineRule="auto"/>
        <w:rPr>
          <w:rFonts w:hint="eastAsia" w:ascii="Times New Roman"/>
          <w:color w:val="000000"/>
          <w:sz w:val="24"/>
          <w:szCs w:val="24"/>
        </w:rPr>
      </w:pPr>
      <w:r>
        <w:rPr>
          <w:rFonts w:ascii="Times New Roman"/>
          <w:color w:val="000000"/>
          <w:sz w:val="24"/>
          <w:szCs w:val="24"/>
        </w:rPr>
        <w:t>发包人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 xml:space="preserve">）                 </w:t>
      </w:r>
      <w:r>
        <w:rPr>
          <w:rFonts w:ascii="Times New Roman"/>
          <w:color w:val="000000"/>
          <w:sz w:val="24"/>
          <w:szCs w:val="24"/>
        </w:rPr>
        <w:t>承包人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w:t>
      </w:r>
    </w:p>
    <w:p w14:paraId="7E189A6F">
      <w:pPr>
        <w:spacing w:line="360" w:lineRule="auto"/>
        <w:rPr>
          <w:rFonts w:hint="eastAsia" w:ascii="Times New Roman"/>
          <w:color w:val="000000"/>
          <w:sz w:val="24"/>
          <w:szCs w:val="24"/>
        </w:rPr>
      </w:pPr>
      <w:r>
        <w:rPr>
          <w:rFonts w:hint="eastAsia" w:ascii="Times New Roman"/>
          <w:color w:val="000000"/>
          <w:sz w:val="24"/>
          <w:szCs w:val="24"/>
        </w:rPr>
        <w:t>法定代表人或其委托代理人：                 法定代表人或其委托代理人：</w:t>
      </w:r>
    </w:p>
    <w:p w14:paraId="7C832697">
      <w:pPr>
        <w:spacing w:line="360" w:lineRule="auto"/>
        <w:rPr>
          <w:rFonts w:hint="eastAsia"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046587F6">
      <w:pPr>
        <w:tabs>
          <w:tab w:val="left" w:pos="4410"/>
        </w:tabs>
        <w:spacing w:line="360" w:lineRule="auto"/>
        <w:rPr>
          <w:rFonts w:ascii="Times New Roman"/>
          <w:color w:val="000000"/>
          <w:sz w:val="24"/>
          <w:szCs w:val="24"/>
        </w:rPr>
      </w:pPr>
      <w:r>
        <w:rPr>
          <w:rFonts w:hint="eastAsia" w:ascii="Times New Roman"/>
          <w:color w:val="000000"/>
          <w:sz w:val="24"/>
          <w:szCs w:val="24"/>
        </w:rPr>
        <w:t>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5B928058">
      <w:pPr>
        <w:spacing w:line="360" w:lineRule="auto"/>
        <w:rPr>
          <w:rFonts w:ascii="Times New Roman"/>
          <w:color w:val="000000"/>
          <w:sz w:val="24"/>
          <w:szCs w:val="24"/>
        </w:rPr>
      </w:pPr>
      <w:r>
        <w:rPr>
          <w:rFonts w:ascii="Times New Roman"/>
          <w:color w:val="000000"/>
          <w:sz w:val="24"/>
          <w:szCs w:val="24"/>
        </w:rPr>
        <w:t>地  址：</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地  址：</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5F52C6A9">
      <w:pPr>
        <w:spacing w:line="360" w:lineRule="auto"/>
        <w:rPr>
          <w:rFonts w:hint="eastAsia" w:ascii="Times New Roman"/>
          <w:color w:val="000000"/>
          <w:sz w:val="24"/>
          <w:szCs w:val="24"/>
        </w:rPr>
      </w:pPr>
      <w:r>
        <w:rPr>
          <w:rFonts w:ascii="Times New Roman"/>
          <w:color w:val="000000"/>
          <w:sz w:val="24"/>
          <w:szCs w:val="24"/>
        </w:rPr>
        <w:t>邮政编码：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邮政编码：</w:t>
      </w:r>
      <w:r>
        <w:rPr>
          <w:rFonts w:ascii="Times New Roman"/>
          <w:color w:val="000000"/>
          <w:sz w:val="24"/>
          <w:szCs w:val="24"/>
          <w:u w:val="single"/>
        </w:rPr>
        <w:t></w:t>
      </w:r>
      <w:r>
        <w:rPr>
          <w:rFonts w:hint="eastAsia" w:ascii="Times New Roman"/>
          <w:color w:val="000000"/>
          <w:sz w:val="24"/>
          <w:szCs w:val="24"/>
          <w:u w:val="single"/>
        </w:rPr>
        <w:t xml:space="preserve"> </w:t>
      </w:r>
    </w:p>
    <w:p w14:paraId="4E9EE566">
      <w:pPr>
        <w:spacing w:line="360" w:lineRule="auto"/>
        <w:rPr>
          <w:rFonts w:ascii="Times New Roman"/>
          <w:color w:val="000000"/>
          <w:sz w:val="24"/>
          <w:szCs w:val="24"/>
        </w:rPr>
      </w:pP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p>
    <w:p w14:paraId="75F9E416">
      <w:pPr>
        <w:spacing w:line="360" w:lineRule="auto"/>
        <w:rPr>
          <w:rFonts w:ascii="Times New Roman"/>
          <w:color w:val="000000"/>
          <w:sz w:val="24"/>
          <w:szCs w:val="24"/>
        </w:rPr>
      </w:pP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A2E20B1">
      <w:pPr>
        <w:spacing w:line="360" w:lineRule="auto"/>
        <w:rPr>
          <w:rFonts w:ascii="Times New Roman"/>
          <w:color w:val="000000"/>
          <w:sz w:val="24"/>
          <w:szCs w:val="24"/>
        </w:rPr>
      </w:pP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p>
    <w:p w14:paraId="5847DC5E">
      <w:pPr>
        <w:spacing w:line="360" w:lineRule="auto"/>
        <w:rPr>
          <w:rFonts w:ascii="Times New Roman"/>
          <w:color w:val="000000"/>
          <w:sz w:val="24"/>
          <w:szCs w:val="24"/>
        </w:rPr>
      </w:pPr>
      <w:r>
        <w:rPr>
          <w:rFonts w:ascii="Times New Roman"/>
          <w:color w:val="000000"/>
          <w:sz w:val="24"/>
          <w:szCs w:val="24"/>
        </w:rPr>
        <w:t>传  真：</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传  真：</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p>
    <w:p w14:paraId="7D460A5C">
      <w:pPr>
        <w:spacing w:line="360" w:lineRule="auto"/>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电子信箱：</w:t>
      </w:r>
      <w:r>
        <w:rPr>
          <w:rFonts w:ascii="Times New Roman"/>
          <w:color w:val="000000"/>
          <w:sz w:val="24"/>
          <w:szCs w:val="24"/>
          <w:u w:val="single"/>
        </w:rPr>
        <w:t></w:t>
      </w:r>
    </w:p>
    <w:p w14:paraId="3C94450B">
      <w:pPr>
        <w:spacing w:line="360" w:lineRule="auto"/>
        <w:rPr>
          <w:rFonts w:ascii="Times New Roman"/>
          <w:color w:val="000000"/>
          <w:sz w:val="24"/>
          <w:szCs w:val="24"/>
        </w:rPr>
      </w:pPr>
      <w:r>
        <w:rPr>
          <w:rFonts w:ascii="Times New Roman"/>
          <w:color w:val="000000"/>
          <w:sz w:val="24"/>
          <w:szCs w:val="24"/>
        </w:rPr>
        <w:t>开户银行：</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开户银行：</w:t>
      </w:r>
      <w:r>
        <w:rPr>
          <w:rFonts w:ascii="Times New Roman"/>
          <w:color w:val="000000"/>
          <w:sz w:val="24"/>
          <w:szCs w:val="24"/>
          <w:u w:val="single"/>
        </w:rPr>
        <w:t></w:t>
      </w:r>
    </w:p>
    <w:p w14:paraId="69697E75">
      <w:pPr>
        <w:spacing w:line="360" w:lineRule="auto"/>
        <w:rPr>
          <w:rFonts w:ascii="Times New Roman"/>
          <w:color w:val="000000"/>
          <w:sz w:val="24"/>
          <w:szCs w:val="24"/>
        </w:rPr>
      </w:pPr>
      <w:r>
        <w:rPr>
          <w:rFonts w:ascii="Times New Roman"/>
          <w:color w:val="000000"/>
          <w:sz w:val="24"/>
          <w:szCs w:val="24"/>
        </w:rPr>
        <w:t>账  号：</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 xml:space="preserve"> 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6C902AF0">
      <w:pPr>
        <w:keepNext/>
        <w:keepLines/>
        <w:spacing w:before="240" w:beforeLines="100" w:after="240" w:afterLines="100"/>
        <w:jc w:val="center"/>
        <w:outlineLvl w:val="1"/>
        <w:rPr>
          <w:rFonts w:hint="eastAsia" w:ascii="Times New Roman" w:eastAsia="黑体"/>
          <w:bCs/>
          <w:color w:val="000000"/>
          <w:sz w:val="24"/>
          <w:szCs w:val="24"/>
        </w:rPr>
      </w:pPr>
      <w:r>
        <w:rPr>
          <w:rFonts w:ascii="Times New Roman"/>
          <w:b/>
          <w:bCs/>
          <w:color w:val="000000"/>
          <w:sz w:val="24"/>
          <w:szCs w:val="24"/>
        </w:rPr>
        <w:br w:type="page"/>
      </w:r>
      <w:bookmarkStart w:id="46" w:name="_Toc130919121"/>
      <w:bookmarkStart w:id="47" w:name="_Toc28799377"/>
      <w:r>
        <w:rPr>
          <w:rFonts w:hint="eastAsia" w:ascii="Times New Roman" w:eastAsia="黑体"/>
          <w:bCs/>
          <w:color w:val="000000"/>
          <w:sz w:val="24"/>
          <w:szCs w:val="24"/>
        </w:rPr>
        <w:t>第二节  通用合同条款</w:t>
      </w:r>
      <w:bookmarkEnd w:id="46"/>
      <w:bookmarkEnd w:id="47"/>
    </w:p>
    <w:p w14:paraId="5F22E42A">
      <w:pPr>
        <w:spacing w:line="360" w:lineRule="auto"/>
        <w:ind w:firstLine="480" w:firstLineChars="200"/>
        <w:rPr>
          <w:rFonts w:hint="eastAsia" w:ascii="Times New Roman" w:cs="宋体"/>
          <w:snapToGrid w:val="0"/>
          <w:color w:val="000000"/>
          <w:sz w:val="24"/>
          <w:szCs w:val="24"/>
        </w:rPr>
      </w:pPr>
      <w:r>
        <w:rPr>
          <w:rFonts w:hint="eastAsia" w:ascii="Times New Roman" w:cs="宋体"/>
          <w:snapToGrid w:val="0"/>
          <w:color w:val="000000"/>
          <w:sz w:val="24"/>
          <w:szCs w:val="24"/>
        </w:rPr>
        <w:t>采用《建设工程施工合同（示范文本）》（GF-2017-0201）中通用合同条款。上述资料由承包人自行准备。</w:t>
      </w:r>
    </w:p>
    <w:p w14:paraId="3D528262">
      <w:pPr>
        <w:keepNext/>
        <w:keepLines/>
        <w:numPr>
          <w:ilvl w:val="0"/>
          <w:numId w:val="3"/>
        </w:numPr>
        <w:spacing w:before="240" w:beforeLines="100" w:after="240" w:afterLines="100"/>
        <w:jc w:val="center"/>
        <w:outlineLvl w:val="1"/>
        <w:rPr>
          <w:rFonts w:hint="eastAsia" w:ascii="Times New Roman" w:eastAsia="黑体"/>
          <w:bCs/>
          <w:color w:val="000000"/>
          <w:sz w:val="24"/>
          <w:szCs w:val="24"/>
        </w:rPr>
      </w:pPr>
      <w:r>
        <w:rPr>
          <w:rFonts w:ascii="Times New Roman" w:eastAsia="黑体"/>
          <w:b/>
          <w:bCs/>
          <w:color w:val="000000"/>
          <w:sz w:val="24"/>
          <w:szCs w:val="24"/>
        </w:rPr>
        <w:br w:type="page"/>
      </w:r>
      <w:bookmarkStart w:id="48" w:name="_Toc130919122"/>
      <w:bookmarkStart w:id="49" w:name="_Toc28799378"/>
      <w:r>
        <w:rPr>
          <w:rFonts w:hint="eastAsia" w:ascii="Times New Roman" w:eastAsia="黑体"/>
          <w:bCs/>
          <w:color w:val="000000"/>
          <w:sz w:val="24"/>
          <w:szCs w:val="24"/>
        </w:rPr>
        <w:t xml:space="preserve"> 专用合同条款</w:t>
      </w:r>
      <w:bookmarkEnd w:id="48"/>
      <w:bookmarkEnd w:id="49"/>
    </w:p>
    <w:p w14:paraId="18067405">
      <w:pPr>
        <w:spacing w:before="240" w:beforeLines="100" w:after="240" w:afterLines="100"/>
        <w:jc w:val="center"/>
        <w:outlineLvl w:val="2"/>
        <w:rPr>
          <w:rFonts w:hint="eastAsia" w:ascii="Times New Roman" w:eastAsia="黑体"/>
          <w:color w:val="000000"/>
          <w:sz w:val="24"/>
          <w:szCs w:val="24"/>
        </w:rPr>
      </w:pPr>
      <w:r>
        <w:rPr>
          <w:rFonts w:ascii="Times New Roman" w:eastAsia="黑体"/>
          <w:color w:val="000000"/>
          <w:sz w:val="24"/>
          <w:szCs w:val="24"/>
        </w:rPr>
        <w:t>专用合同条款</w:t>
      </w:r>
      <w:r>
        <w:rPr>
          <w:rFonts w:hint="eastAsia" w:ascii="Times New Roman" w:eastAsia="黑体"/>
          <w:color w:val="000000"/>
          <w:sz w:val="24"/>
          <w:szCs w:val="24"/>
        </w:rPr>
        <w:t>数据表</w:t>
      </w:r>
    </w:p>
    <w:p w14:paraId="38038E21">
      <w:pPr>
        <w:pStyle w:val="8"/>
        <w:snapToGrid w:val="0"/>
        <w:spacing w:line="360" w:lineRule="auto"/>
        <w:ind w:firstLine="480"/>
        <w:rPr>
          <w:rFonts w:hint="eastAsia" w:ascii="Times New Roman" w:hAnsi="Times New Roman" w:cs="宋体"/>
          <w:color w:val="000000"/>
          <w:sz w:val="24"/>
          <w:szCs w:val="24"/>
        </w:rPr>
      </w:pPr>
      <w:r>
        <w:rPr>
          <w:rFonts w:hint="eastAsia" w:ascii="Times New Roman" w:hAnsi="Times New Roman" w:cs="宋体"/>
          <w:color w:val="000000"/>
          <w:sz w:val="24"/>
          <w:szCs w:val="24"/>
        </w:rPr>
        <w:t>说明：本数据表是项目专用合同条款中适用于本招标项目的信息和数据的归纳与提示，是项目专用合同条款的组成部分。</w:t>
      </w:r>
    </w:p>
    <w:tbl>
      <w:tblPr>
        <w:tblStyle w:val="21"/>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75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noWrap w:val="0"/>
            <w:vAlign w:val="center"/>
          </w:tcPr>
          <w:p w14:paraId="0ACDCFA8">
            <w:pPr>
              <w:snapToGrid w:val="0"/>
              <w:spacing w:before="100" w:beforeAutospacing="1"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序号</w:t>
            </w:r>
          </w:p>
        </w:tc>
        <w:tc>
          <w:tcPr>
            <w:tcW w:w="1111" w:type="dxa"/>
            <w:noWrap w:val="0"/>
            <w:vAlign w:val="center"/>
          </w:tcPr>
          <w:p w14:paraId="45AF8251">
            <w:pPr>
              <w:snapToGrid w:val="0"/>
              <w:spacing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条目号</w:t>
            </w:r>
          </w:p>
        </w:tc>
        <w:tc>
          <w:tcPr>
            <w:tcW w:w="7304" w:type="dxa"/>
            <w:noWrap w:val="0"/>
            <w:vAlign w:val="center"/>
          </w:tcPr>
          <w:p w14:paraId="34276C7C">
            <w:pPr>
              <w:snapToGrid w:val="0"/>
              <w:spacing w:line="360" w:lineRule="auto"/>
              <w:jc w:val="center"/>
              <w:rPr>
                <w:rFonts w:hint="eastAsia" w:ascii="Times New Roman" w:eastAsia="黑体" w:cs="黑体"/>
                <w:b/>
                <w:color w:val="000000"/>
                <w:sz w:val="24"/>
                <w:szCs w:val="24"/>
              </w:rPr>
            </w:pPr>
            <w:r>
              <w:rPr>
                <w:rFonts w:hint="eastAsia" w:ascii="Times New Roman" w:eastAsia="黑体" w:cs="黑体"/>
                <w:b/>
                <w:color w:val="000000"/>
                <w:sz w:val="24"/>
                <w:szCs w:val="24"/>
              </w:rPr>
              <w:t>信息或数据</w:t>
            </w:r>
          </w:p>
        </w:tc>
      </w:tr>
      <w:tr w14:paraId="16B8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0FC9B40">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7D987B0D">
            <w:pPr>
              <w:snapToGrid w:val="0"/>
              <w:spacing w:line="360" w:lineRule="auto"/>
              <w:jc w:val="center"/>
              <w:rPr>
                <w:rFonts w:hint="eastAsia" w:ascii="Times New Roman" w:cs="宋体"/>
                <w:bCs/>
                <w:color w:val="000000"/>
                <w:sz w:val="24"/>
                <w:szCs w:val="24"/>
              </w:rPr>
            </w:pPr>
            <w:r>
              <w:rPr>
                <w:rFonts w:hint="eastAsia" w:ascii="Times New Roman" w:cs="宋体"/>
                <w:bCs/>
                <w:color w:val="000000"/>
                <w:sz w:val="24"/>
                <w:szCs w:val="24"/>
              </w:rPr>
              <w:t>2.5</w:t>
            </w:r>
          </w:p>
        </w:tc>
        <w:tc>
          <w:tcPr>
            <w:tcW w:w="7304" w:type="dxa"/>
            <w:noWrap w:val="0"/>
            <w:vAlign w:val="center"/>
          </w:tcPr>
          <w:p w14:paraId="00A23B9F">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发包人向承包人提供工程款支付担保的时间：</w:t>
            </w:r>
            <w:r>
              <w:rPr>
                <w:rFonts w:hint="eastAsia" w:ascii="Times New Roman" w:cs="宋体"/>
                <w:bCs/>
                <w:color w:val="000000"/>
                <w:sz w:val="24"/>
                <w:szCs w:val="24"/>
                <w:u w:val="single"/>
              </w:rPr>
              <w:t xml:space="preserve">          </w:t>
            </w:r>
          </w:p>
          <w:p w14:paraId="4259092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工程款支付担保的金额：</w:t>
            </w:r>
            <w:r>
              <w:rPr>
                <w:rFonts w:hint="eastAsia" w:ascii="Times New Roman" w:cs="宋体"/>
                <w:bCs/>
                <w:color w:val="000000"/>
                <w:sz w:val="24"/>
                <w:szCs w:val="24"/>
                <w:u w:val="single"/>
              </w:rPr>
              <w:t xml:space="preserve">          </w:t>
            </w:r>
          </w:p>
          <w:p w14:paraId="3920E687">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工程款支付担保可采用的其他形式：</w:t>
            </w:r>
            <w:r>
              <w:rPr>
                <w:rFonts w:hint="eastAsia" w:ascii="Times New Roman" w:cs="宋体"/>
                <w:bCs/>
                <w:color w:val="000000"/>
                <w:sz w:val="24"/>
                <w:szCs w:val="24"/>
                <w:u w:val="single"/>
              </w:rPr>
              <w:t xml:space="preserve">          </w:t>
            </w:r>
          </w:p>
        </w:tc>
      </w:tr>
      <w:tr w14:paraId="0051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6298B92">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6B519C7B">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3.2.1</w:t>
            </w:r>
          </w:p>
        </w:tc>
        <w:tc>
          <w:tcPr>
            <w:tcW w:w="7304" w:type="dxa"/>
            <w:noWrap w:val="0"/>
            <w:vAlign w:val="center"/>
          </w:tcPr>
          <w:p w14:paraId="587ABF7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项目经理</w:t>
            </w:r>
          </w:p>
          <w:p w14:paraId="42D538F1">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姓    名：</w:t>
            </w:r>
            <w:r>
              <w:rPr>
                <w:rFonts w:hint="eastAsia" w:ascii="Times New Roman" w:cs="宋体"/>
                <w:bCs/>
                <w:color w:val="000000"/>
                <w:sz w:val="24"/>
                <w:szCs w:val="24"/>
                <w:u w:val="single"/>
              </w:rPr>
              <w:t xml:space="preserve">          </w:t>
            </w:r>
          </w:p>
          <w:p w14:paraId="5427E9F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身份证号：</w:t>
            </w:r>
            <w:r>
              <w:rPr>
                <w:rFonts w:hint="eastAsia" w:ascii="Times New Roman" w:cs="宋体"/>
                <w:bCs/>
                <w:color w:val="000000"/>
                <w:sz w:val="24"/>
                <w:szCs w:val="24"/>
                <w:u w:val="single"/>
              </w:rPr>
              <w:t xml:space="preserve">          </w:t>
            </w:r>
          </w:p>
          <w:p w14:paraId="5DBDFC44">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建造师执业资格等级：</w:t>
            </w:r>
            <w:r>
              <w:rPr>
                <w:rFonts w:hint="eastAsia" w:ascii="Times New Roman" w:cs="宋体"/>
                <w:bCs/>
                <w:color w:val="000000"/>
                <w:sz w:val="24"/>
                <w:szCs w:val="24"/>
                <w:u w:val="single"/>
              </w:rPr>
              <w:t xml:space="preserve">          </w:t>
            </w:r>
          </w:p>
          <w:p w14:paraId="28A90CD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建造师注册证书号：</w:t>
            </w:r>
            <w:r>
              <w:rPr>
                <w:rFonts w:hint="eastAsia" w:ascii="Times New Roman" w:cs="宋体"/>
                <w:bCs/>
                <w:color w:val="000000"/>
                <w:sz w:val="24"/>
                <w:szCs w:val="24"/>
                <w:u w:val="single"/>
              </w:rPr>
              <w:t xml:space="preserve">            </w:t>
            </w:r>
          </w:p>
          <w:p w14:paraId="20F2980D">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承包人对项目经理的授权范围如下：</w:t>
            </w:r>
            <w:r>
              <w:rPr>
                <w:rFonts w:hint="eastAsia" w:ascii="Times New Roman" w:cs="宋体"/>
                <w:bCs/>
                <w:color w:val="000000"/>
                <w:sz w:val="24"/>
                <w:szCs w:val="24"/>
                <w:u w:val="single"/>
              </w:rPr>
              <w:t xml:space="preserve">            </w:t>
            </w:r>
          </w:p>
          <w:p w14:paraId="1E3D168B">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承包人项目经理每月在施工现场的时间：驻场时间每月不少于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天，每天在岗工作时间不得少于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小时。</w:t>
            </w:r>
          </w:p>
        </w:tc>
      </w:tr>
      <w:tr w14:paraId="0FD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C0A873F">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469235EF">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3.7</w:t>
            </w:r>
          </w:p>
        </w:tc>
        <w:tc>
          <w:tcPr>
            <w:tcW w:w="7304" w:type="dxa"/>
            <w:noWrap w:val="0"/>
            <w:vAlign w:val="center"/>
          </w:tcPr>
          <w:p w14:paraId="4C60488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承包人是否提供履约保证金：</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222ADD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承包人提供履约保证金的形式：</w:t>
            </w:r>
            <w:r>
              <w:rPr>
                <w:rFonts w:hint="eastAsia" w:ascii="Times New Roman" w:cs="宋体"/>
                <w:bCs/>
                <w:color w:val="000000"/>
                <w:sz w:val="24"/>
                <w:szCs w:val="24"/>
                <w:u w:val="single"/>
              </w:rPr>
              <w:t xml:space="preserve">          </w:t>
            </w:r>
          </w:p>
          <w:p w14:paraId="5C9FBD9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履约保证金的金额：中标合同金额的</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195ACE1">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履约保证金提交期限的要求：签订合同前。</w:t>
            </w:r>
          </w:p>
          <w:p w14:paraId="4242EA19">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履约保证金退还时限：</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4FCA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05C41A4E">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58A7E43E">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5.1.1</w:t>
            </w:r>
          </w:p>
        </w:tc>
        <w:tc>
          <w:tcPr>
            <w:tcW w:w="7304" w:type="dxa"/>
            <w:noWrap w:val="0"/>
            <w:vAlign w:val="center"/>
          </w:tcPr>
          <w:p w14:paraId="73EDC49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5.1.1 特殊质量标准和要求：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0EA278D">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关于工程奖项的约定：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0026FC1">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关于建造要求：</w:t>
            </w:r>
          </w:p>
          <w:p w14:paraId="08BCC005">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（1）绿色建筑等级要求：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CE0C02F">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（2）智慧工地管理要求：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358AFA2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（3）建筑垃圾减量化目标：</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F79E9A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（4）装配式建筑装配率要求：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7D90383D">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7F8F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502D525">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C64B74C">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7.5.2</w:t>
            </w:r>
          </w:p>
        </w:tc>
        <w:tc>
          <w:tcPr>
            <w:tcW w:w="7304" w:type="dxa"/>
            <w:tcBorders>
              <w:bottom w:val="single" w:color="auto" w:sz="4" w:space="0"/>
            </w:tcBorders>
            <w:noWrap w:val="0"/>
            <w:vAlign w:val="center"/>
          </w:tcPr>
          <w:p w14:paraId="602049AA">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因承包人原因造成工期延误，逾期竣工违约金的计算方法为：</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p w14:paraId="47E98B4E">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因承包人原因造成工期延误，逾期竣工违约金的上限：</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295A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C44617C">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E20289B">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7.9.2</w:t>
            </w:r>
          </w:p>
        </w:tc>
        <w:tc>
          <w:tcPr>
            <w:tcW w:w="7304" w:type="dxa"/>
            <w:tcBorders>
              <w:bottom w:val="single" w:color="auto" w:sz="4" w:space="0"/>
            </w:tcBorders>
            <w:noWrap w:val="0"/>
            <w:vAlign w:val="center"/>
          </w:tcPr>
          <w:p w14:paraId="4E943C90">
            <w:pPr>
              <w:snapToGrid w:val="0"/>
              <w:spacing w:line="360" w:lineRule="auto"/>
              <w:rPr>
                <w:rFonts w:hint="eastAsia" w:ascii="Times New Roman" w:cs="宋体"/>
                <w:bCs/>
                <w:color w:val="000000"/>
                <w:kern w:val="2"/>
                <w:sz w:val="24"/>
                <w:szCs w:val="24"/>
              </w:rPr>
            </w:pPr>
            <w:r>
              <w:rPr>
                <w:rFonts w:ascii="Times New Roman"/>
                <w:color w:val="000000"/>
                <w:sz w:val="24"/>
                <w:szCs w:val="24"/>
              </w:rPr>
              <w:t>提前竣工的奖励：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tc>
      </w:tr>
      <w:tr w14:paraId="4BE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AAE7D1E">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769F34A8">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11.1</w:t>
            </w:r>
          </w:p>
        </w:tc>
        <w:tc>
          <w:tcPr>
            <w:tcW w:w="7304" w:type="dxa"/>
            <w:tcBorders>
              <w:bottom w:val="single" w:color="auto" w:sz="4" w:space="0"/>
            </w:tcBorders>
            <w:noWrap w:val="0"/>
            <w:vAlign w:val="center"/>
          </w:tcPr>
          <w:p w14:paraId="18680223">
            <w:pPr>
              <w:pStyle w:val="11"/>
              <w:tabs>
                <w:tab w:val="clear" w:pos="4153"/>
                <w:tab w:val="clear" w:pos="8306"/>
              </w:tabs>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市场价格波动是否调整合同价格的约定：</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1DF0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2B8036C">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6FC35683">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12.1</w:t>
            </w:r>
          </w:p>
        </w:tc>
        <w:tc>
          <w:tcPr>
            <w:tcW w:w="7304" w:type="dxa"/>
            <w:tcBorders>
              <w:bottom w:val="single" w:color="auto" w:sz="4" w:space="0"/>
            </w:tcBorders>
            <w:noWrap w:val="0"/>
            <w:vAlign w:val="center"/>
          </w:tcPr>
          <w:p w14:paraId="3937E5E1">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合同价格形式</w:t>
            </w:r>
          </w:p>
          <w:p w14:paraId="0A96E75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(1)单价合同。</w:t>
            </w:r>
          </w:p>
          <w:p w14:paraId="7E3DB505">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综合单价包含的风险范围：</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20C0A798">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339ED8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72AF08C">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(2)总价合同。</w:t>
            </w:r>
          </w:p>
          <w:p w14:paraId="1A20BFBE">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总价包含的风险范围：</w:t>
            </w:r>
            <w:r>
              <w:rPr>
                <w:rFonts w:hint="eastAsia" w:ascii="Times New Roman" w:cs="宋体"/>
                <w:bCs/>
                <w:color w:val="000000"/>
                <w:sz w:val="24"/>
                <w:szCs w:val="24"/>
                <w:u w:val="single"/>
              </w:rPr>
              <w:t xml:space="preserve">                                    </w:t>
            </w:r>
          </w:p>
          <w:p w14:paraId="3E770653">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853F48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18C2D223">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（3）其他价格方式：</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FA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0A8386D">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5DC1A1E3">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 xml:space="preserve">12.2.1 </w:t>
            </w:r>
          </w:p>
        </w:tc>
        <w:tc>
          <w:tcPr>
            <w:tcW w:w="7304" w:type="dxa"/>
            <w:tcBorders>
              <w:bottom w:val="single" w:color="auto" w:sz="4" w:space="0"/>
            </w:tcBorders>
            <w:noWrap w:val="0"/>
            <w:vAlign w:val="center"/>
          </w:tcPr>
          <w:p w14:paraId="68A0F99A">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预付款的支付</w:t>
            </w:r>
          </w:p>
          <w:p w14:paraId="1B9A2F74">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预付款支付比例或金额：</w:t>
            </w:r>
            <w:r>
              <w:rPr>
                <w:rFonts w:hint="eastAsia" w:ascii="Times New Roman" w:cs="宋体"/>
                <w:bCs/>
                <w:color w:val="000000"/>
                <w:sz w:val="24"/>
                <w:szCs w:val="24"/>
                <w:u w:val="single"/>
              </w:rPr>
              <w:t xml:space="preserve">          </w:t>
            </w:r>
          </w:p>
          <w:p w14:paraId="0048D888">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预付款支付期限：</w:t>
            </w:r>
            <w:r>
              <w:rPr>
                <w:rFonts w:hint="eastAsia" w:ascii="Times New Roman" w:cs="宋体"/>
                <w:bCs/>
                <w:color w:val="000000"/>
                <w:sz w:val="24"/>
                <w:szCs w:val="24"/>
                <w:u w:val="single"/>
              </w:rPr>
              <w:t xml:space="preserve">          </w:t>
            </w:r>
          </w:p>
          <w:p w14:paraId="59CD0887">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预付款扣回的方式：</w:t>
            </w:r>
            <w:r>
              <w:rPr>
                <w:rFonts w:hint="eastAsia" w:ascii="Times New Roman" w:cs="宋体"/>
                <w:bCs/>
                <w:color w:val="000000"/>
                <w:sz w:val="24"/>
                <w:szCs w:val="24"/>
                <w:u w:val="single"/>
              </w:rPr>
              <w:t xml:space="preserve">          </w:t>
            </w:r>
          </w:p>
        </w:tc>
      </w:tr>
      <w:tr w14:paraId="56A8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30055D5">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130833F0">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12.2.2</w:t>
            </w:r>
          </w:p>
        </w:tc>
        <w:tc>
          <w:tcPr>
            <w:tcW w:w="7304" w:type="dxa"/>
            <w:tcBorders>
              <w:bottom w:val="single" w:color="auto" w:sz="4" w:space="0"/>
            </w:tcBorders>
            <w:noWrap w:val="0"/>
            <w:vAlign w:val="center"/>
          </w:tcPr>
          <w:p w14:paraId="1C2B7DAF">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预付款担保</w:t>
            </w:r>
          </w:p>
          <w:p w14:paraId="0D9497A6">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承包人提交预付款担保的期限：</w:t>
            </w:r>
            <w:r>
              <w:rPr>
                <w:rFonts w:hint="eastAsia" w:ascii="Times New Roman" w:cs="宋体"/>
                <w:bCs/>
                <w:color w:val="000000"/>
                <w:sz w:val="24"/>
                <w:szCs w:val="24"/>
                <w:u w:val="single"/>
              </w:rPr>
              <w:t xml:space="preserve">          </w:t>
            </w:r>
          </w:p>
          <w:p w14:paraId="326EC340">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预付款担保的形式为：</w:t>
            </w:r>
            <w:r>
              <w:rPr>
                <w:rFonts w:hint="eastAsia" w:ascii="Times New Roman" w:cs="宋体"/>
                <w:bCs/>
                <w:color w:val="000000"/>
                <w:sz w:val="24"/>
                <w:szCs w:val="24"/>
                <w:u w:val="single"/>
              </w:rPr>
              <w:t xml:space="preserve">          </w:t>
            </w:r>
          </w:p>
        </w:tc>
      </w:tr>
      <w:tr w14:paraId="00A5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171E32E">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3202083">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12.4.1</w:t>
            </w:r>
          </w:p>
        </w:tc>
        <w:tc>
          <w:tcPr>
            <w:tcW w:w="7304" w:type="dxa"/>
            <w:tcBorders>
              <w:bottom w:val="single" w:color="auto" w:sz="4" w:space="0"/>
            </w:tcBorders>
            <w:noWrap w:val="0"/>
            <w:vAlign w:val="center"/>
          </w:tcPr>
          <w:p w14:paraId="53F40EB0">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付款周期</w:t>
            </w:r>
          </w:p>
          <w:p w14:paraId="00C86B0B">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关于付款周期的约定：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62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DE722B9">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E7A90FE">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15.2.1</w:t>
            </w:r>
          </w:p>
        </w:tc>
        <w:tc>
          <w:tcPr>
            <w:tcW w:w="7304" w:type="dxa"/>
            <w:noWrap w:val="0"/>
            <w:vAlign w:val="center"/>
          </w:tcPr>
          <w:p w14:paraId="045D522C">
            <w:pPr>
              <w:snapToGrid w:val="0"/>
              <w:spacing w:line="360" w:lineRule="auto"/>
              <w:rPr>
                <w:rFonts w:hint="eastAsia" w:ascii="Times New Roman" w:cs="宋体"/>
                <w:bCs/>
                <w:color w:val="000000"/>
                <w:kern w:val="2"/>
                <w:sz w:val="24"/>
                <w:szCs w:val="24"/>
              </w:rPr>
            </w:pPr>
            <w:r>
              <w:rPr>
                <w:rFonts w:ascii="Times New Roman"/>
                <w:color w:val="000000"/>
                <w:sz w:val="24"/>
                <w:szCs w:val="24"/>
              </w:rPr>
              <w:t>缺陷责任期的具体期限：</w:t>
            </w:r>
            <w:r>
              <w:rPr>
                <w:rFonts w:ascii="Times New Roman"/>
                <w:color w:val="000000"/>
                <w:sz w:val="24"/>
                <w:szCs w:val="24"/>
                <w:u w:val="single"/>
              </w:rPr>
              <w:t xml:space="preserve">           </w:t>
            </w:r>
            <w:r>
              <w:rPr>
                <w:rFonts w:ascii="Times New Roman"/>
                <w:color w:val="000000"/>
                <w:sz w:val="24"/>
                <w:szCs w:val="24"/>
              </w:rPr>
              <w:t>。</w:t>
            </w:r>
          </w:p>
        </w:tc>
      </w:tr>
      <w:tr w14:paraId="34B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A34BC9A">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5663686">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15.3.1</w:t>
            </w:r>
          </w:p>
        </w:tc>
        <w:tc>
          <w:tcPr>
            <w:tcW w:w="7304" w:type="dxa"/>
            <w:noWrap w:val="0"/>
            <w:vAlign w:val="center"/>
          </w:tcPr>
          <w:p w14:paraId="69B35452">
            <w:pPr>
              <w:adjustRightInd w:val="0"/>
              <w:spacing w:line="360" w:lineRule="auto"/>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026CF50B">
            <w:pPr>
              <w:adjustRightInd w:val="0"/>
              <w:spacing w:line="360" w:lineRule="auto"/>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 xml:space="preserve">     </w:t>
            </w:r>
            <w:r>
              <w:rPr>
                <w:rFonts w:ascii="Times New Roman"/>
                <w:color w:val="000000"/>
                <w:sz w:val="24"/>
                <w:szCs w:val="24"/>
              </w:rPr>
              <w:t>；</w:t>
            </w:r>
          </w:p>
          <w:p w14:paraId="537DC7BE">
            <w:pPr>
              <w:adjustRightInd w:val="0"/>
              <w:spacing w:line="360" w:lineRule="auto"/>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 xml:space="preserve">   </w:t>
            </w:r>
            <w:r>
              <w:rPr>
                <w:rFonts w:ascii="Times New Roman"/>
                <w:color w:val="000000"/>
                <w:sz w:val="24"/>
                <w:szCs w:val="24"/>
              </w:rPr>
              <w:t>%的工程款；</w:t>
            </w:r>
          </w:p>
          <w:p w14:paraId="3C9947D8">
            <w:pPr>
              <w:adjustRightInd w:val="0"/>
              <w:spacing w:line="360" w:lineRule="auto"/>
              <w:rPr>
                <w:rFonts w:hint="eastAsia" w:ascii="Times New Roman" w:cs="宋体"/>
                <w:bCs/>
                <w:color w:val="000000"/>
                <w:kern w:val="2"/>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tc>
      </w:tr>
    </w:tbl>
    <w:p w14:paraId="08CAD135">
      <w:pPr>
        <w:pStyle w:val="2"/>
        <w:numPr>
          <w:ilvl w:val="0"/>
          <w:numId w:val="0"/>
        </w:numPr>
        <w:rPr>
          <w:rFonts w:hint="eastAsia"/>
          <w:sz w:val="24"/>
          <w:szCs w:val="24"/>
        </w:rPr>
      </w:pPr>
      <w:r>
        <w:rPr>
          <w:rFonts w:ascii="Times New Roman"/>
          <w:color w:val="000000"/>
          <w:sz w:val="24"/>
          <w:szCs w:val="24"/>
        </w:rPr>
        <w:br w:type="page"/>
      </w:r>
    </w:p>
    <w:p w14:paraId="5CE38DA7">
      <w:pPr>
        <w:spacing w:before="240" w:beforeLines="100" w:after="240" w:afterLines="100"/>
        <w:outlineLvl w:val="2"/>
        <w:rPr>
          <w:rFonts w:ascii="Times New Roman" w:eastAsia="黑体"/>
          <w:color w:val="000000"/>
          <w:sz w:val="24"/>
          <w:szCs w:val="24"/>
        </w:rPr>
      </w:pPr>
      <w:bookmarkStart w:id="50" w:name="_Toc351203633"/>
      <w:r>
        <w:rPr>
          <w:rFonts w:ascii="Times New Roman" w:eastAsia="黑体"/>
          <w:color w:val="000000"/>
          <w:sz w:val="24"/>
          <w:szCs w:val="24"/>
        </w:rPr>
        <w:t>1</w:t>
      </w:r>
      <w:bookmarkStart w:id="51" w:name="_Toc297120456"/>
      <w:bookmarkStart w:id="52" w:name="_Toc296944495"/>
      <w:bookmarkStart w:id="53" w:name="_Toc292559361"/>
      <w:bookmarkStart w:id="54" w:name="_Toc296503156"/>
      <w:bookmarkStart w:id="55" w:name="_Toc296346657"/>
      <w:bookmarkStart w:id="56" w:name="_Toc296347155"/>
      <w:bookmarkStart w:id="57" w:name="_Toc297048342"/>
      <w:bookmarkStart w:id="58" w:name="_Toc296890984"/>
      <w:bookmarkStart w:id="59" w:name="_Toc292559866"/>
      <w:bookmarkStart w:id="60" w:name="_Toc296891196"/>
      <w:r>
        <w:rPr>
          <w:rFonts w:ascii="Times New Roman" w:eastAsia="黑体"/>
          <w:color w:val="000000"/>
          <w:sz w:val="24"/>
          <w:szCs w:val="24"/>
        </w:rPr>
        <w:t>. 一般约定</w:t>
      </w:r>
    </w:p>
    <w:bookmarkEnd w:id="51"/>
    <w:bookmarkEnd w:id="52"/>
    <w:bookmarkEnd w:id="53"/>
    <w:bookmarkEnd w:id="54"/>
    <w:bookmarkEnd w:id="55"/>
    <w:bookmarkEnd w:id="56"/>
    <w:bookmarkEnd w:id="57"/>
    <w:bookmarkEnd w:id="58"/>
    <w:bookmarkEnd w:id="59"/>
    <w:bookmarkEnd w:id="60"/>
    <w:p w14:paraId="4F0F07B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w:t>
      </w:r>
      <w:r>
        <w:rPr>
          <w:rFonts w:hint="eastAsia" w:ascii="Times New Roman" w:eastAsia="黑体"/>
          <w:bCs/>
          <w:color w:val="000000"/>
          <w:sz w:val="24"/>
          <w:szCs w:val="24"/>
        </w:rPr>
        <w:t xml:space="preserve"> 词语定义与解释</w:t>
      </w:r>
    </w:p>
    <w:p w14:paraId="355131F0">
      <w:pPr>
        <w:adjustRightInd w:val="0"/>
        <w:spacing w:line="360" w:lineRule="auto"/>
        <w:ind w:firstLine="480" w:firstLineChars="200"/>
        <w:rPr>
          <w:rFonts w:ascii="Times New Roman"/>
          <w:color w:val="000000"/>
          <w:sz w:val="24"/>
          <w:szCs w:val="24"/>
        </w:rPr>
      </w:pPr>
      <w:r>
        <w:rPr>
          <w:rFonts w:ascii="Times New Roman"/>
          <w:color w:val="000000"/>
          <w:sz w:val="24"/>
          <w:szCs w:val="24"/>
        </w:rPr>
        <w:t>1.1.1</w:t>
      </w:r>
      <w:r>
        <w:rPr>
          <w:rFonts w:hint="eastAsia" w:ascii="Times New Roman"/>
          <w:color w:val="000000"/>
          <w:sz w:val="24"/>
          <w:szCs w:val="24"/>
        </w:rPr>
        <w:t xml:space="preserve"> </w:t>
      </w:r>
      <w:r>
        <w:rPr>
          <w:rFonts w:ascii="Times New Roman"/>
          <w:color w:val="000000"/>
          <w:sz w:val="24"/>
          <w:szCs w:val="24"/>
        </w:rPr>
        <w:t>合同</w:t>
      </w:r>
    </w:p>
    <w:p w14:paraId="4D365AF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1.1.1.10</w:t>
      </w:r>
      <w:r>
        <w:rPr>
          <w:rFonts w:hint="eastAsia" w:ascii="Times New Roman"/>
          <w:color w:val="000000"/>
          <w:sz w:val="24"/>
          <w:szCs w:val="24"/>
        </w:rPr>
        <w:t xml:space="preserve"> </w:t>
      </w:r>
      <w:r>
        <w:rPr>
          <w:rFonts w:ascii="Times New Roman"/>
          <w:color w:val="000000"/>
          <w:sz w:val="24"/>
          <w:szCs w:val="24"/>
        </w:rPr>
        <w:t>其他合同文件包括：</w:t>
      </w:r>
      <w:r>
        <w:rPr>
          <w:rFonts w:ascii="Times New Roman"/>
          <w:color w:val="000000"/>
          <w:sz w:val="24"/>
          <w:szCs w:val="24"/>
          <w:u w:val="single"/>
        </w:rPr>
        <w:t xml:space="preserve">                 </w:t>
      </w:r>
    </w:p>
    <w:p w14:paraId="42180D12">
      <w:pPr>
        <w:adjustRightInd w:val="0"/>
        <w:spacing w:line="360" w:lineRule="auto"/>
        <w:ind w:firstLine="480" w:firstLineChars="200"/>
        <w:rPr>
          <w:rFonts w:ascii="Times New Roman"/>
          <w:color w:val="000000"/>
          <w:sz w:val="24"/>
          <w:szCs w:val="24"/>
        </w:rPr>
      </w:pPr>
      <w:r>
        <w:rPr>
          <w:rFonts w:ascii="Times New Roman"/>
          <w:color w:val="000000"/>
          <w:sz w:val="24"/>
          <w:szCs w:val="24"/>
        </w:rPr>
        <w:t>1.1.2 合同当事人及其他相关方</w:t>
      </w:r>
    </w:p>
    <w:p w14:paraId="28A34459">
      <w:pPr>
        <w:adjustRightInd w:val="0"/>
        <w:spacing w:line="360" w:lineRule="auto"/>
        <w:ind w:firstLine="480" w:firstLineChars="200"/>
        <w:rPr>
          <w:rFonts w:ascii="Times New Roman"/>
          <w:color w:val="000000"/>
          <w:sz w:val="24"/>
          <w:szCs w:val="24"/>
        </w:rPr>
      </w:pPr>
      <w:r>
        <w:rPr>
          <w:rFonts w:ascii="Times New Roman"/>
          <w:color w:val="000000"/>
          <w:sz w:val="24"/>
          <w:szCs w:val="24"/>
        </w:rPr>
        <w:t>1.1.2.4</w:t>
      </w:r>
      <w:r>
        <w:rPr>
          <w:rFonts w:hint="eastAsia" w:ascii="Times New Roman"/>
          <w:color w:val="000000"/>
          <w:sz w:val="24"/>
          <w:szCs w:val="24"/>
        </w:rPr>
        <w:t xml:space="preserve"> </w:t>
      </w:r>
      <w:r>
        <w:rPr>
          <w:rFonts w:ascii="Times New Roman"/>
          <w:color w:val="000000"/>
          <w:sz w:val="24"/>
          <w:szCs w:val="24"/>
        </w:rPr>
        <w:t>监理人：</w:t>
      </w:r>
    </w:p>
    <w:p w14:paraId="7FB2CD0C">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0C715062">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76FB0034">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200A5C32">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32778437">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3924087E">
      <w:pPr>
        <w:adjustRightInd w:val="0"/>
        <w:spacing w:line="360" w:lineRule="auto"/>
        <w:ind w:firstLine="480" w:firstLineChars="200"/>
        <w:rPr>
          <w:rFonts w:ascii="Times New Roman"/>
          <w:color w:val="000000"/>
          <w:sz w:val="24"/>
          <w:szCs w:val="24"/>
        </w:rPr>
      </w:pPr>
      <w:r>
        <w:rPr>
          <w:rFonts w:ascii="Times New Roman"/>
          <w:color w:val="000000"/>
          <w:sz w:val="24"/>
          <w:szCs w:val="24"/>
        </w:rPr>
        <w:t>1.1.2.5 设计人：</w:t>
      </w:r>
    </w:p>
    <w:p w14:paraId="701CF107">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41D1AA13">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1CFF4903">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CF0C490">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564F2C24">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1D843D05">
      <w:pPr>
        <w:adjustRightInd w:val="0"/>
        <w:spacing w:line="360" w:lineRule="auto"/>
        <w:ind w:firstLine="480" w:firstLineChars="200"/>
        <w:rPr>
          <w:rFonts w:ascii="Times New Roman"/>
          <w:color w:val="000000"/>
          <w:sz w:val="24"/>
          <w:szCs w:val="24"/>
        </w:rPr>
      </w:pPr>
      <w:r>
        <w:rPr>
          <w:rFonts w:ascii="Times New Roman"/>
          <w:color w:val="000000"/>
          <w:sz w:val="24"/>
          <w:szCs w:val="24"/>
        </w:rPr>
        <w:t>1.1.3 工程和设备</w:t>
      </w:r>
    </w:p>
    <w:p w14:paraId="01BF6B64">
      <w:pPr>
        <w:adjustRightInd w:val="0"/>
        <w:spacing w:line="360" w:lineRule="auto"/>
        <w:ind w:firstLine="480" w:firstLineChars="200"/>
        <w:rPr>
          <w:rFonts w:ascii="Times New Roman"/>
          <w:color w:val="000000"/>
          <w:sz w:val="24"/>
          <w:szCs w:val="24"/>
        </w:rPr>
      </w:pPr>
      <w:r>
        <w:rPr>
          <w:rFonts w:ascii="Times New Roman"/>
          <w:color w:val="000000"/>
          <w:sz w:val="24"/>
          <w:szCs w:val="24"/>
        </w:rPr>
        <w:t>1.1.3.7 作为施工现场组成部分的其他场所包括：</w:t>
      </w:r>
      <w:r>
        <w:rPr>
          <w:rFonts w:ascii="Times New Roman"/>
          <w:color w:val="000000"/>
          <w:sz w:val="24"/>
          <w:szCs w:val="24"/>
          <w:u w:val="single"/>
        </w:rPr>
        <w:t xml:space="preserve">                 </w:t>
      </w:r>
      <w:r>
        <w:rPr>
          <w:rFonts w:ascii="Times New Roman"/>
          <w:color w:val="000000"/>
          <w:sz w:val="24"/>
          <w:szCs w:val="24"/>
        </w:rPr>
        <w:t>。</w:t>
      </w:r>
    </w:p>
    <w:p w14:paraId="5DEB307D">
      <w:pPr>
        <w:adjustRightInd w:val="0"/>
        <w:spacing w:line="360" w:lineRule="auto"/>
        <w:ind w:firstLine="480" w:firstLineChars="200"/>
        <w:rPr>
          <w:rFonts w:ascii="Times New Roman"/>
          <w:color w:val="000000"/>
          <w:sz w:val="24"/>
          <w:szCs w:val="24"/>
        </w:rPr>
      </w:pPr>
      <w:r>
        <w:rPr>
          <w:rFonts w:ascii="Times New Roman"/>
          <w:color w:val="000000"/>
          <w:sz w:val="24"/>
          <w:szCs w:val="24"/>
        </w:rPr>
        <w:t>1.1.3.9 永久占地包括：</w:t>
      </w:r>
      <w:r>
        <w:rPr>
          <w:rFonts w:ascii="Times New Roman"/>
          <w:color w:val="000000"/>
          <w:sz w:val="24"/>
          <w:szCs w:val="24"/>
          <w:u w:val="single"/>
        </w:rPr>
        <w:t xml:space="preserve">                 </w:t>
      </w:r>
      <w:r>
        <w:rPr>
          <w:rFonts w:ascii="Times New Roman"/>
          <w:color w:val="000000"/>
          <w:sz w:val="24"/>
          <w:szCs w:val="24"/>
        </w:rPr>
        <w:t>。</w:t>
      </w:r>
    </w:p>
    <w:p w14:paraId="4492C9F8">
      <w:pPr>
        <w:adjustRightInd w:val="0"/>
        <w:spacing w:line="360" w:lineRule="auto"/>
        <w:ind w:firstLine="480" w:firstLineChars="200"/>
        <w:rPr>
          <w:rFonts w:ascii="Times New Roman"/>
          <w:color w:val="000000"/>
          <w:sz w:val="24"/>
          <w:szCs w:val="24"/>
        </w:rPr>
      </w:pPr>
      <w:r>
        <w:rPr>
          <w:rFonts w:ascii="Times New Roman"/>
          <w:color w:val="000000"/>
          <w:sz w:val="24"/>
          <w:szCs w:val="24"/>
        </w:rPr>
        <w:t>1.1.3.10 临时占地包括：</w:t>
      </w:r>
      <w:r>
        <w:rPr>
          <w:rFonts w:ascii="Times New Roman"/>
          <w:color w:val="000000"/>
          <w:sz w:val="24"/>
          <w:szCs w:val="24"/>
          <w:u w:val="single"/>
        </w:rPr>
        <w:t xml:space="preserve">                 </w:t>
      </w:r>
      <w:r>
        <w:rPr>
          <w:rFonts w:ascii="Times New Roman"/>
          <w:color w:val="000000"/>
          <w:sz w:val="24"/>
          <w:szCs w:val="24"/>
        </w:rPr>
        <w:t>。</w:t>
      </w:r>
    </w:p>
    <w:p w14:paraId="78C5AB3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w:t>
      </w:r>
      <w:r>
        <w:rPr>
          <w:rFonts w:hint="eastAsia" w:ascii="Times New Roman" w:eastAsia="黑体"/>
          <w:bCs/>
          <w:color w:val="000000"/>
          <w:sz w:val="24"/>
          <w:szCs w:val="24"/>
        </w:rPr>
        <w:t xml:space="preserve"> </w:t>
      </w:r>
      <w:r>
        <w:rPr>
          <w:rFonts w:ascii="Times New Roman" w:eastAsia="黑体"/>
          <w:bCs/>
          <w:color w:val="000000"/>
          <w:sz w:val="24"/>
          <w:szCs w:val="24"/>
        </w:rPr>
        <w:t xml:space="preserve">法律 </w:t>
      </w:r>
    </w:p>
    <w:p w14:paraId="06B69D9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适用于合同的其他规范性文件：</w:t>
      </w:r>
      <w:r>
        <w:rPr>
          <w:rFonts w:hint="eastAsia" w:ascii="Times New Roman"/>
          <w:color w:val="000000"/>
          <w:sz w:val="24"/>
          <w:szCs w:val="24"/>
          <w:u w:val="single"/>
        </w:rPr>
        <w:t>《中华人民共和国民法典》《中华人民共和国建筑法》《中华人民共和国招标投标法》《建设工程质量管理条例》《建设工程安全生产管理条例》《合肥市公共资源交易管理条例》等国家及工程所在地现行有效的法律法规和规章</w:t>
      </w:r>
      <w:r>
        <w:rPr>
          <w:rFonts w:hint="eastAsia" w:ascii="Times New Roman"/>
          <w:color w:val="000000"/>
          <w:sz w:val="24"/>
          <w:szCs w:val="24"/>
        </w:rPr>
        <w:t>。</w:t>
      </w:r>
    </w:p>
    <w:p w14:paraId="19459E1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 标准和规范</w:t>
      </w:r>
    </w:p>
    <w:p w14:paraId="5C116CA1">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1.4.1</w:t>
      </w:r>
      <w:r>
        <w:rPr>
          <w:rFonts w:hint="eastAsia" w:ascii="Times New Roman"/>
          <w:color w:val="000000"/>
          <w:sz w:val="24"/>
          <w:szCs w:val="24"/>
        </w:rPr>
        <w:t xml:space="preserve"> </w:t>
      </w:r>
      <w:r>
        <w:rPr>
          <w:rFonts w:ascii="Times New Roman"/>
          <w:color w:val="000000"/>
          <w:sz w:val="24"/>
          <w:szCs w:val="24"/>
        </w:rPr>
        <w:t>适用于工程的标准规范包括：</w:t>
      </w:r>
      <w:r>
        <w:rPr>
          <w:rFonts w:hint="eastAsia" w:ascii="Times New Roman"/>
          <w:color w:val="000000"/>
          <w:sz w:val="24"/>
          <w:szCs w:val="24"/>
          <w:u w:val="single"/>
        </w:rPr>
        <w:t xml:space="preserve">          </w:t>
      </w:r>
      <w:r>
        <w:rPr>
          <w:rFonts w:hint="eastAsia" w:ascii="Times New Roman"/>
          <w:color w:val="000000"/>
          <w:sz w:val="24"/>
          <w:szCs w:val="24"/>
        </w:rPr>
        <w:t>。</w:t>
      </w:r>
    </w:p>
    <w:p w14:paraId="13C7B75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1.4.2 发包人提供国外标准、规范的名称：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C710042">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1073364">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w:t>
      </w:r>
      <w:r>
        <w:rPr>
          <w:rFonts w:hint="eastAsia" w:ascii="Times New Roman"/>
          <w:color w:val="000000"/>
          <w:sz w:val="24"/>
          <w:szCs w:val="24"/>
        </w:rPr>
        <w:t>时间</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8B9EBF7">
      <w:pPr>
        <w:adjustRightInd w:val="0"/>
        <w:spacing w:line="360" w:lineRule="auto"/>
        <w:ind w:firstLine="480" w:firstLineChars="200"/>
        <w:rPr>
          <w:rFonts w:ascii="Times New Roman"/>
          <w:color w:val="000000"/>
          <w:sz w:val="24"/>
          <w:szCs w:val="24"/>
        </w:rPr>
      </w:pPr>
      <w:r>
        <w:rPr>
          <w:rFonts w:ascii="Times New Roman"/>
          <w:color w:val="000000"/>
          <w:sz w:val="24"/>
          <w:szCs w:val="24"/>
        </w:rPr>
        <w:t>1.4.3</w:t>
      </w:r>
      <w:r>
        <w:rPr>
          <w:rFonts w:hint="eastAsia" w:ascii="Times New Roman"/>
          <w:color w:val="000000"/>
          <w:sz w:val="24"/>
          <w:szCs w:val="24"/>
        </w:rPr>
        <w:t xml:space="preserve"> </w:t>
      </w:r>
      <w:r>
        <w:rPr>
          <w:rFonts w:ascii="Times New Roman"/>
          <w:color w:val="000000"/>
          <w:sz w:val="24"/>
          <w:szCs w:val="24"/>
        </w:rPr>
        <w:t>发包人对工程的技术标准和功能要求的特殊要求：</w:t>
      </w:r>
      <w:r>
        <w:rPr>
          <w:rFonts w:hint="eastAsia" w:ascii="Times New Roman"/>
          <w:color w:val="000000"/>
          <w:sz w:val="24"/>
          <w:szCs w:val="24"/>
          <w:u w:val="single"/>
        </w:rPr>
        <w:t xml:space="preserve">          </w:t>
      </w:r>
      <w:r>
        <w:rPr>
          <w:rFonts w:ascii="Times New Roman"/>
          <w:color w:val="000000"/>
          <w:sz w:val="24"/>
          <w:szCs w:val="24"/>
        </w:rPr>
        <w:t>。</w:t>
      </w:r>
    </w:p>
    <w:p w14:paraId="5E47052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 合同文件的优先顺序</w:t>
      </w:r>
    </w:p>
    <w:p w14:paraId="2755153A">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合同文件组成及优先顺序为：</w:t>
      </w:r>
      <w:r>
        <w:rPr>
          <w:rFonts w:hint="eastAsia" w:ascii="Times New Roman"/>
          <w:color w:val="000000"/>
          <w:sz w:val="24"/>
          <w:szCs w:val="24"/>
          <w:u w:val="single"/>
        </w:rPr>
        <w:t xml:space="preserve">          </w:t>
      </w:r>
    </w:p>
    <w:p w14:paraId="22B0A39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 图纸和承包人文件</w:t>
      </w:r>
      <w:r>
        <w:rPr>
          <w:rFonts w:ascii="Times New Roman" w:eastAsia="黑体"/>
          <w:bCs/>
          <w:color w:val="000000"/>
          <w:sz w:val="24"/>
          <w:szCs w:val="24"/>
        </w:rPr>
        <w:tab/>
      </w:r>
    </w:p>
    <w:p w14:paraId="08115EA8">
      <w:pPr>
        <w:adjustRightInd w:val="0"/>
        <w:spacing w:line="360" w:lineRule="auto"/>
        <w:ind w:firstLine="480" w:firstLineChars="200"/>
        <w:rPr>
          <w:rFonts w:ascii="Times New Roman"/>
          <w:color w:val="000000"/>
          <w:sz w:val="24"/>
          <w:szCs w:val="24"/>
        </w:rPr>
      </w:pPr>
      <w:r>
        <w:rPr>
          <w:rFonts w:ascii="Times New Roman"/>
          <w:color w:val="000000"/>
          <w:sz w:val="24"/>
          <w:szCs w:val="24"/>
        </w:rPr>
        <w:t>1.6.1</w:t>
      </w:r>
      <w:r>
        <w:rPr>
          <w:rFonts w:hint="eastAsia" w:ascii="Times New Roman"/>
          <w:color w:val="000000"/>
          <w:sz w:val="24"/>
          <w:szCs w:val="24"/>
        </w:rPr>
        <w:t xml:space="preserve"> 图纸的提供和交底</w:t>
      </w:r>
    </w:p>
    <w:p w14:paraId="4625713C">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发包人向承包人提供图纸的期限：</w:t>
      </w:r>
      <w:r>
        <w:rPr>
          <w:rFonts w:hint="eastAsia" w:ascii="Times New Roman"/>
          <w:color w:val="000000"/>
          <w:sz w:val="24"/>
          <w:szCs w:val="24"/>
          <w:u w:val="single"/>
        </w:rPr>
        <w:t xml:space="preserve">          </w:t>
      </w:r>
      <w:r>
        <w:rPr>
          <w:rFonts w:ascii="Times New Roman"/>
          <w:color w:val="000000"/>
          <w:sz w:val="24"/>
          <w:szCs w:val="24"/>
        </w:rPr>
        <w:t>；</w:t>
      </w:r>
    </w:p>
    <w:p w14:paraId="5A4B2E7B">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发包人向承包人提供图纸的数量：</w:t>
      </w:r>
      <w:r>
        <w:rPr>
          <w:rFonts w:hint="eastAsia" w:ascii="Times New Roman"/>
          <w:color w:val="000000"/>
          <w:sz w:val="24"/>
          <w:szCs w:val="24"/>
          <w:u w:val="single"/>
        </w:rPr>
        <w:t>提供</w:t>
      </w:r>
      <w:r>
        <w:rPr>
          <w:rFonts w:ascii="Times New Roman"/>
          <w:color w:val="000000"/>
          <w:sz w:val="24"/>
          <w:szCs w:val="24"/>
          <w:u w:val="single"/>
        </w:rPr>
        <w:t xml:space="preserve">  </w:t>
      </w:r>
      <w:r>
        <w:rPr>
          <w:rFonts w:hint="eastAsia" w:ascii="Times New Roman"/>
          <w:color w:val="000000"/>
          <w:sz w:val="24"/>
          <w:szCs w:val="24"/>
          <w:u w:val="single"/>
        </w:rPr>
        <w:t xml:space="preserve"> 套（含竣工图</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套），不足的由承包人自行复制，费用自理；</w:t>
      </w:r>
    </w:p>
    <w:p w14:paraId="4D68A23A">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发包人向承包人提供图纸的内容：</w:t>
      </w:r>
      <w:r>
        <w:rPr>
          <w:rFonts w:hint="eastAsia" w:ascii="Times New Roman"/>
          <w:color w:val="000000"/>
          <w:sz w:val="24"/>
          <w:szCs w:val="24"/>
          <w:u w:val="single"/>
        </w:rPr>
        <w:t xml:space="preserve">          </w:t>
      </w:r>
      <w:r>
        <w:rPr>
          <w:rFonts w:ascii="Times New Roman"/>
          <w:color w:val="000000"/>
          <w:sz w:val="24"/>
          <w:szCs w:val="24"/>
        </w:rPr>
        <w:t>。</w:t>
      </w:r>
    </w:p>
    <w:p w14:paraId="14090269">
      <w:pPr>
        <w:adjustRightInd w:val="0"/>
        <w:spacing w:line="360" w:lineRule="auto"/>
        <w:ind w:firstLine="480" w:firstLineChars="200"/>
        <w:rPr>
          <w:rFonts w:ascii="Times New Roman"/>
          <w:color w:val="000000"/>
          <w:sz w:val="24"/>
          <w:szCs w:val="24"/>
        </w:rPr>
      </w:pPr>
      <w:r>
        <w:rPr>
          <w:rFonts w:ascii="Times New Roman"/>
          <w:color w:val="000000"/>
          <w:sz w:val="24"/>
          <w:szCs w:val="24"/>
        </w:rPr>
        <w:t>1.6.4 承包人文件</w:t>
      </w:r>
    </w:p>
    <w:p w14:paraId="0B6670B9">
      <w:pPr>
        <w:adjustRightInd w:val="0"/>
        <w:spacing w:line="360" w:lineRule="auto"/>
        <w:ind w:firstLine="480" w:firstLineChars="200"/>
        <w:rPr>
          <w:rFonts w:ascii="Times New Roman"/>
          <w:color w:val="000000"/>
          <w:sz w:val="24"/>
          <w:szCs w:val="24"/>
        </w:rPr>
      </w:pPr>
      <w:r>
        <w:rPr>
          <w:rFonts w:ascii="Times New Roman"/>
          <w:color w:val="000000"/>
          <w:sz w:val="24"/>
          <w:szCs w:val="24"/>
        </w:rPr>
        <w:t>需要由承包人提供的文件，包括：</w:t>
      </w:r>
      <w:r>
        <w:rPr>
          <w:rFonts w:hint="eastAsia" w:ascii="Times New Roman"/>
          <w:color w:val="000000"/>
          <w:sz w:val="24"/>
          <w:szCs w:val="24"/>
          <w:u w:val="single"/>
        </w:rPr>
        <w:t xml:space="preserve">          </w:t>
      </w:r>
      <w:r>
        <w:rPr>
          <w:rFonts w:ascii="Times New Roman"/>
          <w:color w:val="000000"/>
          <w:sz w:val="24"/>
          <w:szCs w:val="24"/>
        </w:rPr>
        <w:t>；</w:t>
      </w:r>
    </w:p>
    <w:p w14:paraId="520B4048">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承包人提供的文件的期限为：</w:t>
      </w:r>
      <w:r>
        <w:rPr>
          <w:rFonts w:hint="eastAsia" w:ascii="Times New Roman"/>
          <w:color w:val="000000"/>
          <w:sz w:val="24"/>
          <w:szCs w:val="24"/>
          <w:u w:val="single"/>
        </w:rPr>
        <w:t xml:space="preserve">          </w:t>
      </w:r>
      <w:r>
        <w:rPr>
          <w:rFonts w:ascii="Times New Roman"/>
          <w:color w:val="000000"/>
          <w:sz w:val="24"/>
          <w:szCs w:val="24"/>
        </w:rPr>
        <w:t>；</w:t>
      </w:r>
    </w:p>
    <w:p w14:paraId="4A644B5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承包人提供的文件的数量为：</w:t>
      </w:r>
      <w:r>
        <w:rPr>
          <w:rFonts w:hint="eastAsia" w:ascii="Times New Roman"/>
          <w:color w:val="000000"/>
          <w:sz w:val="24"/>
          <w:szCs w:val="24"/>
          <w:u w:val="single"/>
        </w:rPr>
        <w:t xml:space="preserve">          </w:t>
      </w:r>
      <w:r>
        <w:rPr>
          <w:rFonts w:ascii="Times New Roman"/>
          <w:color w:val="000000"/>
          <w:sz w:val="24"/>
          <w:szCs w:val="24"/>
        </w:rPr>
        <w:t>；</w:t>
      </w:r>
    </w:p>
    <w:p w14:paraId="6DD9672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承包人提供的文件的形式为：</w:t>
      </w:r>
      <w:r>
        <w:rPr>
          <w:rFonts w:hint="eastAsia" w:ascii="Times New Roman"/>
          <w:color w:val="000000"/>
          <w:sz w:val="24"/>
          <w:szCs w:val="24"/>
          <w:u w:val="single"/>
        </w:rPr>
        <w:t xml:space="preserve">          </w:t>
      </w:r>
      <w:r>
        <w:rPr>
          <w:rFonts w:ascii="Times New Roman"/>
          <w:color w:val="000000"/>
          <w:sz w:val="24"/>
          <w:szCs w:val="24"/>
        </w:rPr>
        <w:t>；</w:t>
      </w:r>
    </w:p>
    <w:p w14:paraId="10AF4C6F">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承包人文件的期限：</w:t>
      </w:r>
      <w:r>
        <w:rPr>
          <w:rFonts w:hint="eastAsia" w:ascii="Times New Roman"/>
          <w:color w:val="000000"/>
          <w:sz w:val="24"/>
          <w:szCs w:val="24"/>
          <w:u w:val="single"/>
        </w:rPr>
        <w:t xml:space="preserve">          </w:t>
      </w:r>
      <w:r>
        <w:rPr>
          <w:rFonts w:ascii="Times New Roman"/>
          <w:color w:val="000000"/>
          <w:sz w:val="24"/>
          <w:szCs w:val="24"/>
        </w:rPr>
        <w:t>。</w:t>
      </w:r>
    </w:p>
    <w:p w14:paraId="6787C7B8">
      <w:pPr>
        <w:adjustRightInd w:val="0"/>
        <w:spacing w:line="360" w:lineRule="auto"/>
        <w:ind w:firstLine="480" w:firstLineChars="200"/>
        <w:rPr>
          <w:rFonts w:ascii="Times New Roman"/>
          <w:color w:val="000000"/>
          <w:sz w:val="24"/>
          <w:szCs w:val="24"/>
        </w:rPr>
      </w:pPr>
      <w:r>
        <w:rPr>
          <w:rFonts w:ascii="Times New Roman"/>
          <w:color w:val="000000"/>
          <w:sz w:val="24"/>
          <w:szCs w:val="24"/>
        </w:rPr>
        <w:t>1.6.5</w:t>
      </w:r>
      <w:r>
        <w:rPr>
          <w:rFonts w:hint="eastAsia" w:ascii="Times New Roman"/>
          <w:color w:val="000000"/>
          <w:sz w:val="24"/>
          <w:szCs w:val="24"/>
        </w:rPr>
        <w:t xml:space="preserve"> 图纸和承包人文件的保管</w:t>
      </w:r>
    </w:p>
    <w:p w14:paraId="0D64B0DD">
      <w:pPr>
        <w:adjustRightInd w:val="0"/>
        <w:spacing w:line="360" w:lineRule="auto"/>
        <w:ind w:firstLine="480" w:firstLineChars="200"/>
        <w:rPr>
          <w:rFonts w:ascii="Times New Roman"/>
          <w:color w:val="000000"/>
          <w:sz w:val="24"/>
          <w:szCs w:val="24"/>
        </w:rPr>
      </w:pPr>
      <w:r>
        <w:rPr>
          <w:rFonts w:ascii="Times New Roman"/>
          <w:color w:val="000000"/>
          <w:sz w:val="24"/>
          <w:szCs w:val="24"/>
        </w:rPr>
        <w:t>关于</w:t>
      </w:r>
      <w:r>
        <w:rPr>
          <w:rFonts w:hint="eastAsia" w:ascii="Times New Roman"/>
          <w:color w:val="000000"/>
          <w:sz w:val="24"/>
          <w:szCs w:val="24"/>
        </w:rPr>
        <w:t>图纸和承包人文件保管</w:t>
      </w:r>
      <w:r>
        <w:rPr>
          <w:rFonts w:ascii="Times New Roman"/>
          <w:color w:val="000000"/>
          <w:sz w:val="24"/>
          <w:szCs w:val="24"/>
        </w:rPr>
        <w:t>的约定：</w:t>
      </w:r>
      <w:r>
        <w:rPr>
          <w:rFonts w:hint="eastAsia" w:ascii="Times New Roman"/>
          <w:color w:val="000000"/>
          <w:sz w:val="24"/>
          <w:szCs w:val="24"/>
          <w:u w:val="single"/>
        </w:rPr>
        <w:t xml:space="preserve">          </w:t>
      </w:r>
      <w:r>
        <w:rPr>
          <w:rFonts w:ascii="Times New Roman"/>
          <w:color w:val="000000"/>
          <w:sz w:val="24"/>
          <w:szCs w:val="24"/>
        </w:rPr>
        <w:t>。</w:t>
      </w:r>
    </w:p>
    <w:p w14:paraId="4A40624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 联络</w:t>
      </w:r>
    </w:p>
    <w:p w14:paraId="451BE3A5">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1.7.1</w:t>
      </w:r>
      <w:r>
        <w:rPr>
          <w:rFonts w:hint="eastAsia" w:ascii="Times New Roman"/>
          <w:color w:val="000000"/>
          <w:sz w:val="24"/>
          <w:szCs w:val="24"/>
        </w:rPr>
        <w:t xml:space="preserve"> </w:t>
      </w:r>
      <w:r>
        <w:rPr>
          <w:rFonts w:ascii="Times New Roman"/>
          <w:color w:val="000000"/>
          <w:sz w:val="24"/>
          <w:szCs w:val="24"/>
        </w:rPr>
        <w:t>发包人和承包人应当在</w:t>
      </w:r>
      <w:r>
        <w:rPr>
          <w:rFonts w:hint="eastAsia" w:ascii="Times New Roman"/>
          <w:color w:val="000000"/>
          <w:sz w:val="24"/>
          <w:szCs w:val="24"/>
          <w:u w:val="single"/>
        </w:rPr>
        <w:t>7</w:t>
      </w:r>
      <w:r>
        <w:rPr>
          <w:rFonts w:ascii="Times New Roman"/>
          <w:color w:val="000000"/>
          <w:sz w:val="24"/>
          <w:szCs w:val="24"/>
        </w:rPr>
        <w:t>天内将与合同有关的通知、批准、证明、证书、指示、指令、要求、请求、同意、意见、确定和决定等书面函件送达对方当事人</w:t>
      </w:r>
      <w:r>
        <w:rPr>
          <w:rFonts w:hint="eastAsia" w:ascii="Times New Roman"/>
          <w:color w:val="000000"/>
          <w:sz w:val="24"/>
          <w:szCs w:val="24"/>
        </w:rPr>
        <w:t>。</w:t>
      </w:r>
    </w:p>
    <w:p w14:paraId="505591C6">
      <w:pPr>
        <w:adjustRightInd w:val="0"/>
        <w:spacing w:line="360" w:lineRule="auto"/>
        <w:ind w:firstLine="480" w:firstLineChars="200"/>
        <w:rPr>
          <w:rFonts w:ascii="Times New Roman"/>
          <w:color w:val="000000"/>
          <w:sz w:val="24"/>
          <w:szCs w:val="24"/>
        </w:rPr>
      </w:pPr>
      <w:r>
        <w:rPr>
          <w:rFonts w:ascii="Times New Roman"/>
          <w:color w:val="000000"/>
          <w:sz w:val="24"/>
          <w:szCs w:val="24"/>
        </w:rPr>
        <w:t>1.7.2 发包人接收文件的地点：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4B3659C2">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5A98C95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132E5D87">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5101A432">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监理人接收文件的地点：</w:t>
      </w:r>
      <w:r>
        <w:rPr>
          <w:rFonts w:hint="eastAsia" w:ascii="Times New Roman"/>
          <w:color w:val="000000"/>
          <w:sz w:val="24"/>
          <w:szCs w:val="24"/>
          <w:u w:val="single"/>
        </w:rPr>
        <w:t xml:space="preserve">          </w:t>
      </w:r>
      <w:r>
        <w:rPr>
          <w:rFonts w:ascii="Times New Roman"/>
          <w:color w:val="000000"/>
          <w:sz w:val="24"/>
          <w:szCs w:val="24"/>
        </w:rPr>
        <w:t>；</w:t>
      </w:r>
    </w:p>
    <w:p w14:paraId="14E62BEB">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监理人指定的接收人为：</w:t>
      </w:r>
      <w:r>
        <w:rPr>
          <w:rFonts w:hint="eastAsia" w:ascii="Times New Roman"/>
          <w:color w:val="000000"/>
          <w:sz w:val="24"/>
          <w:szCs w:val="24"/>
          <w:u w:val="single"/>
        </w:rPr>
        <w:t xml:space="preserve">          </w:t>
      </w:r>
      <w:r>
        <w:rPr>
          <w:rFonts w:ascii="Times New Roman"/>
          <w:color w:val="000000"/>
          <w:sz w:val="24"/>
          <w:szCs w:val="24"/>
        </w:rPr>
        <w:t>。</w:t>
      </w:r>
    </w:p>
    <w:p w14:paraId="7E4B12B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1.10 交通运输</w:t>
      </w:r>
    </w:p>
    <w:p w14:paraId="02E1DD55">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1" w:name="_Toc312677986"/>
      <w:bookmarkStart w:id="62" w:name="_Toc300934943"/>
      <w:bookmarkStart w:id="63" w:name="_Toc304295521"/>
      <w:bookmarkStart w:id="64" w:name="_Toc318581155"/>
      <w:bookmarkStart w:id="65" w:name="_Toc303539100"/>
      <w:r>
        <w:rPr>
          <w:rFonts w:ascii="Times New Roman"/>
          <w:color w:val="000000"/>
          <w:sz w:val="24"/>
          <w:szCs w:val="24"/>
        </w:rPr>
        <w:t>.10.1 出入现场的权利</w:t>
      </w:r>
    </w:p>
    <w:p w14:paraId="38304FA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关于出入现场的权利的约定：</w:t>
      </w:r>
      <w:r>
        <w:rPr>
          <w:rFonts w:hint="eastAsia" w:ascii="Times New Roman"/>
          <w:color w:val="000000"/>
          <w:sz w:val="24"/>
          <w:szCs w:val="24"/>
          <w:u w:val="single"/>
        </w:rPr>
        <w:t xml:space="preserve">          </w:t>
      </w:r>
      <w:r>
        <w:rPr>
          <w:rFonts w:ascii="Times New Roman"/>
          <w:color w:val="000000"/>
          <w:sz w:val="24"/>
          <w:szCs w:val="24"/>
        </w:rPr>
        <w:t>。</w:t>
      </w:r>
    </w:p>
    <w:bookmarkEnd w:id="61"/>
    <w:bookmarkEnd w:id="62"/>
    <w:bookmarkEnd w:id="63"/>
    <w:bookmarkEnd w:id="64"/>
    <w:bookmarkEnd w:id="65"/>
    <w:p w14:paraId="012934A1">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6" w:name="_Toc300934944"/>
      <w:bookmarkStart w:id="67" w:name="_Toc303539101"/>
      <w:bookmarkStart w:id="68" w:name="_Toc304295522"/>
      <w:bookmarkStart w:id="69" w:name="_Toc312677987"/>
      <w:bookmarkStart w:id="70" w:name="_Toc318581156"/>
      <w:r>
        <w:rPr>
          <w:rFonts w:ascii="Times New Roman"/>
          <w:color w:val="000000"/>
          <w:sz w:val="24"/>
          <w:szCs w:val="24"/>
        </w:rPr>
        <w:t>.10.3 场内交通</w:t>
      </w:r>
    </w:p>
    <w:p w14:paraId="2D43319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关于场外交通和场内交通的边界的约定：</w:t>
      </w:r>
      <w:r>
        <w:rPr>
          <w:rFonts w:hint="eastAsia" w:ascii="Times New Roman"/>
          <w:color w:val="000000"/>
          <w:sz w:val="24"/>
          <w:szCs w:val="24"/>
          <w:u w:val="single"/>
        </w:rPr>
        <w:t xml:space="preserve">          </w:t>
      </w:r>
      <w:r>
        <w:rPr>
          <w:rFonts w:ascii="Times New Roman"/>
          <w:color w:val="000000"/>
          <w:sz w:val="24"/>
          <w:szCs w:val="24"/>
        </w:rPr>
        <w:t>。</w:t>
      </w:r>
    </w:p>
    <w:p w14:paraId="3CE0C5E2">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关于发包人向承包人免费提供满足工程施工需要的场内道路和交通设施的约定：</w:t>
      </w:r>
      <w:r>
        <w:rPr>
          <w:rFonts w:hint="eastAsia" w:ascii="Times New Roman"/>
          <w:color w:val="000000"/>
          <w:sz w:val="24"/>
          <w:szCs w:val="24"/>
          <w:u w:val="single"/>
        </w:rPr>
        <w:t xml:space="preserve">      </w:t>
      </w:r>
      <w:r>
        <w:rPr>
          <w:rFonts w:ascii="Times New Roman"/>
          <w:color w:val="000000"/>
          <w:sz w:val="24"/>
          <w:szCs w:val="24"/>
        </w:rPr>
        <w:t>。</w:t>
      </w:r>
      <w:bookmarkEnd w:id="66"/>
      <w:bookmarkEnd w:id="67"/>
      <w:bookmarkEnd w:id="68"/>
      <w:bookmarkEnd w:id="69"/>
      <w:bookmarkEnd w:id="70"/>
      <w:bookmarkStart w:id="71" w:name="_Toc318581157"/>
    </w:p>
    <w:p w14:paraId="1518E060">
      <w:pPr>
        <w:adjustRightInd w:val="0"/>
        <w:spacing w:line="360" w:lineRule="auto"/>
        <w:ind w:firstLine="480" w:firstLineChars="200"/>
        <w:rPr>
          <w:rFonts w:ascii="Times New Roman"/>
          <w:color w:val="000000"/>
          <w:sz w:val="24"/>
          <w:szCs w:val="24"/>
        </w:rPr>
      </w:pPr>
      <w:r>
        <w:rPr>
          <w:rFonts w:ascii="Times New Roman"/>
          <w:color w:val="000000"/>
          <w:sz w:val="24"/>
          <w:szCs w:val="24"/>
        </w:rPr>
        <w:t>1.10.4</w:t>
      </w:r>
      <w:r>
        <w:rPr>
          <w:rFonts w:hint="eastAsia" w:ascii="Times New Roman"/>
          <w:color w:val="000000"/>
          <w:sz w:val="24"/>
          <w:szCs w:val="24"/>
        </w:rPr>
        <w:t xml:space="preserve"> </w:t>
      </w:r>
      <w:r>
        <w:rPr>
          <w:rFonts w:ascii="Times New Roman"/>
          <w:color w:val="000000"/>
          <w:sz w:val="24"/>
          <w:szCs w:val="24"/>
        </w:rPr>
        <w:t>超大件和超重件的运输</w:t>
      </w:r>
    </w:p>
    <w:p w14:paraId="0B03075D">
      <w:pPr>
        <w:adjustRightInd w:val="0"/>
        <w:spacing w:line="360" w:lineRule="auto"/>
        <w:ind w:firstLine="480" w:firstLineChars="200"/>
        <w:rPr>
          <w:rFonts w:ascii="Times New Roman"/>
          <w:color w:val="000000"/>
          <w:sz w:val="24"/>
          <w:szCs w:val="24"/>
        </w:rPr>
      </w:pPr>
      <w:r>
        <w:rPr>
          <w:rFonts w:ascii="Times New Roman"/>
          <w:color w:val="000000"/>
          <w:sz w:val="24"/>
          <w:szCs w:val="24"/>
        </w:rPr>
        <w:t>运输超大件或超重件所需的道路和桥梁临时加固改造费用和其他有关费用由</w:t>
      </w:r>
      <w:r>
        <w:rPr>
          <w:rFonts w:hint="eastAsia" w:ascii="Times New Roman"/>
          <w:color w:val="000000"/>
          <w:sz w:val="24"/>
          <w:szCs w:val="24"/>
          <w:u w:val="single"/>
        </w:rPr>
        <w:t xml:space="preserve">  </w:t>
      </w:r>
      <w:r>
        <w:rPr>
          <w:rFonts w:ascii="Times New Roman"/>
          <w:color w:val="000000"/>
          <w:sz w:val="24"/>
          <w:szCs w:val="24"/>
        </w:rPr>
        <w:t>承担。</w:t>
      </w:r>
    </w:p>
    <w:bookmarkEnd w:id="71"/>
    <w:p w14:paraId="586F43B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1.11 知识产权</w:t>
      </w:r>
    </w:p>
    <w:p w14:paraId="46C3102D">
      <w:pPr>
        <w:adjustRightInd w:val="0"/>
        <w:spacing w:line="360" w:lineRule="auto"/>
        <w:ind w:firstLine="480" w:firstLineChars="200"/>
        <w:rPr>
          <w:rFonts w:ascii="Times New Roman"/>
          <w:color w:val="000000"/>
          <w:sz w:val="24"/>
          <w:szCs w:val="24"/>
        </w:rPr>
      </w:pPr>
      <w:r>
        <w:rPr>
          <w:rFonts w:ascii="Times New Roman"/>
          <w:color w:val="000000"/>
          <w:sz w:val="24"/>
          <w:szCs w:val="24"/>
        </w:rPr>
        <w:t>1.11.1</w:t>
      </w:r>
      <w:r>
        <w:rPr>
          <w:rFonts w:hint="eastAsia" w:ascii="Times New Roman"/>
          <w:color w:val="000000"/>
          <w:sz w:val="24"/>
          <w:szCs w:val="24"/>
        </w:rPr>
        <w:t xml:space="preserve"> </w:t>
      </w:r>
      <w:r>
        <w:rPr>
          <w:rFonts w:ascii="Times New Roman"/>
          <w:color w:val="000000"/>
          <w:sz w:val="24"/>
          <w:szCs w:val="24"/>
        </w:rPr>
        <w:t>关于发包人提供给承包人的图纸、发包人为实施工程自行编制或委托编制的技术规范以及反映发包人关于合同要求或其他类似性质的文件的著作权的归属：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0D16D995">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7EAFF274">
      <w:pPr>
        <w:adjustRightInd w:val="0"/>
        <w:spacing w:line="360" w:lineRule="auto"/>
        <w:ind w:firstLine="480" w:firstLineChars="200"/>
        <w:rPr>
          <w:rFonts w:ascii="Times New Roman"/>
          <w:color w:val="000000"/>
          <w:sz w:val="24"/>
          <w:szCs w:val="24"/>
        </w:rPr>
      </w:pPr>
      <w:r>
        <w:rPr>
          <w:rFonts w:ascii="Times New Roman"/>
          <w:color w:val="000000"/>
          <w:sz w:val="24"/>
          <w:szCs w:val="24"/>
        </w:rPr>
        <w:t>1.11.2 关于承包人为实施工程所编制文件的著作权的归属：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2A1C77EC">
      <w:pPr>
        <w:adjustRightInd w:val="0"/>
        <w:spacing w:line="360" w:lineRule="auto"/>
        <w:ind w:firstLine="480" w:firstLineChars="200"/>
        <w:rPr>
          <w:rFonts w:ascii="Times New Roman"/>
          <w:color w:val="000000"/>
          <w:sz w:val="24"/>
          <w:szCs w:val="24"/>
        </w:rPr>
      </w:pPr>
      <w:r>
        <w:rPr>
          <w:rFonts w:ascii="Times New Roman"/>
          <w:color w:val="000000"/>
          <w:sz w:val="24"/>
          <w:szCs w:val="24"/>
        </w:rPr>
        <w:t>关于承包人提供的上述文件的使用限制的要求：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1A77792E">
      <w:pPr>
        <w:adjustRightInd w:val="0"/>
        <w:spacing w:line="360" w:lineRule="auto"/>
        <w:ind w:firstLine="480" w:firstLineChars="200"/>
        <w:rPr>
          <w:rFonts w:ascii="Times New Roman"/>
          <w:color w:val="000000"/>
          <w:sz w:val="24"/>
          <w:szCs w:val="24"/>
        </w:rPr>
      </w:pPr>
      <w:r>
        <w:rPr>
          <w:rFonts w:ascii="Times New Roman"/>
          <w:color w:val="000000"/>
          <w:sz w:val="24"/>
          <w:szCs w:val="24"/>
        </w:rPr>
        <w:t>1.11.4 承包人在施工过程中所采用的专利、专有技术、技术秘密的使用费的承担方式：</w:t>
      </w:r>
      <w:r>
        <w:rPr>
          <w:rFonts w:hint="eastAsia" w:ascii="Times New Roman"/>
          <w:color w:val="000000"/>
          <w:sz w:val="24"/>
          <w:szCs w:val="24"/>
          <w:u w:val="single"/>
        </w:rPr>
        <w:t xml:space="preserve">   </w:t>
      </w:r>
      <w:r>
        <w:rPr>
          <w:rFonts w:ascii="Times New Roman"/>
          <w:color w:val="000000"/>
          <w:sz w:val="24"/>
          <w:szCs w:val="24"/>
        </w:rPr>
        <w:t>。</w:t>
      </w:r>
    </w:p>
    <w:p w14:paraId="19D9CFE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1.13</w:t>
      </w:r>
      <w:r>
        <w:rPr>
          <w:rFonts w:hint="eastAsia" w:ascii="Times New Roman" w:eastAsia="黑体"/>
          <w:bCs/>
          <w:color w:val="000000"/>
          <w:sz w:val="24"/>
          <w:szCs w:val="24"/>
        </w:rPr>
        <w:t xml:space="preserve"> </w:t>
      </w:r>
      <w:r>
        <w:rPr>
          <w:rFonts w:ascii="Times New Roman" w:eastAsia="黑体"/>
          <w:bCs/>
          <w:color w:val="000000"/>
          <w:sz w:val="24"/>
          <w:szCs w:val="24"/>
        </w:rPr>
        <w:t>工程量清单错误的修正</w:t>
      </w:r>
    </w:p>
    <w:p w14:paraId="17DD4C54">
      <w:pPr>
        <w:adjustRightInd w:val="0"/>
        <w:spacing w:line="360" w:lineRule="auto"/>
        <w:ind w:firstLine="480" w:firstLineChars="200"/>
        <w:rPr>
          <w:rFonts w:ascii="Times New Roman" w:cs="Courier New"/>
          <w:b/>
          <w:color w:val="000000"/>
          <w:sz w:val="24"/>
          <w:szCs w:val="24"/>
          <w:u w:val="single"/>
        </w:rPr>
      </w:pPr>
      <w:r>
        <w:rPr>
          <w:rFonts w:hint="eastAsia" w:ascii="Times New Roman" w:cs="Courier New"/>
          <w:color w:val="000000"/>
          <w:sz w:val="24"/>
          <w:szCs w:val="24"/>
        </w:rPr>
        <w:t>出现工程量清单错误时，是否调整合同价格：</w:t>
      </w:r>
      <w:r>
        <w:rPr>
          <w:rFonts w:hint="eastAsia" w:ascii="Times New Roman"/>
          <w:color w:val="000000"/>
          <w:sz w:val="24"/>
          <w:szCs w:val="24"/>
          <w:u w:val="single"/>
        </w:rPr>
        <w:t xml:space="preserve">        </w:t>
      </w:r>
      <w:r>
        <w:rPr>
          <w:rFonts w:ascii="Times New Roman"/>
          <w:color w:val="000000"/>
          <w:sz w:val="24"/>
          <w:szCs w:val="24"/>
        </w:rPr>
        <w:t>。</w:t>
      </w:r>
    </w:p>
    <w:p w14:paraId="299FA28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允许调整合同价格的工程量偏差范围：</w:t>
      </w:r>
      <w:r>
        <w:rPr>
          <w:rFonts w:hint="eastAsia" w:ascii="Times New Roman"/>
          <w:color w:val="000000"/>
          <w:sz w:val="24"/>
          <w:szCs w:val="24"/>
          <w:u w:val="single"/>
        </w:rPr>
        <w:t xml:space="preserve">        </w:t>
      </w:r>
      <w:r>
        <w:rPr>
          <w:rFonts w:ascii="Times New Roman"/>
          <w:color w:val="000000"/>
          <w:sz w:val="24"/>
          <w:szCs w:val="24"/>
        </w:rPr>
        <w:t>。</w:t>
      </w:r>
    </w:p>
    <w:p w14:paraId="2011C66F">
      <w:pPr>
        <w:spacing w:before="240" w:beforeLines="100" w:after="240" w:afterLines="100"/>
        <w:outlineLvl w:val="2"/>
        <w:rPr>
          <w:rFonts w:ascii="Times New Roman" w:eastAsia="黑体"/>
          <w:color w:val="000000"/>
          <w:sz w:val="24"/>
          <w:szCs w:val="24"/>
        </w:rPr>
      </w:pPr>
      <w:bookmarkStart w:id="72" w:name="_Toc351203634"/>
      <w:r>
        <w:rPr>
          <w:rFonts w:ascii="Times New Roman" w:eastAsia="黑体"/>
          <w:color w:val="000000"/>
          <w:sz w:val="24"/>
          <w:szCs w:val="24"/>
        </w:rPr>
        <w:t>2</w:t>
      </w:r>
      <w:bookmarkStart w:id="73" w:name="_Toc292559362"/>
      <w:bookmarkStart w:id="74" w:name="_Toc296346658"/>
      <w:bookmarkStart w:id="75" w:name="_Toc296503157"/>
      <w:bookmarkStart w:id="76" w:name="_Toc297048343"/>
      <w:bookmarkStart w:id="77" w:name="_Toc292559867"/>
      <w:bookmarkStart w:id="78" w:name="_Toc296347156"/>
      <w:bookmarkStart w:id="79" w:name="_Toc297120457"/>
      <w:bookmarkStart w:id="80" w:name="_Toc296890985"/>
      <w:bookmarkStart w:id="81" w:name="_Toc296891197"/>
      <w:bookmarkStart w:id="82" w:name="_Toc296944496"/>
      <w:r>
        <w:rPr>
          <w:rFonts w:ascii="Times New Roman" w:eastAsia="黑体"/>
          <w:color w:val="000000"/>
          <w:sz w:val="24"/>
          <w:szCs w:val="24"/>
        </w:rPr>
        <w:t>. 发包人</w:t>
      </w:r>
      <w:bookmarkEnd w:id="72"/>
    </w:p>
    <w:bookmarkEnd w:id="73"/>
    <w:bookmarkEnd w:id="74"/>
    <w:bookmarkEnd w:id="75"/>
    <w:bookmarkEnd w:id="76"/>
    <w:bookmarkEnd w:id="77"/>
    <w:bookmarkEnd w:id="78"/>
    <w:bookmarkEnd w:id="79"/>
    <w:bookmarkEnd w:id="80"/>
    <w:bookmarkEnd w:id="81"/>
    <w:bookmarkEnd w:id="82"/>
    <w:p w14:paraId="4CC7251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2.2 发包人代表</w:t>
      </w:r>
    </w:p>
    <w:p w14:paraId="19BE0235">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发包人代表：</w:t>
      </w:r>
    </w:p>
    <w:p w14:paraId="57DE442C">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ascii="Times New Roman"/>
          <w:color w:val="000000"/>
          <w:sz w:val="24"/>
          <w:szCs w:val="24"/>
        </w:rPr>
        <w:t>；</w:t>
      </w:r>
    </w:p>
    <w:p w14:paraId="44D94C0F">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ascii="Times New Roman"/>
          <w:color w:val="000000"/>
          <w:sz w:val="24"/>
          <w:szCs w:val="24"/>
          <w:u w:val="single"/>
        </w:rPr>
        <w:t xml:space="preserve">                          </w:t>
      </w:r>
      <w:r>
        <w:rPr>
          <w:rFonts w:ascii="Times New Roman"/>
          <w:color w:val="000000"/>
          <w:sz w:val="24"/>
          <w:szCs w:val="24"/>
        </w:rPr>
        <w:t>；</w:t>
      </w:r>
    </w:p>
    <w:p w14:paraId="252B9054">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ascii="Times New Roman"/>
          <w:color w:val="000000"/>
          <w:sz w:val="24"/>
          <w:szCs w:val="24"/>
        </w:rPr>
        <w:t>；</w:t>
      </w:r>
    </w:p>
    <w:p w14:paraId="7F38C348">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637B8F2">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121E4353">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F4483F3">
      <w:pPr>
        <w:adjustRightInd w:val="0"/>
        <w:spacing w:line="360" w:lineRule="auto"/>
        <w:ind w:firstLine="480" w:firstLineChars="200"/>
        <w:rPr>
          <w:rFonts w:ascii="Times New Roman"/>
          <w:b/>
          <w:strike/>
          <w:color w:val="000000"/>
          <w:sz w:val="24"/>
          <w:szCs w:val="24"/>
        </w:rPr>
      </w:pPr>
      <w:r>
        <w:rPr>
          <w:rFonts w:ascii="Times New Roman"/>
          <w:color w:val="000000"/>
          <w:sz w:val="24"/>
          <w:szCs w:val="24"/>
        </w:rPr>
        <w:t>发包人对发包人代表的授权范围如下：</w:t>
      </w:r>
      <w:r>
        <w:rPr>
          <w:rFonts w:ascii="Times New Roman"/>
          <w:color w:val="000000"/>
          <w:sz w:val="24"/>
          <w:szCs w:val="24"/>
          <w:u w:val="single"/>
        </w:rPr>
        <w:t xml:space="preserve">                          </w:t>
      </w:r>
      <w:r>
        <w:rPr>
          <w:rFonts w:ascii="Times New Roman"/>
          <w:color w:val="000000"/>
          <w:sz w:val="24"/>
          <w:szCs w:val="24"/>
        </w:rPr>
        <w:t>。</w:t>
      </w:r>
    </w:p>
    <w:p w14:paraId="4734954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2.4 施工现场、施工条件和基础资料的提供</w:t>
      </w:r>
    </w:p>
    <w:p w14:paraId="1D50B8A9">
      <w:pPr>
        <w:adjustRightInd w:val="0"/>
        <w:spacing w:line="360" w:lineRule="auto"/>
        <w:ind w:firstLine="480" w:firstLineChars="200"/>
        <w:rPr>
          <w:rFonts w:ascii="Times New Roman"/>
          <w:color w:val="000000"/>
          <w:sz w:val="24"/>
          <w:szCs w:val="24"/>
        </w:rPr>
      </w:pPr>
      <w:r>
        <w:rPr>
          <w:rFonts w:ascii="Times New Roman"/>
          <w:color w:val="000000"/>
          <w:sz w:val="24"/>
          <w:szCs w:val="24"/>
        </w:rPr>
        <w:t>2.4.1 提供施工现场</w:t>
      </w:r>
    </w:p>
    <w:p w14:paraId="16755AD4">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关于发包人移交施工现场的期限要求：</w:t>
      </w:r>
      <w:r>
        <w:rPr>
          <w:rFonts w:hint="eastAsia" w:ascii="Times New Roman"/>
          <w:color w:val="000000"/>
          <w:sz w:val="24"/>
          <w:szCs w:val="24"/>
          <w:u w:val="single"/>
        </w:rPr>
        <w:t xml:space="preserve">        </w:t>
      </w:r>
      <w:r>
        <w:rPr>
          <w:rFonts w:ascii="Times New Roman"/>
          <w:color w:val="000000"/>
          <w:sz w:val="24"/>
          <w:szCs w:val="24"/>
        </w:rPr>
        <w:t>。</w:t>
      </w:r>
    </w:p>
    <w:p w14:paraId="484C15DD">
      <w:pPr>
        <w:adjustRightInd w:val="0"/>
        <w:spacing w:line="360" w:lineRule="auto"/>
        <w:ind w:firstLine="480" w:firstLineChars="200"/>
        <w:rPr>
          <w:rFonts w:ascii="Times New Roman"/>
          <w:color w:val="000000"/>
          <w:sz w:val="24"/>
          <w:szCs w:val="24"/>
        </w:rPr>
      </w:pPr>
      <w:r>
        <w:rPr>
          <w:rFonts w:ascii="Times New Roman"/>
          <w:color w:val="000000"/>
          <w:sz w:val="24"/>
          <w:szCs w:val="24"/>
        </w:rPr>
        <w:t>2.4.2 提供施工条件</w:t>
      </w:r>
    </w:p>
    <w:p w14:paraId="7078C3E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关于发包人应负责提供施工</w:t>
      </w:r>
      <w:r>
        <w:rPr>
          <w:rFonts w:hint="eastAsia" w:ascii="Times New Roman"/>
          <w:color w:val="000000"/>
          <w:sz w:val="24"/>
          <w:szCs w:val="24"/>
        </w:rPr>
        <w:t>所需要的条件，</w:t>
      </w:r>
      <w:r>
        <w:rPr>
          <w:rFonts w:ascii="Times New Roman"/>
          <w:color w:val="000000"/>
          <w:sz w:val="24"/>
          <w:szCs w:val="24"/>
        </w:rPr>
        <w:t>包括：</w:t>
      </w:r>
      <w:r>
        <w:rPr>
          <w:rFonts w:hint="eastAsia" w:ascii="Times New Roman"/>
          <w:color w:val="000000"/>
          <w:sz w:val="24"/>
          <w:szCs w:val="24"/>
          <w:u w:val="single"/>
        </w:rPr>
        <w:t xml:space="preserve">        </w:t>
      </w:r>
      <w:r>
        <w:rPr>
          <w:rFonts w:ascii="Times New Roman"/>
          <w:color w:val="000000"/>
          <w:sz w:val="24"/>
          <w:szCs w:val="24"/>
        </w:rPr>
        <w:t>。</w:t>
      </w:r>
    </w:p>
    <w:p w14:paraId="1767FF7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2.5 资金来源证明及支付担保</w:t>
      </w:r>
    </w:p>
    <w:p w14:paraId="48FA8209">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发包人提供资金来源证明的期限要求：</w:t>
      </w:r>
      <w:r>
        <w:rPr>
          <w:rFonts w:hint="eastAsia" w:ascii="Times New Roman"/>
          <w:color w:val="000000"/>
          <w:sz w:val="24"/>
          <w:szCs w:val="24"/>
          <w:u w:val="single"/>
        </w:rPr>
        <w:t>见《专用合同条款数据表》</w:t>
      </w:r>
      <w:r>
        <w:rPr>
          <w:rFonts w:ascii="Times New Roman"/>
          <w:color w:val="000000"/>
          <w:sz w:val="24"/>
          <w:szCs w:val="24"/>
        </w:rPr>
        <w:t>。</w:t>
      </w:r>
    </w:p>
    <w:p w14:paraId="290B7871">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发包人是否提供支付担保：</w:t>
      </w:r>
      <w:r>
        <w:rPr>
          <w:rFonts w:hint="eastAsia" w:ascii="Times New Roman"/>
          <w:color w:val="000000"/>
          <w:sz w:val="24"/>
          <w:szCs w:val="24"/>
          <w:u w:val="single"/>
        </w:rPr>
        <w:t>见《专用合同条款数据表》</w:t>
      </w:r>
      <w:r>
        <w:rPr>
          <w:rFonts w:ascii="Times New Roman"/>
          <w:color w:val="000000"/>
          <w:sz w:val="24"/>
          <w:szCs w:val="24"/>
        </w:rPr>
        <w:t>。</w:t>
      </w:r>
    </w:p>
    <w:p w14:paraId="4C1C2BD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发包人提供支付担保的形式：</w:t>
      </w:r>
      <w:r>
        <w:rPr>
          <w:rFonts w:hint="eastAsia" w:ascii="Times New Roman"/>
          <w:color w:val="000000"/>
          <w:sz w:val="24"/>
          <w:szCs w:val="24"/>
          <w:u w:val="single"/>
        </w:rPr>
        <w:t>见《专用合同条款数据表》</w:t>
      </w:r>
      <w:r>
        <w:rPr>
          <w:rFonts w:ascii="Times New Roman"/>
          <w:color w:val="000000"/>
          <w:sz w:val="24"/>
          <w:szCs w:val="24"/>
        </w:rPr>
        <w:t>。</w:t>
      </w:r>
    </w:p>
    <w:p w14:paraId="342BC24D">
      <w:pPr>
        <w:spacing w:before="240" w:beforeLines="100" w:after="240" w:afterLines="100"/>
        <w:outlineLvl w:val="2"/>
        <w:rPr>
          <w:rFonts w:ascii="Times New Roman" w:eastAsia="黑体"/>
          <w:color w:val="000000"/>
          <w:sz w:val="24"/>
          <w:szCs w:val="24"/>
        </w:rPr>
      </w:pPr>
      <w:bookmarkStart w:id="83" w:name="_Toc351203635"/>
      <w:r>
        <w:rPr>
          <w:rFonts w:ascii="Times New Roman" w:eastAsia="黑体"/>
          <w:color w:val="000000"/>
          <w:sz w:val="24"/>
          <w:szCs w:val="24"/>
        </w:rPr>
        <w:t>3</w:t>
      </w:r>
      <w:bookmarkStart w:id="84" w:name="_Toc297120458"/>
      <w:bookmarkStart w:id="85" w:name="_Toc296890986"/>
      <w:bookmarkStart w:id="86" w:name="_Toc296944497"/>
      <w:bookmarkStart w:id="87" w:name="_Toc296503158"/>
      <w:bookmarkStart w:id="88" w:name="_Toc292559363"/>
      <w:bookmarkStart w:id="89" w:name="_Toc292559868"/>
      <w:bookmarkStart w:id="90" w:name="_Toc296347157"/>
      <w:bookmarkStart w:id="91" w:name="_Toc296346659"/>
      <w:bookmarkStart w:id="92" w:name="_Toc296891198"/>
      <w:bookmarkStart w:id="93" w:name="_Toc297048344"/>
      <w:r>
        <w:rPr>
          <w:rFonts w:ascii="Times New Roman" w:eastAsia="黑体"/>
          <w:color w:val="000000"/>
          <w:sz w:val="24"/>
          <w:szCs w:val="24"/>
        </w:rPr>
        <w:t>. 承包人</w:t>
      </w:r>
      <w:bookmarkEnd w:id="83"/>
    </w:p>
    <w:bookmarkEnd w:id="84"/>
    <w:bookmarkEnd w:id="85"/>
    <w:bookmarkEnd w:id="86"/>
    <w:bookmarkEnd w:id="87"/>
    <w:bookmarkEnd w:id="88"/>
    <w:bookmarkEnd w:id="89"/>
    <w:bookmarkEnd w:id="90"/>
    <w:bookmarkEnd w:id="91"/>
    <w:bookmarkEnd w:id="92"/>
    <w:bookmarkEnd w:id="93"/>
    <w:p w14:paraId="4F4450F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3.1 承包人的一般义务</w:t>
      </w:r>
    </w:p>
    <w:p w14:paraId="4A343125">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9</w:t>
      </w:r>
      <w:r>
        <w:rPr>
          <w:rFonts w:ascii="Times New Roman"/>
          <w:color w:val="000000"/>
          <w:sz w:val="24"/>
          <w:szCs w:val="24"/>
        </w:rPr>
        <w:t>）承包人提交的竣工资料的内容：</w:t>
      </w:r>
      <w:r>
        <w:rPr>
          <w:rFonts w:hint="eastAsia" w:ascii="Times New Roman"/>
          <w:color w:val="000000"/>
          <w:sz w:val="24"/>
          <w:szCs w:val="24"/>
          <w:u w:val="single"/>
        </w:rPr>
        <w:t>承包人提供全套竣工图，所有竣工图应为新图纸</w:t>
      </w:r>
      <w:r>
        <w:rPr>
          <w:rFonts w:ascii="Times New Roman"/>
          <w:color w:val="000000"/>
          <w:sz w:val="24"/>
          <w:szCs w:val="24"/>
        </w:rPr>
        <w:t>。</w:t>
      </w:r>
    </w:p>
    <w:p w14:paraId="34A171E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承包人需要提交的竣工资料套数：</w:t>
      </w:r>
      <w:r>
        <w:rPr>
          <w:rFonts w:hint="eastAsia" w:ascii="Times New Roman"/>
          <w:color w:val="000000"/>
          <w:sz w:val="24"/>
          <w:szCs w:val="24"/>
          <w:u w:val="single"/>
        </w:rPr>
        <w:t xml:space="preserve">        </w:t>
      </w:r>
      <w:r>
        <w:rPr>
          <w:rFonts w:ascii="Times New Roman"/>
          <w:color w:val="000000"/>
          <w:sz w:val="24"/>
          <w:szCs w:val="24"/>
        </w:rPr>
        <w:t>。</w:t>
      </w:r>
    </w:p>
    <w:p w14:paraId="45AC5D5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承包人提交的竣工资料的费用承担：</w:t>
      </w:r>
      <w:r>
        <w:rPr>
          <w:rFonts w:hint="eastAsia" w:ascii="Times New Roman"/>
          <w:color w:val="000000"/>
          <w:sz w:val="24"/>
          <w:szCs w:val="24"/>
          <w:u w:val="single"/>
        </w:rPr>
        <w:t>承包人承担</w:t>
      </w:r>
      <w:r>
        <w:rPr>
          <w:rFonts w:ascii="Times New Roman"/>
          <w:color w:val="000000"/>
          <w:sz w:val="24"/>
          <w:szCs w:val="24"/>
        </w:rPr>
        <w:t>。</w:t>
      </w:r>
    </w:p>
    <w:p w14:paraId="4761E2A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承包人提交的竣工资料移交时间：</w:t>
      </w:r>
      <w:r>
        <w:rPr>
          <w:rFonts w:hint="eastAsia" w:ascii="Times New Roman"/>
          <w:color w:val="000000"/>
          <w:sz w:val="24"/>
          <w:szCs w:val="24"/>
          <w:u w:val="single"/>
        </w:rPr>
        <w:t xml:space="preserve">        </w:t>
      </w:r>
      <w:r>
        <w:rPr>
          <w:rFonts w:ascii="Times New Roman"/>
          <w:color w:val="000000"/>
          <w:sz w:val="24"/>
          <w:szCs w:val="24"/>
        </w:rPr>
        <w:t>。</w:t>
      </w:r>
    </w:p>
    <w:p w14:paraId="3DF26554">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承包人提交的竣工资料形式要求：</w:t>
      </w:r>
      <w:r>
        <w:rPr>
          <w:rFonts w:hint="eastAsia" w:ascii="Times New Roman"/>
          <w:color w:val="000000"/>
          <w:sz w:val="24"/>
          <w:szCs w:val="24"/>
          <w:u w:val="single"/>
        </w:rPr>
        <w:t xml:space="preserve">        </w:t>
      </w:r>
      <w:r>
        <w:rPr>
          <w:rFonts w:ascii="Times New Roman"/>
          <w:color w:val="000000"/>
          <w:sz w:val="24"/>
          <w:szCs w:val="24"/>
        </w:rPr>
        <w:t>。</w:t>
      </w:r>
    </w:p>
    <w:p w14:paraId="6CFFC07E">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10</w:t>
      </w:r>
      <w:r>
        <w:rPr>
          <w:rFonts w:ascii="Times New Roman"/>
          <w:color w:val="000000"/>
          <w:sz w:val="24"/>
          <w:szCs w:val="24"/>
        </w:rPr>
        <w:t>）承包人应履行的其他义务：</w:t>
      </w:r>
      <w:r>
        <w:rPr>
          <w:rFonts w:hint="eastAsia" w:ascii="Times New Roman"/>
          <w:color w:val="000000"/>
          <w:sz w:val="24"/>
          <w:szCs w:val="24"/>
          <w:u w:val="single"/>
        </w:rPr>
        <w:t xml:space="preserve">        </w:t>
      </w:r>
      <w:r>
        <w:rPr>
          <w:rFonts w:ascii="Times New Roman"/>
          <w:color w:val="000000"/>
          <w:sz w:val="24"/>
          <w:szCs w:val="24"/>
        </w:rPr>
        <w:t>。</w:t>
      </w:r>
    </w:p>
    <w:p w14:paraId="1AF510A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3.2 项目经理</w:t>
      </w:r>
    </w:p>
    <w:p w14:paraId="266CAAB0">
      <w:pPr>
        <w:adjustRightInd w:val="0"/>
        <w:spacing w:line="360" w:lineRule="auto"/>
        <w:ind w:firstLine="480" w:firstLineChars="200"/>
        <w:rPr>
          <w:rFonts w:ascii="Times New Roman"/>
          <w:color w:val="000000"/>
          <w:sz w:val="24"/>
          <w:szCs w:val="24"/>
        </w:rPr>
      </w:pPr>
      <w:r>
        <w:rPr>
          <w:rFonts w:ascii="Times New Roman"/>
          <w:color w:val="000000"/>
          <w:sz w:val="24"/>
          <w:szCs w:val="24"/>
        </w:rPr>
        <w:t>3.2.1 项目经理：</w:t>
      </w:r>
    </w:p>
    <w:p w14:paraId="66B73C78">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hint="eastAsia" w:ascii="Times New Roman"/>
          <w:color w:val="000000"/>
          <w:sz w:val="24"/>
          <w:szCs w:val="24"/>
          <w:u w:val="single"/>
        </w:rPr>
        <w:t>见《专用合同条款数据表》</w:t>
      </w:r>
      <w:r>
        <w:rPr>
          <w:rFonts w:ascii="Times New Roman"/>
          <w:color w:val="000000"/>
          <w:sz w:val="24"/>
          <w:szCs w:val="24"/>
        </w:rPr>
        <w:t>；</w:t>
      </w:r>
    </w:p>
    <w:p w14:paraId="73895E03">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hint="eastAsia" w:ascii="Times New Roman"/>
          <w:color w:val="000000"/>
          <w:sz w:val="24"/>
          <w:szCs w:val="24"/>
          <w:u w:val="single"/>
        </w:rPr>
        <w:t>见《专用合同条款数据表》</w:t>
      </w:r>
      <w:r>
        <w:rPr>
          <w:rFonts w:ascii="Times New Roman"/>
          <w:color w:val="000000"/>
          <w:sz w:val="24"/>
          <w:szCs w:val="24"/>
        </w:rPr>
        <w:t>；</w:t>
      </w:r>
    </w:p>
    <w:p w14:paraId="03AD09A1">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建造师执业资格等级：</w:t>
      </w:r>
      <w:r>
        <w:rPr>
          <w:rFonts w:hint="eastAsia" w:ascii="Times New Roman"/>
          <w:color w:val="000000"/>
          <w:sz w:val="24"/>
          <w:szCs w:val="24"/>
          <w:u w:val="single"/>
        </w:rPr>
        <w:t>见《专用合同条款数据表》</w:t>
      </w:r>
      <w:r>
        <w:rPr>
          <w:rFonts w:ascii="Times New Roman"/>
          <w:color w:val="000000"/>
          <w:sz w:val="24"/>
          <w:szCs w:val="24"/>
        </w:rPr>
        <w:t>；</w:t>
      </w:r>
    </w:p>
    <w:p w14:paraId="20FC7235">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建造师注册证书号：</w:t>
      </w:r>
      <w:r>
        <w:rPr>
          <w:rFonts w:hint="eastAsia" w:ascii="Times New Roman"/>
          <w:color w:val="000000"/>
          <w:sz w:val="24"/>
          <w:szCs w:val="24"/>
          <w:u w:val="single"/>
        </w:rPr>
        <w:t>见《专用合同条款数据表》</w:t>
      </w:r>
      <w:r>
        <w:rPr>
          <w:rFonts w:ascii="Times New Roman"/>
          <w:color w:val="000000"/>
          <w:sz w:val="24"/>
          <w:szCs w:val="24"/>
        </w:rPr>
        <w:t>；</w:t>
      </w:r>
    </w:p>
    <w:p w14:paraId="3C23B3AA">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建造师执业印章号：</w:t>
      </w:r>
      <w:r>
        <w:rPr>
          <w:rFonts w:ascii="Times New Roman"/>
          <w:color w:val="000000"/>
          <w:sz w:val="24"/>
          <w:szCs w:val="24"/>
          <w:u w:val="single"/>
        </w:rPr>
        <w:t xml:space="preserve">                          </w:t>
      </w:r>
      <w:r>
        <w:rPr>
          <w:rFonts w:ascii="Times New Roman"/>
          <w:color w:val="000000"/>
          <w:sz w:val="24"/>
          <w:szCs w:val="24"/>
        </w:rPr>
        <w:t>；</w:t>
      </w:r>
    </w:p>
    <w:p w14:paraId="0E5F6AB6">
      <w:pPr>
        <w:adjustRightInd w:val="0"/>
        <w:spacing w:line="360" w:lineRule="auto"/>
        <w:ind w:firstLine="480" w:firstLineChars="200"/>
        <w:rPr>
          <w:rFonts w:ascii="Times New Roman"/>
          <w:color w:val="000000"/>
          <w:sz w:val="24"/>
          <w:szCs w:val="24"/>
        </w:rPr>
      </w:pPr>
      <w:r>
        <w:rPr>
          <w:rFonts w:ascii="Times New Roman"/>
          <w:color w:val="000000"/>
          <w:sz w:val="24"/>
          <w:szCs w:val="24"/>
        </w:rPr>
        <w:t>安全生产考核合格证书号：</w:t>
      </w:r>
      <w:r>
        <w:rPr>
          <w:rFonts w:ascii="Times New Roman"/>
          <w:color w:val="000000"/>
          <w:sz w:val="24"/>
          <w:szCs w:val="24"/>
          <w:u w:val="single"/>
        </w:rPr>
        <w:t xml:space="preserve">                          </w:t>
      </w:r>
      <w:r>
        <w:rPr>
          <w:rFonts w:ascii="Times New Roman"/>
          <w:color w:val="000000"/>
          <w:sz w:val="24"/>
          <w:szCs w:val="24"/>
        </w:rPr>
        <w:t>；</w:t>
      </w:r>
    </w:p>
    <w:p w14:paraId="277BCF21">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3C29CA6F">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44EDCF69">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BD6F910">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承包人对项目经理的授权范围如下：</w:t>
      </w:r>
      <w:r>
        <w:rPr>
          <w:rFonts w:hint="eastAsia" w:ascii="Times New Roman"/>
          <w:color w:val="000000"/>
          <w:sz w:val="24"/>
          <w:szCs w:val="24"/>
          <w:u w:val="single"/>
        </w:rPr>
        <w:t>见《专用合同条款数据表》</w:t>
      </w:r>
      <w:r>
        <w:rPr>
          <w:rFonts w:ascii="Times New Roman"/>
          <w:color w:val="000000"/>
          <w:sz w:val="24"/>
          <w:szCs w:val="24"/>
        </w:rPr>
        <w:t>。</w:t>
      </w:r>
    </w:p>
    <w:p w14:paraId="290E9A7C">
      <w:pPr>
        <w:adjustRightInd w:val="0"/>
        <w:spacing w:line="360" w:lineRule="auto"/>
        <w:ind w:firstLine="480" w:firstLineChars="200"/>
        <w:rPr>
          <w:rFonts w:ascii="Times New Roman"/>
          <w:color w:val="000000"/>
          <w:sz w:val="24"/>
          <w:szCs w:val="24"/>
        </w:rPr>
      </w:pPr>
      <w:r>
        <w:rPr>
          <w:rFonts w:ascii="Times New Roman"/>
          <w:color w:val="000000"/>
          <w:sz w:val="24"/>
          <w:szCs w:val="24"/>
        </w:rPr>
        <w:t>关于项目经理每月在施工现场的时间要求：</w:t>
      </w:r>
      <w:r>
        <w:rPr>
          <w:rFonts w:hint="eastAsia" w:ascii="Times New Roman"/>
          <w:color w:val="000000"/>
          <w:sz w:val="24"/>
          <w:szCs w:val="24"/>
          <w:u w:val="single"/>
        </w:rPr>
        <w:t>见《专用合同条款数据表》。</w:t>
      </w:r>
    </w:p>
    <w:p w14:paraId="1E6EF3D3">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承包人未提交劳动合同，以及没有为项目经理缴纳社会保险证明的违约责任：</w:t>
      </w:r>
      <w:r>
        <w:rPr>
          <w:rFonts w:hint="eastAsia" w:ascii="Times New Roman"/>
          <w:color w:val="000000"/>
          <w:sz w:val="24"/>
          <w:szCs w:val="24"/>
          <w:u w:val="single"/>
        </w:rPr>
        <w:t xml:space="preserve">            </w:t>
      </w:r>
      <w:r>
        <w:rPr>
          <w:rFonts w:ascii="Times New Roman"/>
          <w:color w:val="000000"/>
          <w:sz w:val="24"/>
          <w:szCs w:val="24"/>
        </w:rPr>
        <w:t>。</w:t>
      </w:r>
    </w:p>
    <w:p w14:paraId="7CDC3DA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项目经理未经批准，擅自离开施工现场的违约责任：</w:t>
      </w:r>
      <w:r>
        <w:rPr>
          <w:rFonts w:hint="eastAsia" w:ascii="Times New Roman"/>
          <w:color w:val="000000"/>
          <w:sz w:val="24"/>
          <w:szCs w:val="24"/>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color w:val="000000"/>
          <w:sz w:val="24"/>
          <w:szCs w:val="24"/>
          <w:u w:val="single"/>
        </w:rPr>
        <w:t>。</w:t>
      </w:r>
    </w:p>
    <w:p w14:paraId="195C150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3.2.3 承包人擅自更换项目经理的违约责任：</w:t>
      </w:r>
    </w:p>
    <w:p w14:paraId="0934D3B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9C2F2B8">
      <w:pPr>
        <w:adjustRightInd w:val="0"/>
        <w:spacing w:line="360" w:lineRule="auto"/>
        <w:ind w:firstLine="480" w:firstLineChars="200"/>
        <w:rPr>
          <w:rFonts w:ascii="Times New Roman"/>
          <w:color w:val="000000"/>
          <w:sz w:val="24"/>
          <w:szCs w:val="24"/>
        </w:rPr>
      </w:pPr>
      <w:r>
        <w:rPr>
          <w:rFonts w:ascii="Times New Roman"/>
          <w:color w:val="000000"/>
          <w:sz w:val="24"/>
          <w:szCs w:val="24"/>
        </w:rPr>
        <w:t>3.2.4 承包人无正当理由拒绝更换项目经理的违约责任：</w:t>
      </w:r>
      <w:r>
        <w:rPr>
          <w:rFonts w:ascii="Times New Roman"/>
          <w:color w:val="000000"/>
          <w:sz w:val="24"/>
          <w:szCs w:val="24"/>
          <w:u w:val="single"/>
        </w:rPr>
        <w:t xml:space="preserve">           </w:t>
      </w:r>
      <w:r>
        <w:rPr>
          <w:rFonts w:hint="eastAsia" w:ascii="Times New Roman"/>
          <w:color w:val="000000"/>
          <w:sz w:val="24"/>
          <w:szCs w:val="24"/>
        </w:rPr>
        <w:t>。</w:t>
      </w:r>
    </w:p>
    <w:p w14:paraId="3F4A646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3.3 承包人人员</w:t>
      </w:r>
    </w:p>
    <w:p w14:paraId="4C79E4DC">
      <w:pPr>
        <w:adjustRightInd w:val="0"/>
        <w:spacing w:line="360" w:lineRule="auto"/>
        <w:ind w:firstLine="480" w:firstLineChars="200"/>
        <w:rPr>
          <w:rFonts w:ascii="Times New Roman"/>
          <w:color w:val="000000"/>
          <w:sz w:val="24"/>
          <w:szCs w:val="24"/>
        </w:rPr>
      </w:pPr>
      <w:r>
        <w:rPr>
          <w:rFonts w:ascii="Times New Roman"/>
          <w:color w:val="000000"/>
          <w:sz w:val="24"/>
          <w:szCs w:val="24"/>
        </w:rPr>
        <w:t>3.3.1 承包人提交项目管理机构及施工现场管理人员安排报告的期限：</w:t>
      </w:r>
      <w:r>
        <w:rPr>
          <w:rFonts w:hint="eastAsia" w:ascii="Times New Roman"/>
          <w:color w:val="000000"/>
          <w:sz w:val="24"/>
          <w:szCs w:val="24"/>
          <w:u w:val="single"/>
        </w:rPr>
        <w:t xml:space="preserve">    </w:t>
      </w:r>
      <w:r>
        <w:rPr>
          <w:rFonts w:ascii="Times New Roman"/>
          <w:color w:val="000000"/>
          <w:sz w:val="24"/>
          <w:szCs w:val="24"/>
        </w:rPr>
        <w:t>。</w:t>
      </w:r>
    </w:p>
    <w:p w14:paraId="165E08D3">
      <w:pPr>
        <w:adjustRightInd w:val="0"/>
        <w:spacing w:line="360" w:lineRule="auto"/>
        <w:ind w:firstLine="480" w:firstLineChars="200"/>
        <w:rPr>
          <w:rFonts w:ascii="Times New Roman"/>
          <w:color w:val="000000"/>
          <w:sz w:val="24"/>
          <w:szCs w:val="24"/>
        </w:rPr>
      </w:pPr>
      <w:r>
        <w:rPr>
          <w:rFonts w:ascii="Times New Roman"/>
          <w:color w:val="000000"/>
          <w:sz w:val="24"/>
          <w:szCs w:val="24"/>
        </w:rPr>
        <w:t>3.3.3 承包人无正当理由拒绝撤换主要施工管理人员的违约责任：</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7245736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3.3.4 承包人主要施工管理人员离开施工现场的批准要求：</w:t>
      </w:r>
      <w:r>
        <w:rPr>
          <w:rFonts w:hint="eastAsia" w:ascii="Times New Roman"/>
          <w:color w:val="000000"/>
          <w:sz w:val="24"/>
          <w:szCs w:val="24"/>
          <w:u w:val="single"/>
        </w:rPr>
        <w:t xml:space="preserve">          </w:t>
      </w:r>
      <w:r>
        <w:rPr>
          <w:rFonts w:ascii="Times New Roman"/>
          <w:color w:val="000000"/>
          <w:sz w:val="24"/>
          <w:szCs w:val="24"/>
        </w:rPr>
        <w:t>。</w:t>
      </w:r>
    </w:p>
    <w:p w14:paraId="1EB142F9">
      <w:pPr>
        <w:adjustRightInd w:val="0"/>
        <w:spacing w:line="360" w:lineRule="auto"/>
        <w:ind w:firstLine="484" w:firstLineChars="202"/>
        <w:rPr>
          <w:rFonts w:ascii="Times New Roman"/>
          <w:color w:val="000000"/>
          <w:sz w:val="24"/>
          <w:szCs w:val="24"/>
        </w:rPr>
      </w:pPr>
      <w:r>
        <w:rPr>
          <w:rFonts w:ascii="Times New Roman"/>
          <w:color w:val="000000"/>
          <w:sz w:val="24"/>
          <w:szCs w:val="24"/>
        </w:rPr>
        <w:t>3.3.5</w:t>
      </w:r>
      <w:r>
        <w:rPr>
          <w:rFonts w:hint="eastAsia" w:ascii="Times New Roman"/>
          <w:color w:val="000000"/>
          <w:sz w:val="24"/>
          <w:szCs w:val="24"/>
        </w:rPr>
        <w:t xml:space="preserve"> </w:t>
      </w:r>
      <w:r>
        <w:rPr>
          <w:rFonts w:ascii="Times New Roman"/>
          <w:color w:val="000000"/>
          <w:sz w:val="24"/>
          <w:szCs w:val="24"/>
        </w:rPr>
        <w:t>承包人擅自更换主要施工管理人员的违约责任：</w:t>
      </w:r>
      <w:r>
        <w:rPr>
          <w:rFonts w:hint="eastAsia" w:ascii="Times New Roman"/>
          <w:color w:val="000000"/>
          <w:sz w:val="24"/>
          <w:szCs w:val="24"/>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color w:val="000000"/>
          <w:sz w:val="24"/>
          <w:szCs w:val="24"/>
          <w:u w:val="single"/>
        </w:rPr>
        <w:t>。</w:t>
      </w:r>
    </w:p>
    <w:p w14:paraId="3F3CAD35">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承包人主要施工管理人员擅自离开施工现场的违约责任：</w:t>
      </w:r>
      <w:r>
        <w:rPr>
          <w:rFonts w:hint="eastAsia" w:ascii="Times New Roman"/>
          <w:color w:val="000000"/>
          <w:sz w:val="24"/>
          <w:szCs w:val="24"/>
          <w:u w:val="single"/>
        </w:rPr>
        <w:t xml:space="preserve">          </w:t>
      </w:r>
      <w:r>
        <w:rPr>
          <w:rFonts w:ascii="Times New Roman"/>
          <w:color w:val="000000"/>
          <w:sz w:val="24"/>
          <w:szCs w:val="24"/>
        </w:rPr>
        <w:t>。</w:t>
      </w:r>
    </w:p>
    <w:p w14:paraId="026D69A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w:t>
      </w:r>
      <w:bookmarkStart w:id="94" w:name="_Toc297123492"/>
      <w:bookmarkStart w:id="95" w:name="_Toc296503159"/>
      <w:bookmarkStart w:id="96" w:name="_Toc292559869"/>
      <w:bookmarkStart w:id="97" w:name="_Toc297120459"/>
      <w:bookmarkStart w:id="98" w:name="_Toc297048345"/>
      <w:bookmarkStart w:id="99" w:name="_Toc296346660"/>
      <w:bookmarkStart w:id="100" w:name="_Toc297216151"/>
      <w:bookmarkStart w:id="101" w:name="_Toc304295523"/>
      <w:bookmarkStart w:id="102" w:name="_Toc292559364"/>
      <w:bookmarkStart w:id="103" w:name="_Toc312677988"/>
      <w:bookmarkStart w:id="104" w:name="_Toc303539102"/>
      <w:bookmarkStart w:id="105" w:name="_Toc296347158"/>
      <w:bookmarkStart w:id="106" w:name="_Toc296944498"/>
      <w:bookmarkStart w:id="107" w:name="_Toc296890987"/>
      <w:bookmarkStart w:id="108" w:name="_Toc296891199"/>
      <w:bookmarkStart w:id="109" w:name="_Toc300934945"/>
      <w:r>
        <w:rPr>
          <w:rFonts w:ascii="Times New Roman" w:eastAsia="黑体"/>
          <w:bCs/>
          <w:color w:val="000000"/>
          <w:sz w:val="24"/>
          <w:szCs w:val="24"/>
        </w:rPr>
        <w:t>.5 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597EDA6D">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10" w:name="_Toc304295524"/>
      <w:bookmarkStart w:id="111" w:name="_Toc296347159"/>
      <w:bookmarkStart w:id="112" w:name="_Toc296944499"/>
      <w:bookmarkStart w:id="113" w:name="_Toc297120460"/>
      <w:bookmarkStart w:id="114" w:name="_Toc292559870"/>
      <w:bookmarkStart w:id="115" w:name="_Toc300934946"/>
      <w:bookmarkStart w:id="116" w:name="_Toc296891200"/>
      <w:bookmarkStart w:id="117" w:name="_Toc296890988"/>
      <w:bookmarkStart w:id="118" w:name="_Toc296346661"/>
      <w:bookmarkStart w:id="119" w:name="_Toc297216152"/>
      <w:bookmarkStart w:id="120" w:name="_Toc296503160"/>
      <w:bookmarkStart w:id="121" w:name="_Toc303539103"/>
      <w:bookmarkStart w:id="122" w:name="_Toc297048346"/>
      <w:bookmarkStart w:id="123" w:name="_Toc292559365"/>
      <w:bookmarkStart w:id="124" w:name="_Toc297123493"/>
      <w:bookmarkStart w:id="125" w:name="_Toc318581158"/>
      <w:bookmarkStart w:id="126" w:name="_Toc312677989"/>
      <w:r>
        <w:rPr>
          <w:rFonts w:ascii="Times New Roman"/>
          <w:color w:val="000000"/>
          <w:sz w:val="24"/>
          <w:szCs w:val="24"/>
        </w:rPr>
        <w:t>.5.1 分包的一般约定</w:t>
      </w:r>
    </w:p>
    <w:p w14:paraId="7F33ED0B">
      <w:pPr>
        <w:adjustRightInd w:val="0"/>
        <w:spacing w:line="360" w:lineRule="auto"/>
        <w:ind w:firstLine="480" w:firstLineChars="200"/>
        <w:rPr>
          <w:rFonts w:ascii="Times New Roman"/>
          <w:color w:val="000000"/>
          <w:sz w:val="24"/>
          <w:szCs w:val="24"/>
        </w:rPr>
      </w:pPr>
      <w:r>
        <w:rPr>
          <w:rFonts w:ascii="Times New Roman"/>
          <w:color w:val="000000"/>
          <w:sz w:val="24"/>
          <w:szCs w:val="24"/>
        </w:rPr>
        <w:t>禁止分包的工程包括：</w:t>
      </w:r>
      <w:r>
        <w:rPr>
          <w:rFonts w:hint="eastAsia" w:ascii="Times New Roman"/>
          <w:color w:val="000000"/>
          <w:sz w:val="24"/>
          <w:szCs w:val="24"/>
          <w:u w:val="single"/>
        </w:rPr>
        <w:t xml:space="preserve">          </w:t>
      </w:r>
      <w:r>
        <w:rPr>
          <w:rFonts w:ascii="Times New Roman"/>
          <w:color w:val="000000"/>
          <w:sz w:val="24"/>
          <w:szCs w:val="24"/>
        </w:rPr>
        <w:t>。</w:t>
      </w:r>
    </w:p>
    <w:p w14:paraId="03911CF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主体结构、关键性工作的范围：</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Start w:id="127" w:name="_Toc303539104"/>
      <w:bookmarkStart w:id="128" w:name="_Toc297123494"/>
      <w:bookmarkStart w:id="129" w:name="_Toc296890989"/>
      <w:bookmarkStart w:id="130" w:name="_Toc296346662"/>
      <w:bookmarkStart w:id="131" w:name="_Toc297120461"/>
      <w:bookmarkStart w:id="132" w:name="_Toc304295525"/>
      <w:bookmarkStart w:id="133" w:name="_Toc300934947"/>
      <w:bookmarkStart w:id="134" w:name="_Toc296891201"/>
      <w:bookmarkStart w:id="135" w:name="_Toc297048347"/>
      <w:bookmarkStart w:id="136" w:name="_Toc296503161"/>
      <w:bookmarkStart w:id="137" w:name="_Toc296944500"/>
      <w:bookmarkStart w:id="138" w:name="_Toc297216153"/>
      <w:bookmarkStart w:id="139" w:name="_Toc296347160"/>
      <w:r>
        <w:rPr>
          <w:rFonts w:hint="eastAsia" w:ascii="Times New Roman"/>
          <w:color w:val="000000"/>
          <w:sz w:val="24"/>
          <w:szCs w:val="24"/>
          <w:u w:val="single"/>
        </w:rPr>
        <w:t xml:space="preserve">          </w:t>
      </w:r>
      <w:r>
        <w:rPr>
          <w:rFonts w:ascii="Times New Roman"/>
          <w:color w:val="000000"/>
          <w:sz w:val="24"/>
          <w:szCs w:val="24"/>
        </w:rPr>
        <w:t>。</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6BE17FEB">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40" w:name="_Toc318581159"/>
      <w:bookmarkStart w:id="141" w:name="_Toc312677990"/>
      <w:r>
        <w:rPr>
          <w:rFonts w:ascii="Times New Roman"/>
          <w:color w:val="000000"/>
          <w:sz w:val="24"/>
          <w:szCs w:val="24"/>
        </w:rPr>
        <w:t>.5.2</w:t>
      </w:r>
      <w:r>
        <w:rPr>
          <w:rFonts w:hint="eastAsia" w:ascii="Times New Roman"/>
          <w:color w:val="000000"/>
          <w:sz w:val="24"/>
          <w:szCs w:val="24"/>
        </w:rPr>
        <w:t xml:space="preserve"> </w:t>
      </w:r>
      <w:r>
        <w:rPr>
          <w:rFonts w:ascii="Times New Roman"/>
          <w:color w:val="000000"/>
          <w:sz w:val="24"/>
          <w:szCs w:val="24"/>
        </w:rPr>
        <w:t>分包的确定</w:t>
      </w:r>
    </w:p>
    <w:p w14:paraId="56C3984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允许分包的专业工程包括：</w:t>
      </w:r>
      <w:r>
        <w:rPr>
          <w:rFonts w:hint="eastAsia" w:ascii="Times New Roman"/>
          <w:color w:val="000000"/>
          <w:sz w:val="24"/>
          <w:szCs w:val="24"/>
          <w:u w:val="single"/>
        </w:rPr>
        <w:t xml:space="preserve">          </w:t>
      </w:r>
      <w:r>
        <w:rPr>
          <w:rFonts w:ascii="Times New Roman"/>
          <w:color w:val="000000"/>
          <w:sz w:val="24"/>
          <w:szCs w:val="24"/>
        </w:rPr>
        <w:t>。</w:t>
      </w:r>
    </w:p>
    <w:p w14:paraId="0446A9E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其他关于分包的约定：</w:t>
      </w:r>
      <w:r>
        <w:rPr>
          <w:rFonts w:hint="eastAsia" w:ascii="Times New Roman"/>
          <w:color w:val="000000"/>
          <w:sz w:val="24"/>
          <w:szCs w:val="24"/>
          <w:u w:val="single"/>
        </w:rPr>
        <w:t xml:space="preserve">          </w:t>
      </w:r>
      <w:r>
        <w:rPr>
          <w:rFonts w:ascii="Times New Roman"/>
          <w:color w:val="000000"/>
          <w:sz w:val="24"/>
          <w:szCs w:val="24"/>
        </w:rPr>
        <w:t>。</w:t>
      </w:r>
    </w:p>
    <w:p w14:paraId="423C8F5C">
      <w:pPr>
        <w:adjustRightInd w:val="0"/>
        <w:spacing w:line="360" w:lineRule="auto"/>
        <w:ind w:firstLine="480" w:firstLineChars="200"/>
        <w:rPr>
          <w:rFonts w:ascii="Times New Roman"/>
          <w:color w:val="000000"/>
          <w:sz w:val="24"/>
          <w:szCs w:val="24"/>
        </w:rPr>
      </w:pPr>
      <w:r>
        <w:rPr>
          <w:rFonts w:ascii="Times New Roman"/>
          <w:color w:val="000000"/>
          <w:sz w:val="24"/>
          <w:szCs w:val="24"/>
        </w:rPr>
        <w:t>3.5.4 分包合同价款</w:t>
      </w:r>
    </w:p>
    <w:p w14:paraId="7D74531F">
      <w:pPr>
        <w:adjustRightInd w:val="0"/>
        <w:spacing w:line="360" w:lineRule="auto"/>
        <w:ind w:firstLine="480" w:firstLineChars="200"/>
        <w:rPr>
          <w:rFonts w:ascii="Times New Roman"/>
          <w:color w:val="000000"/>
          <w:sz w:val="24"/>
          <w:szCs w:val="24"/>
        </w:rPr>
      </w:pPr>
      <w:r>
        <w:rPr>
          <w:rFonts w:ascii="Times New Roman"/>
          <w:color w:val="000000"/>
          <w:sz w:val="24"/>
          <w:szCs w:val="24"/>
        </w:rPr>
        <w:t>关于分包合同价款支付的约定：</w:t>
      </w:r>
      <w:r>
        <w:rPr>
          <w:rFonts w:hint="eastAsia" w:ascii="Times New Roman"/>
          <w:color w:val="000000"/>
          <w:sz w:val="24"/>
          <w:szCs w:val="24"/>
          <w:u w:val="single"/>
        </w:rPr>
        <w:t xml:space="preserve">          </w:t>
      </w:r>
      <w:r>
        <w:rPr>
          <w:rFonts w:ascii="Times New Roman"/>
          <w:color w:val="000000"/>
          <w:sz w:val="24"/>
          <w:szCs w:val="24"/>
        </w:rPr>
        <w:t>。</w:t>
      </w:r>
    </w:p>
    <w:bookmarkEnd w:id="140"/>
    <w:bookmarkEnd w:id="141"/>
    <w:p w14:paraId="1F109E5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3.6 工程照管与成品、半成品保护</w:t>
      </w:r>
    </w:p>
    <w:p w14:paraId="47BE58A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承包人负责照管工程及工程相关的材料、工程设备的起始时间：</w:t>
      </w:r>
      <w:r>
        <w:rPr>
          <w:rFonts w:hint="eastAsia" w:ascii="Times New Roman"/>
          <w:color w:val="000000"/>
          <w:sz w:val="24"/>
          <w:szCs w:val="24"/>
          <w:u w:val="single"/>
        </w:rPr>
        <w:t>自发包人向承包人移交施工现场之日起，承包人应负责照管工程及工程相关的材料、工程设备，直到颁发工程接收证书之日止</w:t>
      </w:r>
      <w:r>
        <w:rPr>
          <w:rFonts w:ascii="Times New Roman"/>
          <w:color w:val="000000"/>
          <w:sz w:val="24"/>
          <w:szCs w:val="24"/>
          <w:u w:val="single"/>
        </w:rPr>
        <w:t>。</w:t>
      </w:r>
    </w:p>
    <w:p w14:paraId="5F158B7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3.7 履约保证金</w:t>
      </w:r>
    </w:p>
    <w:p w14:paraId="28AFEA26">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承包人是否提供履约保证金：</w:t>
      </w:r>
      <w:r>
        <w:rPr>
          <w:rFonts w:hint="eastAsia" w:ascii="Times New Roman"/>
          <w:color w:val="000000"/>
          <w:sz w:val="24"/>
          <w:szCs w:val="24"/>
          <w:u w:val="single"/>
        </w:rPr>
        <w:t>见《专用合同条款数据表》</w:t>
      </w:r>
      <w:r>
        <w:rPr>
          <w:rFonts w:hint="eastAsia" w:ascii="Times New Roman"/>
          <w:color w:val="000000"/>
          <w:sz w:val="24"/>
          <w:szCs w:val="24"/>
        </w:rPr>
        <w:t>。</w:t>
      </w:r>
    </w:p>
    <w:p w14:paraId="2F883370">
      <w:pPr>
        <w:adjustRightInd w:val="0"/>
        <w:snapToGrid w:val="0"/>
        <w:spacing w:line="360" w:lineRule="auto"/>
        <w:ind w:left="-70" w:leftChars="-35" w:firstLine="568" w:firstLineChars="237"/>
        <w:rPr>
          <w:rFonts w:hint="eastAsia" w:ascii="Times New Roman"/>
          <w:b/>
          <w:color w:val="000000"/>
          <w:sz w:val="24"/>
          <w:szCs w:val="24"/>
        </w:rPr>
      </w:pPr>
      <w:r>
        <w:rPr>
          <w:rFonts w:ascii="Times New Roman"/>
          <w:color w:val="000000"/>
          <w:sz w:val="24"/>
          <w:szCs w:val="24"/>
        </w:rPr>
        <w:t>承包人提供履约保证金的形式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hint="eastAsia" w:ascii="Times New Roman"/>
          <w:color w:val="000000"/>
          <w:sz w:val="24"/>
          <w:szCs w:val="24"/>
        </w:rPr>
        <w:t>。</w:t>
      </w:r>
    </w:p>
    <w:p w14:paraId="0C51FAB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履约保证金的</w:t>
      </w:r>
      <w:r>
        <w:rPr>
          <w:rFonts w:hint="eastAsia" w:ascii="Times New Roman"/>
          <w:color w:val="000000"/>
          <w:sz w:val="24"/>
          <w:szCs w:val="24"/>
        </w:rPr>
        <w:t>金额：</w:t>
      </w:r>
      <w:r>
        <w:rPr>
          <w:rFonts w:hint="eastAsia" w:ascii="Times New Roman"/>
          <w:color w:val="000000"/>
          <w:sz w:val="24"/>
          <w:szCs w:val="24"/>
          <w:u w:val="single"/>
        </w:rPr>
        <w:t>见《专用合同条款数据表》</w:t>
      </w:r>
      <w:r>
        <w:rPr>
          <w:rFonts w:hint="eastAsia" w:ascii="Times New Roman"/>
          <w:color w:val="000000"/>
          <w:sz w:val="24"/>
          <w:szCs w:val="24"/>
        </w:rPr>
        <w:t>。</w:t>
      </w:r>
    </w:p>
    <w:p w14:paraId="2A37E0EF">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履约保证金提交期限的要求</w:t>
      </w:r>
      <w:r>
        <w:rPr>
          <w:rFonts w:ascii="Times New Roman"/>
          <w:color w:val="000000"/>
          <w:sz w:val="24"/>
          <w:szCs w:val="24"/>
        </w:rPr>
        <w:t>：</w:t>
      </w:r>
      <w:r>
        <w:rPr>
          <w:rFonts w:hint="eastAsia" w:ascii="Times New Roman"/>
          <w:color w:val="000000"/>
          <w:sz w:val="24"/>
          <w:szCs w:val="24"/>
          <w:u w:val="single"/>
        </w:rPr>
        <w:t>见《专用合同条款数据表》。</w:t>
      </w:r>
    </w:p>
    <w:p w14:paraId="1844DC48">
      <w:pPr>
        <w:adjustRightInd w:val="0"/>
        <w:spacing w:line="360" w:lineRule="auto"/>
        <w:ind w:firstLine="480" w:firstLineChars="200"/>
        <w:rPr>
          <w:rFonts w:ascii="Times New Roman"/>
          <w:strike/>
          <w:color w:val="000000"/>
          <w:sz w:val="24"/>
          <w:szCs w:val="24"/>
        </w:rPr>
      </w:pPr>
      <w:r>
        <w:rPr>
          <w:rFonts w:hint="eastAsia" w:ascii="Times New Roman"/>
          <w:bCs/>
          <w:snapToGrid w:val="0"/>
          <w:color w:val="000000"/>
          <w:sz w:val="24"/>
          <w:szCs w:val="24"/>
        </w:rPr>
        <w:t>履约保证金退还时限：</w:t>
      </w:r>
      <w:r>
        <w:rPr>
          <w:rFonts w:hint="eastAsia" w:ascii="Times New Roman"/>
          <w:color w:val="000000"/>
          <w:sz w:val="24"/>
          <w:szCs w:val="24"/>
          <w:u w:val="single"/>
        </w:rPr>
        <w:t>见《专用合同条款数据表》。</w:t>
      </w:r>
    </w:p>
    <w:p w14:paraId="1F91D1BE">
      <w:pPr>
        <w:spacing w:before="240" w:beforeLines="100" w:after="240" w:afterLines="100"/>
        <w:outlineLvl w:val="2"/>
        <w:rPr>
          <w:rFonts w:ascii="Times New Roman" w:eastAsia="黑体"/>
          <w:color w:val="000000"/>
          <w:sz w:val="24"/>
          <w:szCs w:val="24"/>
        </w:rPr>
      </w:pPr>
      <w:bookmarkStart w:id="142" w:name="_Toc351203636"/>
      <w:r>
        <w:rPr>
          <w:rFonts w:ascii="Times New Roman" w:eastAsia="黑体"/>
          <w:color w:val="000000"/>
          <w:sz w:val="24"/>
          <w:szCs w:val="24"/>
        </w:rPr>
        <w:t>4</w:t>
      </w:r>
      <w:bookmarkStart w:id="143" w:name="_Toc296503162"/>
      <w:bookmarkStart w:id="144" w:name="_Toc292559366"/>
      <w:bookmarkStart w:id="145" w:name="_Toc296944501"/>
      <w:bookmarkStart w:id="146" w:name="_Toc296346663"/>
      <w:bookmarkStart w:id="147" w:name="_Toc267251413"/>
      <w:bookmarkStart w:id="148" w:name="_Toc297120462"/>
      <w:bookmarkStart w:id="149" w:name="_Toc296890990"/>
      <w:bookmarkStart w:id="150" w:name="_Toc296891202"/>
      <w:bookmarkStart w:id="151" w:name="_Toc296347161"/>
      <w:bookmarkStart w:id="152" w:name="_Toc297048348"/>
      <w:bookmarkStart w:id="153" w:name="_Toc292559871"/>
      <w:r>
        <w:rPr>
          <w:rFonts w:ascii="Times New Roman" w:eastAsia="黑体"/>
          <w:color w:val="000000"/>
          <w:sz w:val="24"/>
          <w:szCs w:val="24"/>
        </w:rPr>
        <w:t>. 监</w:t>
      </w:r>
      <w:bookmarkEnd w:id="143"/>
      <w:bookmarkEnd w:id="144"/>
      <w:bookmarkEnd w:id="145"/>
      <w:bookmarkEnd w:id="146"/>
      <w:bookmarkEnd w:id="147"/>
      <w:bookmarkEnd w:id="148"/>
      <w:bookmarkEnd w:id="149"/>
      <w:bookmarkEnd w:id="150"/>
      <w:bookmarkEnd w:id="151"/>
      <w:bookmarkEnd w:id="152"/>
      <w:bookmarkEnd w:id="153"/>
      <w:r>
        <w:rPr>
          <w:rFonts w:ascii="Times New Roman" w:eastAsia="黑体"/>
          <w:color w:val="000000"/>
          <w:sz w:val="24"/>
          <w:szCs w:val="24"/>
        </w:rPr>
        <w:t>理人</w:t>
      </w:r>
      <w:bookmarkEnd w:id="142"/>
    </w:p>
    <w:p w14:paraId="79A7B65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4.1</w:t>
      </w:r>
      <w:r>
        <w:rPr>
          <w:rFonts w:hint="eastAsia" w:ascii="Times New Roman" w:eastAsia="黑体"/>
          <w:bCs/>
          <w:color w:val="000000"/>
          <w:sz w:val="24"/>
          <w:szCs w:val="24"/>
        </w:rPr>
        <w:t xml:space="preserve"> </w:t>
      </w:r>
      <w:r>
        <w:rPr>
          <w:rFonts w:ascii="Times New Roman" w:eastAsia="黑体"/>
          <w:bCs/>
          <w:color w:val="000000"/>
          <w:sz w:val="24"/>
          <w:szCs w:val="24"/>
        </w:rPr>
        <w:t>监理人的一般规定</w:t>
      </w:r>
    </w:p>
    <w:p w14:paraId="60A7B30D">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关于监理人的监理内容：</w:t>
      </w:r>
      <w:r>
        <w:rPr>
          <w:rFonts w:hint="eastAsia" w:ascii="Times New Roman"/>
          <w:color w:val="000000"/>
          <w:sz w:val="24"/>
          <w:szCs w:val="24"/>
          <w:u w:val="single"/>
        </w:rPr>
        <w:t xml:space="preserve">           </w:t>
      </w:r>
      <w:r>
        <w:rPr>
          <w:rFonts w:hint="eastAsia" w:ascii="Times New Roman"/>
          <w:color w:val="000000"/>
          <w:sz w:val="24"/>
          <w:szCs w:val="24"/>
        </w:rPr>
        <w:t>。</w:t>
      </w:r>
    </w:p>
    <w:p w14:paraId="085E132B">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关于监理人的监理权限：</w:t>
      </w:r>
      <w:r>
        <w:rPr>
          <w:rFonts w:hint="eastAsia" w:ascii="Times New Roman"/>
          <w:color w:val="000000"/>
          <w:sz w:val="24"/>
          <w:szCs w:val="24"/>
          <w:u w:val="single"/>
        </w:rPr>
        <w:t xml:space="preserve">           </w:t>
      </w:r>
      <w:r>
        <w:rPr>
          <w:rFonts w:hint="eastAsia" w:ascii="Times New Roman"/>
          <w:color w:val="000000"/>
          <w:sz w:val="24"/>
          <w:szCs w:val="24"/>
        </w:rPr>
        <w:t>。</w:t>
      </w:r>
    </w:p>
    <w:p w14:paraId="60325F4B">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关于监理人在施工现场的办公场所、生活场所的提供和费用承担的约定：</w:t>
      </w:r>
      <w:r>
        <w:rPr>
          <w:rFonts w:hint="eastAsia" w:ascii="Times New Roman"/>
          <w:color w:val="000000"/>
          <w:sz w:val="24"/>
          <w:szCs w:val="24"/>
          <w:u w:val="single"/>
        </w:rPr>
        <w:t xml:space="preserve">      </w:t>
      </w:r>
      <w:r>
        <w:rPr>
          <w:rFonts w:hint="eastAsia" w:ascii="Times New Roman"/>
          <w:color w:val="000000"/>
          <w:sz w:val="24"/>
          <w:szCs w:val="24"/>
        </w:rPr>
        <w:t>。</w:t>
      </w:r>
    </w:p>
    <w:p w14:paraId="6AD3869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4.2 监理人员</w:t>
      </w:r>
    </w:p>
    <w:p w14:paraId="1BEF2DD1">
      <w:pPr>
        <w:adjustRightInd w:val="0"/>
        <w:spacing w:line="360" w:lineRule="auto"/>
        <w:ind w:firstLine="480" w:firstLineChars="200"/>
        <w:rPr>
          <w:rFonts w:ascii="Times New Roman"/>
          <w:color w:val="000000"/>
          <w:sz w:val="24"/>
          <w:szCs w:val="24"/>
        </w:rPr>
      </w:pPr>
      <w:r>
        <w:rPr>
          <w:rFonts w:ascii="Times New Roman"/>
          <w:color w:val="000000"/>
          <w:sz w:val="24"/>
          <w:szCs w:val="24"/>
        </w:rPr>
        <w:t>总监理工程师：</w:t>
      </w:r>
    </w:p>
    <w:p w14:paraId="14EC7C3B">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C680F02">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FC55724">
      <w:pPr>
        <w:adjustRightInd w:val="0"/>
        <w:spacing w:line="360" w:lineRule="auto"/>
        <w:ind w:firstLine="480" w:firstLineChars="200"/>
        <w:rPr>
          <w:rFonts w:ascii="Times New Roman"/>
          <w:color w:val="000000"/>
          <w:sz w:val="24"/>
          <w:szCs w:val="24"/>
        </w:rPr>
      </w:pPr>
      <w:r>
        <w:rPr>
          <w:rFonts w:ascii="Times New Roman"/>
          <w:color w:val="000000"/>
          <w:sz w:val="24"/>
          <w:szCs w:val="24"/>
        </w:rPr>
        <w:t>监理工程师执业资格证书号：</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AD62EC4">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FDEA41C">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AEE44D4">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86523DC">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关于监理人的其他约定：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302A65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4.4 商定或确定</w:t>
      </w:r>
    </w:p>
    <w:p w14:paraId="3B2DBE55">
      <w:pPr>
        <w:adjustRightInd w:val="0"/>
        <w:spacing w:line="360" w:lineRule="auto"/>
        <w:ind w:firstLine="480" w:firstLineChars="200"/>
        <w:rPr>
          <w:rFonts w:ascii="Times New Roman"/>
          <w:color w:val="000000"/>
          <w:sz w:val="24"/>
          <w:szCs w:val="24"/>
        </w:rPr>
      </w:pPr>
      <w:bookmarkStart w:id="154" w:name="_Toc267251418"/>
      <w:r>
        <w:rPr>
          <w:rFonts w:ascii="Times New Roman"/>
          <w:color w:val="000000"/>
          <w:sz w:val="24"/>
          <w:szCs w:val="24"/>
        </w:rPr>
        <w:t>在发包人和承包人不能通过协商达成一致意见时，发包人授权监理人对以下事项进行确定：</w:t>
      </w:r>
    </w:p>
    <w:p w14:paraId="5C9C398A">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D0D6867">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E7ABADA">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49B0103">
      <w:pPr>
        <w:spacing w:before="240" w:beforeLines="100" w:after="240" w:afterLines="100"/>
        <w:outlineLvl w:val="2"/>
        <w:rPr>
          <w:rFonts w:ascii="Times New Roman" w:eastAsia="黑体"/>
          <w:color w:val="000000"/>
          <w:sz w:val="24"/>
          <w:szCs w:val="24"/>
        </w:rPr>
      </w:pPr>
      <w:bookmarkStart w:id="155" w:name="_Toc351203637"/>
      <w:r>
        <w:rPr>
          <w:rFonts w:ascii="Times New Roman" w:eastAsia="黑体"/>
          <w:color w:val="000000"/>
          <w:sz w:val="24"/>
          <w:szCs w:val="24"/>
        </w:rPr>
        <w:t>5</w:t>
      </w:r>
      <w:bookmarkEnd w:id="154"/>
      <w:bookmarkStart w:id="156" w:name="_Toc296503163"/>
      <w:bookmarkStart w:id="157" w:name="_Toc292559367"/>
      <w:bookmarkStart w:id="158" w:name="_Toc296944502"/>
      <w:bookmarkStart w:id="159" w:name="_Toc296346664"/>
      <w:bookmarkStart w:id="160" w:name="_Toc292559872"/>
      <w:bookmarkStart w:id="161" w:name="_Toc297048349"/>
      <w:bookmarkStart w:id="162" w:name="_Toc296891203"/>
      <w:bookmarkStart w:id="163" w:name="_Toc296347162"/>
      <w:bookmarkStart w:id="164" w:name="_Toc296890991"/>
      <w:bookmarkStart w:id="165" w:name="_Toc297120463"/>
      <w:r>
        <w:rPr>
          <w:rFonts w:ascii="Times New Roman" w:eastAsia="黑体"/>
          <w:color w:val="000000"/>
          <w:sz w:val="24"/>
          <w:szCs w:val="24"/>
        </w:rPr>
        <w:t>. 工程质量</w:t>
      </w:r>
      <w:bookmarkEnd w:id="155"/>
    </w:p>
    <w:p w14:paraId="30B1E45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5.1 质量要求</w:t>
      </w:r>
    </w:p>
    <w:p w14:paraId="3716C50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w:t>
      </w:r>
      <w:bookmarkStart w:id="166" w:name="_Toc318581164"/>
      <w:bookmarkStart w:id="167" w:name="_Toc297123496"/>
      <w:bookmarkStart w:id="168" w:name="_Toc303539106"/>
      <w:bookmarkStart w:id="169" w:name="_Toc300934949"/>
      <w:bookmarkStart w:id="170" w:name="_Toc297216155"/>
      <w:bookmarkStart w:id="171" w:name="_Toc312677997"/>
      <w:bookmarkStart w:id="172" w:name="_Toc304295527"/>
      <w:r>
        <w:rPr>
          <w:rFonts w:ascii="Times New Roman"/>
          <w:color w:val="000000"/>
          <w:sz w:val="24"/>
          <w:szCs w:val="24"/>
        </w:rPr>
        <w:t>.1.1 特殊质量标准和要求：</w:t>
      </w:r>
      <w:r>
        <w:rPr>
          <w:rFonts w:hint="eastAsia" w:ascii="Times New Roman"/>
          <w:color w:val="000000"/>
          <w:sz w:val="24"/>
          <w:szCs w:val="24"/>
          <w:u w:val="single"/>
        </w:rPr>
        <w:t>见《专用合同条款数据表》</w:t>
      </w:r>
      <w:r>
        <w:rPr>
          <w:rFonts w:ascii="Times New Roman"/>
          <w:color w:val="000000"/>
          <w:sz w:val="24"/>
          <w:szCs w:val="24"/>
        </w:rPr>
        <w:t>。</w:t>
      </w:r>
    </w:p>
    <w:p w14:paraId="40A060FE">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关于工程奖项的约定：</w:t>
      </w:r>
      <w:r>
        <w:rPr>
          <w:rFonts w:hint="eastAsia" w:ascii="Times New Roman"/>
          <w:color w:val="000000"/>
          <w:sz w:val="24"/>
          <w:szCs w:val="24"/>
          <w:u w:val="single"/>
        </w:rPr>
        <w:t>见《专用合同条款数据表》</w:t>
      </w:r>
      <w:r>
        <w:rPr>
          <w:rFonts w:ascii="Times New Roman"/>
          <w:color w:val="000000"/>
          <w:sz w:val="24"/>
          <w:szCs w:val="24"/>
        </w:rPr>
        <w:t>。</w:t>
      </w:r>
    </w:p>
    <w:p w14:paraId="15C040C5">
      <w:pPr>
        <w:spacing w:line="300" w:lineRule="auto"/>
        <w:ind w:firstLine="480" w:firstLineChars="200"/>
        <w:jc w:val="left"/>
        <w:rPr>
          <w:rFonts w:hint="eastAsia" w:ascii="Times New Roman" w:cs="宋体"/>
          <w:color w:val="000000"/>
          <w:sz w:val="24"/>
          <w:szCs w:val="24"/>
        </w:rPr>
      </w:pPr>
      <w:bookmarkStart w:id="173" w:name="_Toc351203638"/>
      <w:r>
        <w:rPr>
          <w:rFonts w:hint="eastAsia" w:ascii="Times New Roman" w:cs="宋体"/>
          <w:color w:val="000000"/>
          <w:sz w:val="24"/>
          <w:szCs w:val="24"/>
        </w:rPr>
        <w:t>关于建造要求：</w:t>
      </w:r>
    </w:p>
    <w:p w14:paraId="4D95C42B">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（1）绿色建筑等级要求：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54BEAE67">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（2）智慧工地管理要求：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73A8CF80">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（3）建筑垃圾减量化目标：</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286755B3">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（4）装配式建筑装配率要求：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77BE9888">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（5）</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0D9A5AB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5.3 隐蔽工程检查</w:t>
      </w:r>
    </w:p>
    <w:p w14:paraId="425C873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5.3.2</w:t>
      </w:r>
      <w:r>
        <w:rPr>
          <w:rFonts w:hint="eastAsia" w:ascii="Times New Roman"/>
          <w:color w:val="000000"/>
          <w:sz w:val="24"/>
          <w:szCs w:val="24"/>
        </w:rPr>
        <w:t xml:space="preserve"> </w:t>
      </w:r>
      <w:r>
        <w:rPr>
          <w:rFonts w:ascii="Times New Roman"/>
          <w:color w:val="000000"/>
          <w:sz w:val="24"/>
          <w:szCs w:val="24"/>
        </w:rPr>
        <w:t>承包人提前通知监理人隐蔽工程检查的期限的约定：</w:t>
      </w:r>
      <w:r>
        <w:rPr>
          <w:rFonts w:hint="eastAsia" w:ascii="Times New Roman"/>
          <w:color w:val="000000"/>
          <w:sz w:val="24"/>
          <w:szCs w:val="24"/>
          <w:u w:val="single"/>
        </w:rPr>
        <w:t xml:space="preserve">    </w:t>
      </w:r>
      <w:r>
        <w:rPr>
          <w:rFonts w:ascii="Times New Roman"/>
          <w:color w:val="000000"/>
          <w:sz w:val="24"/>
          <w:szCs w:val="24"/>
        </w:rPr>
        <w:t>。</w:t>
      </w:r>
    </w:p>
    <w:p w14:paraId="0DF4AECF">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监理人不能按时进行检查时，应提前</w:t>
      </w:r>
      <w:r>
        <w:rPr>
          <w:rFonts w:hint="eastAsia" w:ascii="Times New Roman"/>
          <w:color w:val="000000"/>
          <w:sz w:val="24"/>
          <w:szCs w:val="24"/>
          <w:u w:val="single"/>
        </w:rPr>
        <w:t xml:space="preserve">   </w:t>
      </w:r>
      <w:r>
        <w:rPr>
          <w:rFonts w:ascii="Times New Roman"/>
          <w:color w:val="000000"/>
          <w:sz w:val="24"/>
          <w:szCs w:val="24"/>
        </w:rPr>
        <w:t>小时提交书面延期要求。</w:t>
      </w:r>
    </w:p>
    <w:p w14:paraId="2719D670">
      <w:pPr>
        <w:adjustRightInd w:val="0"/>
        <w:spacing w:line="360" w:lineRule="auto"/>
        <w:ind w:firstLine="480" w:firstLineChars="200"/>
        <w:rPr>
          <w:rFonts w:ascii="Times New Roman"/>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 xml:space="preserve">   </w:t>
      </w:r>
      <w:r>
        <w:rPr>
          <w:rFonts w:ascii="Times New Roman"/>
          <w:color w:val="000000"/>
          <w:sz w:val="24"/>
          <w:szCs w:val="24"/>
        </w:rPr>
        <w:t>小时。</w:t>
      </w:r>
    </w:p>
    <w:p w14:paraId="58449472">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5</w:t>
      </w:r>
      <w:bookmarkStart w:id="174" w:name="_Toc337558762"/>
      <w:r>
        <w:rPr>
          <w:rFonts w:hint="eastAsia" w:ascii="Times New Roman" w:eastAsia="黑体"/>
          <w:bCs/>
          <w:color w:val="000000"/>
          <w:sz w:val="24"/>
          <w:szCs w:val="24"/>
        </w:rPr>
        <w:t>.4 不合格工程的处理</w:t>
      </w:r>
    </w:p>
    <w:bookmarkEnd w:id="174"/>
    <w:p w14:paraId="5D11B62D">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本款补充5.4.3项：</w:t>
      </w:r>
    </w:p>
    <w:p w14:paraId="778C57A6">
      <w:pPr>
        <w:spacing w:line="360" w:lineRule="auto"/>
        <w:ind w:firstLine="480" w:firstLineChars="200"/>
        <w:jc w:val="left"/>
        <w:rPr>
          <w:rFonts w:ascii="Times New Roman"/>
          <w:color w:val="000000"/>
          <w:sz w:val="24"/>
          <w:szCs w:val="24"/>
        </w:rPr>
      </w:pPr>
      <w:r>
        <w:rPr>
          <w:rFonts w:hint="eastAsia" w:ascii="Times New Roman"/>
          <w:color w:val="000000"/>
          <w:sz w:val="24"/>
          <w:szCs w:val="24"/>
        </w:rPr>
        <w:t>5.4.3 承包人在收到监理人发出的《不合格分项报告》或监理通知单后，必须在监理人规定时间内按要求完成整改，未能在限定时间内完成整改的，须承担相应违约责任。</w:t>
      </w:r>
    </w:p>
    <w:p w14:paraId="27690513">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本条补充5.6款：</w:t>
      </w:r>
    </w:p>
    <w:p w14:paraId="7465F924">
      <w:pPr>
        <w:keepNext/>
        <w:keepLines/>
        <w:spacing w:before="120" w:after="120" w:line="360" w:lineRule="auto"/>
        <w:ind w:firstLine="480" w:firstLineChars="200"/>
        <w:outlineLvl w:val="3"/>
        <w:rPr>
          <w:rFonts w:ascii="Times New Roman" w:eastAsia="黑体"/>
          <w:bCs/>
          <w:color w:val="000000"/>
          <w:sz w:val="24"/>
          <w:szCs w:val="24"/>
        </w:rPr>
      </w:pPr>
      <w:bookmarkStart w:id="175" w:name="_Toc532377348"/>
      <w:r>
        <w:rPr>
          <w:rFonts w:hint="eastAsia" w:ascii="Times New Roman" w:eastAsia="黑体"/>
          <w:bCs/>
          <w:color w:val="000000"/>
          <w:sz w:val="24"/>
          <w:szCs w:val="24"/>
        </w:rPr>
        <w:t>5.6 质量事故的处理</w:t>
      </w:r>
      <w:bookmarkEnd w:id="175"/>
    </w:p>
    <w:p w14:paraId="252BDB9A">
      <w:pPr>
        <w:spacing w:line="360" w:lineRule="auto"/>
        <w:ind w:firstLine="480" w:firstLineChars="200"/>
        <w:jc w:val="left"/>
        <w:rPr>
          <w:rFonts w:ascii="Times New Roman"/>
          <w:color w:val="000000"/>
          <w:sz w:val="24"/>
          <w:szCs w:val="24"/>
        </w:rPr>
      </w:pPr>
      <w:r>
        <w:rPr>
          <w:rFonts w:hint="eastAsia" w:ascii="Times New Roman"/>
          <w:color w:val="000000"/>
          <w:sz w:val="24"/>
          <w:szCs w:val="24"/>
        </w:rPr>
        <w:t>5.6.1 合同履行过程中，发生工程质量事故的调查处理按照国家及合肥市现行规定处理。</w:t>
      </w:r>
    </w:p>
    <w:p w14:paraId="51DDE0D0">
      <w:pPr>
        <w:spacing w:line="360" w:lineRule="auto"/>
        <w:ind w:firstLine="480" w:firstLineChars="200"/>
        <w:jc w:val="left"/>
        <w:rPr>
          <w:rFonts w:ascii="Times New Roman"/>
          <w:color w:val="000000"/>
          <w:sz w:val="24"/>
          <w:szCs w:val="24"/>
        </w:rPr>
      </w:pPr>
      <w:r>
        <w:rPr>
          <w:rFonts w:hint="eastAsia" w:ascii="Times New Roman"/>
          <w:color w:val="000000"/>
          <w:sz w:val="24"/>
          <w:szCs w:val="24"/>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33DEB19B">
      <w:pPr>
        <w:spacing w:before="240" w:beforeLines="100" w:after="240" w:afterLines="100"/>
        <w:outlineLvl w:val="2"/>
        <w:rPr>
          <w:rFonts w:ascii="Times New Roman" w:eastAsia="黑体"/>
          <w:color w:val="000000"/>
          <w:sz w:val="24"/>
          <w:szCs w:val="24"/>
        </w:rPr>
      </w:pPr>
      <w:r>
        <w:rPr>
          <w:rFonts w:ascii="Times New Roman" w:eastAsia="黑体"/>
          <w:color w:val="000000"/>
          <w:sz w:val="24"/>
          <w:szCs w:val="24"/>
        </w:rPr>
        <w:t>6. 安全文明施工与环境保护</w:t>
      </w:r>
      <w:bookmarkEnd w:id="173"/>
    </w:p>
    <w:p w14:paraId="1FA991E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6.1</w:t>
      </w:r>
      <w:r>
        <w:rPr>
          <w:rFonts w:hint="eastAsia" w:ascii="Times New Roman" w:eastAsia="黑体"/>
          <w:bCs/>
          <w:color w:val="000000"/>
          <w:sz w:val="24"/>
          <w:szCs w:val="24"/>
        </w:rPr>
        <w:t xml:space="preserve"> </w:t>
      </w:r>
      <w:r>
        <w:rPr>
          <w:rFonts w:ascii="Times New Roman" w:eastAsia="黑体"/>
          <w:bCs/>
          <w:color w:val="000000"/>
          <w:sz w:val="24"/>
          <w:szCs w:val="24"/>
        </w:rPr>
        <w:t>安全文明施工</w:t>
      </w:r>
    </w:p>
    <w:p w14:paraId="527EADD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6.1.1 项目安全生产的达标目标及相应事项的约定：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40BE29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6.1.4 关于治安保卫的特别约定：</w:t>
      </w:r>
      <w:r>
        <w:rPr>
          <w:rFonts w:hint="eastAsia" w:ascii="Times New Roman"/>
          <w:color w:val="000000"/>
          <w:sz w:val="24"/>
          <w:szCs w:val="24"/>
          <w:u w:val="single"/>
        </w:rPr>
        <w:t xml:space="preserve">            </w:t>
      </w:r>
      <w:r>
        <w:rPr>
          <w:rFonts w:ascii="Times New Roman"/>
          <w:color w:val="000000"/>
          <w:sz w:val="24"/>
          <w:szCs w:val="24"/>
        </w:rPr>
        <w:t>。</w:t>
      </w:r>
    </w:p>
    <w:p w14:paraId="76F395E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关于编制施工场地治安管理计划的约定：</w:t>
      </w:r>
      <w:r>
        <w:rPr>
          <w:rFonts w:hint="eastAsia" w:ascii="Times New Roman"/>
          <w:color w:val="000000"/>
          <w:sz w:val="24"/>
          <w:szCs w:val="24"/>
          <w:u w:val="single"/>
        </w:rPr>
        <w:t xml:space="preserve">       </w:t>
      </w:r>
      <w:r>
        <w:rPr>
          <w:rFonts w:ascii="Times New Roman"/>
          <w:color w:val="000000"/>
          <w:sz w:val="24"/>
          <w:szCs w:val="24"/>
        </w:rPr>
        <w:t>。</w:t>
      </w:r>
    </w:p>
    <w:p w14:paraId="39109E18">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6.1.5 文明施工</w:t>
      </w:r>
    </w:p>
    <w:p w14:paraId="5687D101">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合同当事人对文明施工的要求：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06C84B8C">
      <w:pPr>
        <w:adjustRightInd w:val="0"/>
        <w:spacing w:line="360" w:lineRule="auto"/>
        <w:ind w:firstLine="480" w:firstLineChars="200"/>
        <w:rPr>
          <w:rFonts w:ascii="Times New Roman"/>
          <w:color w:val="000000"/>
          <w:sz w:val="24"/>
          <w:szCs w:val="24"/>
        </w:rPr>
      </w:pPr>
      <w:r>
        <w:rPr>
          <w:rFonts w:ascii="Times New Roman"/>
          <w:color w:val="000000"/>
          <w:sz w:val="24"/>
          <w:szCs w:val="24"/>
        </w:rPr>
        <w:t>6.1.6 关于安全文明施工费支付比例和支付期限的约定：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166"/>
    <w:bookmarkEnd w:id="167"/>
    <w:bookmarkEnd w:id="168"/>
    <w:bookmarkEnd w:id="169"/>
    <w:bookmarkEnd w:id="170"/>
    <w:bookmarkEnd w:id="171"/>
    <w:bookmarkEnd w:id="172"/>
    <w:p w14:paraId="5BF4930A">
      <w:pPr>
        <w:spacing w:before="240" w:beforeLines="100" w:after="240" w:afterLines="100"/>
        <w:outlineLvl w:val="2"/>
        <w:rPr>
          <w:rFonts w:ascii="Times New Roman" w:eastAsia="黑体"/>
          <w:color w:val="000000"/>
          <w:sz w:val="24"/>
          <w:szCs w:val="24"/>
        </w:rPr>
      </w:pPr>
      <w:bookmarkStart w:id="176" w:name="_Toc351203639"/>
      <w:r>
        <w:rPr>
          <w:rFonts w:ascii="Times New Roman" w:eastAsia="黑体"/>
          <w:color w:val="000000"/>
          <w:sz w:val="24"/>
          <w:szCs w:val="24"/>
        </w:rPr>
        <w:t>7. 工期和进度</w:t>
      </w:r>
      <w:bookmarkEnd w:id="176"/>
    </w:p>
    <w:p w14:paraId="74CB62B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7.1 施工组织设计</w:t>
      </w:r>
    </w:p>
    <w:p w14:paraId="56DF7C2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7.1.</w:t>
      </w:r>
      <w:r>
        <w:rPr>
          <w:rFonts w:hint="eastAsia" w:ascii="Times New Roman"/>
          <w:color w:val="000000"/>
          <w:sz w:val="24"/>
          <w:szCs w:val="24"/>
        </w:rPr>
        <w:t>1 合同当事人约定的</w:t>
      </w:r>
      <w:r>
        <w:rPr>
          <w:rFonts w:ascii="Times New Roman"/>
          <w:color w:val="000000"/>
          <w:sz w:val="24"/>
          <w:szCs w:val="24"/>
        </w:rPr>
        <w:t>施工组织设计</w:t>
      </w:r>
      <w:r>
        <w:rPr>
          <w:rFonts w:hint="eastAsia" w:ascii="Times New Roman"/>
          <w:color w:val="000000"/>
          <w:sz w:val="24"/>
          <w:szCs w:val="24"/>
        </w:rPr>
        <w:t>应包括的其他内容</w:t>
      </w:r>
      <w:r>
        <w:rPr>
          <w:rFonts w:ascii="Times New Roman"/>
          <w:color w:val="000000"/>
          <w:sz w:val="24"/>
          <w:szCs w:val="24"/>
        </w:rPr>
        <w:t>：</w:t>
      </w:r>
      <w:r>
        <w:rPr>
          <w:rFonts w:hint="eastAsia" w:ascii="Times New Roman"/>
          <w:color w:val="000000"/>
          <w:sz w:val="24"/>
          <w:szCs w:val="24"/>
          <w:u w:val="single"/>
        </w:rPr>
        <w:t>总进度计划须含网络图、横道图</w:t>
      </w:r>
      <w:r>
        <w:rPr>
          <w:rFonts w:ascii="Times New Roman"/>
          <w:color w:val="000000"/>
          <w:sz w:val="24"/>
          <w:szCs w:val="24"/>
          <w:u w:val="single"/>
        </w:rPr>
        <w:t>。</w:t>
      </w:r>
    </w:p>
    <w:p w14:paraId="2600C81A">
      <w:pPr>
        <w:adjustRightInd w:val="0"/>
        <w:spacing w:line="360" w:lineRule="auto"/>
        <w:ind w:firstLine="480" w:firstLineChars="200"/>
        <w:rPr>
          <w:rFonts w:ascii="Times New Roman"/>
          <w:color w:val="000000"/>
          <w:sz w:val="24"/>
          <w:szCs w:val="24"/>
        </w:rPr>
      </w:pPr>
      <w:r>
        <w:rPr>
          <w:rFonts w:ascii="Times New Roman"/>
          <w:color w:val="000000"/>
          <w:sz w:val="24"/>
          <w:szCs w:val="24"/>
        </w:rPr>
        <w:t>7.1.2 施工组织设计的提交和修改</w:t>
      </w:r>
    </w:p>
    <w:p w14:paraId="671AA7B7">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承包人提交详细施工组织设计的期限的约定：</w:t>
      </w:r>
      <w:r>
        <w:rPr>
          <w:rFonts w:hint="eastAsia" w:ascii="Times New Roman"/>
          <w:color w:val="000000"/>
          <w:sz w:val="24"/>
          <w:szCs w:val="24"/>
          <w:u w:val="single"/>
        </w:rPr>
        <w:t xml:space="preserve">      </w:t>
      </w:r>
      <w:r>
        <w:rPr>
          <w:rFonts w:ascii="Times New Roman"/>
          <w:color w:val="000000"/>
          <w:sz w:val="24"/>
          <w:szCs w:val="24"/>
        </w:rPr>
        <w:t>。</w:t>
      </w:r>
    </w:p>
    <w:p w14:paraId="5365416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w:t>
      </w:r>
      <w:r>
        <w:rPr>
          <w:rFonts w:hint="eastAsia" w:ascii="Times New Roman"/>
          <w:color w:val="000000"/>
          <w:sz w:val="24"/>
          <w:szCs w:val="24"/>
        </w:rPr>
        <w:t>详细的施工组织设计</w:t>
      </w:r>
      <w:r>
        <w:rPr>
          <w:rFonts w:ascii="Times New Roman"/>
          <w:color w:val="000000"/>
          <w:sz w:val="24"/>
          <w:szCs w:val="24"/>
        </w:rPr>
        <w:t>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741DB2A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77" w:name="_Toc312677479"/>
      <w:bookmarkStart w:id="178" w:name="_Toc303539123"/>
      <w:bookmarkStart w:id="179" w:name="_Toc297216173"/>
      <w:bookmarkStart w:id="180" w:name="_Toc304295541"/>
      <w:bookmarkStart w:id="181" w:name="_Toc300934966"/>
      <w:bookmarkStart w:id="182" w:name="_Toc312678005"/>
      <w:bookmarkStart w:id="183" w:name="_Toc297123514"/>
      <w:r>
        <w:rPr>
          <w:rFonts w:ascii="Times New Roman" w:eastAsia="黑体"/>
          <w:bCs/>
          <w:color w:val="000000"/>
          <w:sz w:val="24"/>
          <w:szCs w:val="24"/>
        </w:rPr>
        <w:t>.2 施工进度计划</w:t>
      </w:r>
    </w:p>
    <w:p w14:paraId="0BFD0639">
      <w:pPr>
        <w:adjustRightInd w:val="0"/>
        <w:spacing w:line="360" w:lineRule="auto"/>
        <w:ind w:firstLine="480" w:firstLineChars="200"/>
        <w:rPr>
          <w:rFonts w:ascii="Times New Roman"/>
          <w:color w:val="000000"/>
          <w:sz w:val="24"/>
          <w:szCs w:val="24"/>
        </w:rPr>
      </w:pPr>
      <w:r>
        <w:rPr>
          <w:rFonts w:ascii="Times New Roman"/>
          <w:color w:val="000000"/>
          <w:sz w:val="24"/>
          <w:szCs w:val="24"/>
        </w:rPr>
        <w:t>7.2.2 施工进度计划的修订</w:t>
      </w:r>
    </w:p>
    <w:p w14:paraId="022A4F6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发包人和监理人在收到修订的施工进度计划后确认或提出修改意见的期限：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4650FD9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7.3 开工</w:t>
      </w:r>
    </w:p>
    <w:p w14:paraId="732C8010">
      <w:pPr>
        <w:adjustRightInd w:val="0"/>
        <w:spacing w:line="360" w:lineRule="auto"/>
        <w:ind w:firstLine="480" w:firstLineChars="200"/>
        <w:rPr>
          <w:rFonts w:ascii="Times New Roman"/>
          <w:color w:val="000000"/>
          <w:sz w:val="24"/>
          <w:szCs w:val="24"/>
        </w:rPr>
      </w:pPr>
      <w:r>
        <w:rPr>
          <w:rFonts w:ascii="Times New Roman"/>
          <w:color w:val="000000"/>
          <w:sz w:val="24"/>
          <w:szCs w:val="24"/>
        </w:rPr>
        <w:t>7.3.1 开工准备</w:t>
      </w:r>
    </w:p>
    <w:p w14:paraId="5303B11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关于承包人提交工程开工报审表的期限：</w:t>
      </w:r>
      <w:r>
        <w:rPr>
          <w:rFonts w:hint="eastAsia" w:ascii="Times New Roman"/>
          <w:color w:val="000000"/>
          <w:sz w:val="24"/>
          <w:szCs w:val="24"/>
          <w:u w:val="single"/>
        </w:rPr>
        <w:t xml:space="preserve">       </w:t>
      </w:r>
      <w:r>
        <w:rPr>
          <w:rFonts w:ascii="Times New Roman"/>
          <w:color w:val="000000"/>
          <w:sz w:val="24"/>
          <w:szCs w:val="24"/>
        </w:rPr>
        <w:t>。</w:t>
      </w:r>
    </w:p>
    <w:p w14:paraId="7CAE6DE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6BD768C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63F3517E">
      <w:pPr>
        <w:adjustRightInd w:val="0"/>
        <w:spacing w:line="360" w:lineRule="auto"/>
        <w:ind w:firstLine="480" w:firstLineChars="200"/>
        <w:rPr>
          <w:rFonts w:ascii="Times New Roman"/>
          <w:color w:val="000000"/>
          <w:sz w:val="24"/>
          <w:szCs w:val="24"/>
        </w:rPr>
      </w:pPr>
      <w:r>
        <w:rPr>
          <w:rFonts w:ascii="Times New Roman"/>
          <w:color w:val="000000"/>
          <w:sz w:val="24"/>
          <w:szCs w:val="24"/>
        </w:rPr>
        <w:t>7.3.2</w:t>
      </w:r>
      <w:r>
        <w:rPr>
          <w:rFonts w:hint="eastAsia" w:ascii="Times New Roman"/>
          <w:color w:val="000000"/>
          <w:sz w:val="24"/>
          <w:szCs w:val="24"/>
        </w:rPr>
        <w:t xml:space="preserve"> </w:t>
      </w:r>
      <w:r>
        <w:rPr>
          <w:rFonts w:ascii="Times New Roman"/>
          <w:color w:val="000000"/>
          <w:sz w:val="24"/>
          <w:szCs w:val="24"/>
        </w:rPr>
        <w:t>开工通知</w:t>
      </w:r>
    </w:p>
    <w:p w14:paraId="73302794">
      <w:pPr>
        <w:adjustRightInd w:val="0"/>
        <w:spacing w:line="360" w:lineRule="auto"/>
        <w:ind w:firstLine="480" w:firstLineChars="200"/>
        <w:rPr>
          <w:rFonts w:ascii="Times New Roman"/>
          <w:color w:val="000000"/>
          <w:sz w:val="24"/>
          <w:szCs w:val="24"/>
        </w:rPr>
      </w:pPr>
      <w:r>
        <w:rPr>
          <w:rFonts w:ascii="Times New Roman"/>
          <w:color w:val="000000"/>
          <w:sz w:val="24"/>
          <w:szCs w:val="24"/>
        </w:rPr>
        <w:t>因发包人原因造成监理人未能在计划开工日期之日起</w:t>
      </w:r>
      <w:r>
        <w:rPr>
          <w:rFonts w:hint="eastAsia" w:ascii="Times New Roman"/>
          <w:color w:val="000000"/>
          <w:sz w:val="24"/>
          <w:szCs w:val="24"/>
          <w:u w:val="single"/>
        </w:rPr>
        <w:t xml:space="preserve">   </w:t>
      </w:r>
      <w:r>
        <w:rPr>
          <w:rFonts w:ascii="Times New Roman"/>
          <w:color w:val="000000"/>
          <w:sz w:val="24"/>
          <w:szCs w:val="24"/>
        </w:rPr>
        <w:t>天内发出开工通知的，承包人有权提出价格调整要求，或者解除合同。</w:t>
      </w:r>
    </w:p>
    <w:bookmarkEnd w:id="177"/>
    <w:bookmarkEnd w:id="178"/>
    <w:bookmarkEnd w:id="179"/>
    <w:bookmarkEnd w:id="180"/>
    <w:bookmarkEnd w:id="181"/>
    <w:bookmarkEnd w:id="182"/>
    <w:bookmarkEnd w:id="183"/>
    <w:p w14:paraId="6F8C12B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7.4 测量放线</w:t>
      </w:r>
    </w:p>
    <w:p w14:paraId="72179119">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7.4.1</w:t>
      </w:r>
      <w:r>
        <w:rPr>
          <w:rFonts w:hint="eastAsia" w:ascii="Times New Roman"/>
          <w:color w:val="000000"/>
          <w:sz w:val="24"/>
          <w:szCs w:val="24"/>
        </w:rPr>
        <w:t xml:space="preserve"> </w:t>
      </w:r>
      <w:r>
        <w:rPr>
          <w:rFonts w:ascii="Times New Roman"/>
          <w:color w:val="000000"/>
          <w:sz w:val="24"/>
          <w:szCs w:val="24"/>
        </w:rPr>
        <w:t>发包人通过监理人向承包人提供测量基准点、基准线和水准点及其书面资料的期限：</w:t>
      </w:r>
      <w:r>
        <w:rPr>
          <w:rFonts w:hint="eastAsia" w:ascii="Times New Roman"/>
          <w:color w:val="000000"/>
          <w:sz w:val="24"/>
          <w:szCs w:val="24"/>
          <w:u w:val="single"/>
        </w:rPr>
        <w:t xml:space="preserve">    </w:t>
      </w:r>
      <w:r>
        <w:rPr>
          <w:rFonts w:ascii="Times New Roman"/>
          <w:color w:val="000000"/>
          <w:sz w:val="24"/>
          <w:szCs w:val="24"/>
        </w:rPr>
        <w:t>。</w:t>
      </w:r>
    </w:p>
    <w:p w14:paraId="50D9A40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84" w:name="_Toc303539125"/>
      <w:bookmarkStart w:id="185" w:name="_Toc297216175"/>
      <w:bookmarkStart w:id="186" w:name="_Toc297123516"/>
      <w:bookmarkStart w:id="187" w:name="_Toc312677484"/>
      <w:bookmarkStart w:id="188" w:name="_Toc300934968"/>
      <w:bookmarkStart w:id="189" w:name="_Toc312678010"/>
      <w:bookmarkStart w:id="190" w:name="_Toc304295546"/>
      <w:r>
        <w:rPr>
          <w:rFonts w:ascii="Times New Roman" w:eastAsia="黑体"/>
          <w:bCs/>
          <w:color w:val="000000"/>
          <w:sz w:val="24"/>
          <w:szCs w:val="24"/>
        </w:rPr>
        <w:t>.5 工期延误</w:t>
      </w:r>
    </w:p>
    <w:bookmarkEnd w:id="184"/>
    <w:bookmarkEnd w:id="185"/>
    <w:bookmarkEnd w:id="186"/>
    <w:bookmarkEnd w:id="187"/>
    <w:bookmarkEnd w:id="188"/>
    <w:bookmarkEnd w:id="189"/>
    <w:bookmarkEnd w:id="190"/>
    <w:p w14:paraId="4A6FCE30">
      <w:pPr>
        <w:adjustRightInd w:val="0"/>
        <w:spacing w:line="360" w:lineRule="auto"/>
        <w:ind w:firstLine="480" w:firstLineChars="200"/>
        <w:rPr>
          <w:rFonts w:ascii="Times New Roman"/>
          <w:color w:val="000000"/>
          <w:sz w:val="24"/>
          <w:szCs w:val="24"/>
        </w:rPr>
      </w:pPr>
      <w:r>
        <w:rPr>
          <w:rFonts w:ascii="Times New Roman"/>
          <w:color w:val="000000"/>
          <w:sz w:val="24"/>
          <w:szCs w:val="24"/>
        </w:rPr>
        <w:t>7.5.1 因发包人原因导致工期延误</w:t>
      </w:r>
    </w:p>
    <w:p w14:paraId="3E9124F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（7）因发包人原因导致工期延误的其他情形：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8DBDC1B">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bookmarkStart w:id="191" w:name="_Toc312678012"/>
      <w:bookmarkStart w:id="192" w:name="_Toc312677486"/>
      <w:bookmarkStart w:id="193" w:name="_Toc318581169"/>
      <w:bookmarkStart w:id="194" w:name="_Toc304295548"/>
      <w:bookmarkStart w:id="195" w:name="_Toc297216177"/>
      <w:bookmarkStart w:id="196" w:name="_Toc300934970"/>
      <w:bookmarkStart w:id="197" w:name="_Toc297123518"/>
      <w:bookmarkStart w:id="198" w:name="_Toc303539127"/>
      <w:r>
        <w:rPr>
          <w:rFonts w:ascii="Times New Roman"/>
          <w:color w:val="000000"/>
          <w:sz w:val="24"/>
          <w:szCs w:val="24"/>
        </w:rPr>
        <w:t>.5.2 因承包人原因导致工期延误</w:t>
      </w:r>
    </w:p>
    <w:bookmarkEnd w:id="191"/>
    <w:bookmarkEnd w:id="192"/>
    <w:bookmarkEnd w:id="193"/>
    <w:p w14:paraId="5BBA2725">
      <w:pPr>
        <w:adjustRightInd w:val="0"/>
        <w:spacing w:line="360" w:lineRule="auto"/>
        <w:ind w:firstLine="480" w:firstLineChars="200"/>
        <w:rPr>
          <w:rFonts w:ascii="Times New Roman"/>
          <w:color w:val="000000"/>
          <w:sz w:val="24"/>
          <w:szCs w:val="24"/>
        </w:rPr>
      </w:pPr>
      <w:r>
        <w:rPr>
          <w:rFonts w:ascii="Times New Roman"/>
          <w:color w:val="000000"/>
          <w:sz w:val="24"/>
          <w:szCs w:val="24"/>
        </w:rPr>
        <w:t>因</w:t>
      </w:r>
      <w:bookmarkStart w:id="199" w:name="_Toc312677487"/>
      <w:bookmarkStart w:id="200" w:name="_Toc312678013"/>
      <w:bookmarkStart w:id="201" w:name="_Toc318581170"/>
      <w:r>
        <w:rPr>
          <w:rFonts w:ascii="Times New Roman"/>
          <w:color w:val="000000"/>
          <w:sz w:val="24"/>
          <w:szCs w:val="24"/>
        </w:rPr>
        <w:t>承包人原因造成工期延误，逾期竣工违约金的计算方法为：</w:t>
      </w:r>
      <w:r>
        <w:rPr>
          <w:rFonts w:hint="eastAsia" w:ascii="Times New Roman"/>
          <w:color w:val="000000"/>
          <w:sz w:val="24"/>
          <w:szCs w:val="24"/>
          <w:u w:val="single"/>
        </w:rPr>
        <w:t>见《专用合同条款数据表》</w:t>
      </w:r>
      <w:r>
        <w:rPr>
          <w:rFonts w:ascii="Times New Roman"/>
          <w:color w:val="000000"/>
          <w:sz w:val="24"/>
          <w:szCs w:val="24"/>
        </w:rPr>
        <w:t>。</w:t>
      </w:r>
      <w:bookmarkEnd w:id="194"/>
      <w:bookmarkEnd w:id="195"/>
      <w:bookmarkEnd w:id="196"/>
      <w:bookmarkEnd w:id="197"/>
      <w:bookmarkEnd w:id="198"/>
      <w:bookmarkEnd w:id="199"/>
      <w:bookmarkEnd w:id="200"/>
    </w:p>
    <w:bookmarkEnd w:id="201"/>
    <w:p w14:paraId="4DE6E66E">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因承包人原因造成工期延误，逾</w:t>
      </w:r>
      <w:bookmarkStart w:id="202" w:name="_Toc318581171"/>
      <w:bookmarkStart w:id="203" w:name="_Toc312678014"/>
      <w:r>
        <w:rPr>
          <w:rFonts w:ascii="Times New Roman"/>
          <w:color w:val="000000"/>
          <w:sz w:val="24"/>
          <w:szCs w:val="24"/>
        </w:rPr>
        <w:t>期竣工违约金的上限：</w:t>
      </w:r>
      <w:r>
        <w:rPr>
          <w:rFonts w:hint="eastAsia" w:ascii="Times New Roman"/>
          <w:color w:val="000000"/>
          <w:sz w:val="24"/>
          <w:szCs w:val="24"/>
          <w:u w:val="single"/>
        </w:rPr>
        <w:t>见《专用合同条款数据表》</w:t>
      </w:r>
      <w:r>
        <w:rPr>
          <w:rFonts w:ascii="Times New Roman"/>
          <w:color w:val="000000"/>
          <w:sz w:val="24"/>
          <w:szCs w:val="24"/>
        </w:rPr>
        <w:t>。</w:t>
      </w:r>
    </w:p>
    <w:bookmarkEnd w:id="202"/>
    <w:bookmarkEnd w:id="203"/>
    <w:p w14:paraId="729A883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04" w:name="_Toc297123519"/>
      <w:bookmarkStart w:id="205" w:name="_Toc312678015"/>
      <w:bookmarkStart w:id="206" w:name="_Toc304295549"/>
      <w:bookmarkStart w:id="207" w:name="_Toc300934971"/>
      <w:bookmarkStart w:id="208" w:name="_Toc297216178"/>
      <w:bookmarkStart w:id="209" w:name="_Toc303539128"/>
      <w:r>
        <w:rPr>
          <w:rFonts w:ascii="Times New Roman" w:eastAsia="黑体"/>
          <w:bCs/>
          <w:color w:val="000000"/>
          <w:sz w:val="24"/>
          <w:szCs w:val="24"/>
        </w:rPr>
        <w:t>.6 不</w:t>
      </w:r>
      <w:bookmarkEnd w:id="204"/>
      <w:bookmarkEnd w:id="205"/>
      <w:bookmarkEnd w:id="206"/>
      <w:bookmarkEnd w:id="207"/>
      <w:bookmarkEnd w:id="208"/>
      <w:bookmarkEnd w:id="209"/>
      <w:r>
        <w:rPr>
          <w:rFonts w:ascii="Times New Roman" w:eastAsia="黑体"/>
          <w:bCs/>
          <w:color w:val="000000"/>
          <w:sz w:val="24"/>
          <w:szCs w:val="24"/>
        </w:rPr>
        <w:t>利物质条件</w:t>
      </w:r>
    </w:p>
    <w:p w14:paraId="22F283B2">
      <w:pPr>
        <w:adjustRightInd w:val="0"/>
        <w:spacing w:line="360" w:lineRule="auto"/>
        <w:ind w:firstLine="480" w:firstLineChars="200"/>
        <w:rPr>
          <w:rFonts w:ascii="Times New Roman"/>
          <w:b/>
          <w:color w:val="000000"/>
          <w:sz w:val="24"/>
          <w:szCs w:val="24"/>
          <w:u w:val="single"/>
        </w:rPr>
      </w:pPr>
      <w:bookmarkStart w:id="210" w:name="_Toc297216179"/>
      <w:bookmarkStart w:id="211" w:name="_Toc304295550"/>
      <w:bookmarkStart w:id="212" w:name="_Toc303539129"/>
      <w:bookmarkStart w:id="213" w:name="_Toc318581172"/>
      <w:bookmarkStart w:id="214" w:name="_Toc300934972"/>
      <w:bookmarkStart w:id="215" w:name="_Toc297123520"/>
      <w:bookmarkStart w:id="216" w:name="_Toc312678016"/>
      <w:r>
        <w:rPr>
          <w:rFonts w:ascii="Times New Roman"/>
          <w:color w:val="000000"/>
          <w:sz w:val="24"/>
          <w:szCs w:val="24"/>
        </w:rPr>
        <w:t>不利物质条件的其他情形和有关约定：</w:t>
      </w:r>
      <w:r>
        <w:rPr>
          <w:rFonts w:hint="eastAsia" w:ascii="Times New Roman"/>
          <w:color w:val="000000"/>
          <w:sz w:val="24"/>
          <w:szCs w:val="24"/>
          <w:u w:val="single"/>
        </w:rPr>
        <w:t xml:space="preserve">        </w:t>
      </w:r>
      <w:r>
        <w:rPr>
          <w:rFonts w:ascii="Times New Roman"/>
          <w:color w:val="000000"/>
          <w:sz w:val="24"/>
          <w:szCs w:val="24"/>
        </w:rPr>
        <w:t>。</w:t>
      </w:r>
    </w:p>
    <w:bookmarkEnd w:id="210"/>
    <w:bookmarkEnd w:id="211"/>
    <w:bookmarkEnd w:id="212"/>
    <w:bookmarkEnd w:id="213"/>
    <w:bookmarkEnd w:id="214"/>
    <w:bookmarkEnd w:id="215"/>
    <w:bookmarkEnd w:id="216"/>
    <w:p w14:paraId="2533821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17" w:name="_Toc300934973"/>
      <w:bookmarkStart w:id="218" w:name="_Toc297123521"/>
      <w:bookmarkStart w:id="219" w:name="_Toc304295551"/>
      <w:bookmarkStart w:id="220" w:name="_Toc312678017"/>
      <w:bookmarkStart w:id="221" w:name="_Toc297216180"/>
      <w:bookmarkStart w:id="222" w:name="_Toc303539130"/>
      <w:r>
        <w:rPr>
          <w:rFonts w:ascii="Times New Roman" w:eastAsia="黑体"/>
          <w:bCs/>
          <w:color w:val="000000"/>
          <w:sz w:val="24"/>
          <w:szCs w:val="24"/>
        </w:rPr>
        <w:t>.7</w:t>
      </w:r>
      <w:r>
        <w:rPr>
          <w:rFonts w:hint="eastAsia" w:ascii="Times New Roman" w:eastAsia="黑体"/>
          <w:bCs/>
          <w:color w:val="000000"/>
          <w:sz w:val="24"/>
          <w:szCs w:val="24"/>
        </w:rPr>
        <w:t xml:space="preserve"> </w:t>
      </w:r>
      <w:r>
        <w:rPr>
          <w:rFonts w:ascii="Times New Roman" w:eastAsia="黑体"/>
          <w:bCs/>
          <w:color w:val="000000"/>
          <w:sz w:val="24"/>
          <w:szCs w:val="24"/>
        </w:rPr>
        <w:t>异常恶劣的气候条件</w:t>
      </w:r>
    </w:p>
    <w:bookmarkEnd w:id="217"/>
    <w:bookmarkEnd w:id="218"/>
    <w:bookmarkEnd w:id="219"/>
    <w:bookmarkEnd w:id="220"/>
    <w:bookmarkEnd w:id="221"/>
    <w:bookmarkEnd w:id="222"/>
    <w:p w14:paraId="4A7B622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发包人和承包人同意以下情形视为异常恶劣的气候条件：</w:t>
      </w:r>
    </w:p>
    <w:p w14:paraId="38ACC48F">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ascii="Times New Roman"/>
          <w:color w:val="000000"/>
          <w:sz w:val="24"/>
          <w:szCs w:val="24"/>
        </w:rPr>
        <w:t>；</w:t>
      </w:r>
    </w:p>
    <w:p w14:paraId="7B840234">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ascii="Times New Roman"/>
          <w:color w:val="000000"/>
          <w:sz w:val="24"/>
          <w:szCs w:val="24"/>
        </w:rPr>
        <w:t>；</w:t>
      </w:r>
    </w:p>
    <w:p w14:paraId="548CA789">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ascii="Times New Roman"/>
          <w:color w:val="000000"/>
          <w:sz w:val="24"/>
          <w:szCs w:val="24"/>
        </w:rPr>
        <w:t>。</w:t>
      </w:r>
    </w:p>
    <w:p w14:paraId="5426540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7.9 提前竣工</w:t>
      </w:r>
    </w:p>
    <w:p w14:paraId="1ADED09B">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7.9.2</w:t>
      </w:r>
      <w:r>
        <w:rPr>
          <w:rFonts w:hint="eastAsia" w:ascii="Times New Roman"/>
          <w:color w:val="000000"/>
          <w:sz w:val="24"/>
          <w:szCs w:val="24"/>
        </w:rPr>
        <w:t xml:space="preserve"> </w:t>
      </w:r>
      <w:r>
        <w:rPr>
          <w:rFonts w:ascii="Times New Roman"/>
          <w:color w:val="000000"/>
          <w:sz w:val="24"/>
          <w:szCs w:val="24"/>
        </w:rPr>
        <w:t>提前竣工的奖励：</w:t>
      </w:r>
      <w:r>
        <w:rPr>
          <w:rFonts w:hint="eastAsia" w:ascii="Times New Roman"/>
          <w:color w:val="000000"/>
          <w:sz w:val="24"/>
          <w:szCs w:val="24"/>
          <w:u w:val="single"/>
        </w:rPr>
        <w:t>见《专用合同条款数据表》</w:t>
      </w:r>
      <w:r>
        <w:rPr>
          <w:rFonts w:ascii="Times New Roman"/>
          <w:color w:val="000000"/>
          <w:sz w:val="24"/>
          <w:szCs w:val="24"/>
        </w:rPr>
        <w:t>。</w:t>
      </w:r>
    </w:p>
    <w:p w14:paraId="78AA511A">
      <w:pPr>
        <w:spacing w:before="240" w:beforeLines="100" w:after="240" w:afterLines="100"/>
        <w:outlineLvl w:val="2"/>
        <w:rPr>
          <w:rFonts w:ascii="Times New Roman" w:eastAsia="黑体"/>
          <w:color w:val="000000"/>
          <w:sz w:val="24"/>
          <w:szCs w:val="24"/>
        </w:rPr>
      </w:pPr>
      <w:bookmarkStart w:id="223" w:name="_Toc351203640"/>
      <w:r>
        <w:rPr>
          <w:rFonts w:ascii="Times New Roman" w:eastAsia="黑体"/>
          <w:color w:val="000000"/>
          <w:sz w:val="24"/>
          <w:szCs w:val="24"/>
        </w:rPr>
        <w:t>8. 材料与设备</w:t>
      </w:r>
      <w:bookmarkEnd w:id="223"/>
    </w:p>
    <w:bookmarkEnd w:id="156"/>
    <w:bookmarkEnd w:id="157"/>
    <w:bookmarkEnd w:id="158"/>
    <w:bookmarkEnd w:id="159"/>
    <w:bookmarkEnd w:id="160"/>
    <w:bookmarkEnd w:id="161"/>
    <w:bookmarkEnd w:id="162"/>
    <w:bookmarkEnd w:id="163"/>
    <w:bookmarkEnd w:id="164"/>
    <w:bookmarkEnd w:id="165"/>
    <w:p w14:paraId="1F6363BD">
      <w:pPr>
        <w:adjustRightInd w:val="0"/>
        <w:spacing w:line="360" w:lineRule="auto"/>
        <w:ind w:firstLine="480" w:firstLineChars="200"/>
        <w:rPr>
          <w:rFonts w:ascii="Times New Roman"/>
          <w:color w:val="000000"/>
          <w:sz w:val="24"/>
          <w:szCs w:val="24"/>
        </w:rPr>
      </w:pPr>
      <w:r>
        <w:rPr>
          <w:rFonts w:ascii="Times New Roman"/>
          <w:color w:val="000000"/>
          <w:sz w:val="24"/>
          <w:szCs w:val="24"/>
        </w:rPr>
        <w:t>8</w:t>
      </w:r>
      <w:bookmarkStart w:id="224" w:name="_Toc296346668"/>
      <w:bookmarkStart w:id="225" w:name="_Toc297123527"/>
      <w:bookmarkStart w:id="226" w:name="_Toc292559877"/>
      <w:bookmarkStart w:id="227" w:name="_Toc296891207"/>
      <w:bookmarkStart w:id="228" w:name="_Toc297120467"/>
      <w:bookmarkStart w:id="229" w:name="_Toc297216186"/>
      <w:bookmarkStart w:id="230" w:name="_Toc296890995"/>
      <w:bookmarkStart w:id="231" w:name="_Toc300934979"/>
      <w:bookmarkStart w:id="232" w:name="_Toc296944506"/>
      <w:bookmarkStart w:id="233" w:name="_Toc312678019"/>
      <w:bookmarkStart w:id="234" w:name="_Toc296347166"/>
      <w:bookmarkStart w:id="235" w:name="_Toc303539136"/>
      <w:bookmarkStart w:id="236" w:name="_Toc280868654"/>
      <w:bookmarkStart w:id="237" w:name="_Toc296503167"/>
      <w:bookmarkStart w:id="238" w:name="_Toc292559372"/>
      <w:bookmarkStart w:id="239" w:name="_Toc304295556"/>
      <w:bookmarkStart w:id="240" w:name="_Toc312677493"/>
      <w:bookmarkStart w:id="241" w:name="_Toc297048353"/>
      <w:bookmarkStart w:id="242" w:name="_Toc267251424"/>
      <w:bookmarkStart w:id="243" w:name="_Toc280868655"/>
      <w:bookmarkStart w:id="244" w:name="_Toc280868656"/>
      <w:r>
        <w:rPr>
          <w:rFonts w:ascii="Times New Roman"/>
          <w:color w:val="000000"/>
          <w:sz w:val="24"/>
          <w:szCs w:val="24"/>
        </w:rPr>
        <w:t>.4</w:t>
      </w:r>
      <w:r>
        <w:rPr>
          <w:rFonts w:hint="eastAsia" w:ascii="Times New Roman"/>
          <w:color w:val="000000"/>
          <w:sz w:val="24"/>
          <w:szCs w:val="24"/>
        </w:rPr>
        <w:t xml:space="preserve"> </w:t>
      </w:r>
      <w:r>
        <w:rPr>
          <w:rFonts w:ascii="Times New Roman"/>
          <w:color w:val="000000"/>
          <w:sz w:val="24"/>
          <w:szCs w:val="24"/>
        </w:rPr>
        <w:t>材料与工程设备的保管与使用</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47DF99E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8</w:t>
      </w:r>
      <w:bookmarkStart w:id="245" w:name="_Toc292559878"/>
      <w:bookmarkStart w:id="246" w:name="_Toc292559373"/>
      <w:bookmarkStart w:id="247" w:name="_Toc296890996"/>
      <w:bookmarkStart w:id="248" w:name="_Toc297120468"/>
      <w:bookmarkStart w:id="249" w:name="_Toc296347167"/>
      <w:bookmarkStart w:id="250" w:name="_Toc296891208"/>
      <w:bookmarkStart w:id="251" w:name="_Toc300934980"/>
      <w:bookmarkStart w:id="252" w:name="_Toc296944507"/>
      <w:bookmarkStart w:id="253" w:name="_Toc312678020"/>
      <w:bookmarkStart w:id="254" w:name="_Toc318581173"/>
      <w:bookmarkStart w:id="255" w:name="_Toc297216187"/>
      <w:bookmarkStart w:id="256" w:name="_Toc304295557"/>
      <w:bookmarkStart w:id="257" w:name="_Toc297123528"/>
      <w:bookmarkStart w:id="258" w:name="_Toc296346669"/>
      <w:bookmarkStart w:id="259" w:name="_Toc312677494"/>
      <w:bookmarkStart w:id="260" w:name="_Toc297048354"/>
      <w:bookmarkStart w:id="261" w:name="_Toc303539137"/>
      <w:bookmarkStart w:id="262" w:name="_Toc296503168"/>
      <w:r>
        <w:rPr>
          <w:rFonts w:ascii="Times New Roman"/>
          <w:color w:val="000000"/>
          <w:sz w:val="24"/>
          <w:szCs w:val="24"/>
        </w:rPr>
        <w:t>.4.1</w:t>
      </w:r>
      <w:r>
        <w:rPr>
          <w:rFonts w:hint="eastAsia" w:ascii="Times New Roman"/>
          <w:color w:val="000000"/>
          <w:sz w:val="24"/>
          <w:szCs w:val="24"/>
        </w:rPr>
        <w:t xml:space="preserve"> </w:t>
      </w:r>
      <w:r>
        <w:rPr>
          <w:rFonts w:ascii="Times New Roman"/>
          <w:color w:val="000000"/>
          <w:sz w:val="24"/>
          <w:szCs w:val="24"/>
        </w:rPr>
        <w:t>发包人供应的材料设备的保管费用的承担：</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bookmarkEnd w:id="245"/>
      <w:bookmarkEnd w:id="246"/>
    </w:p>
    <w:p w14:paraId="5C1E696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8.6 样品</w:t>
      </w:r>
    </w:p>
    <w:p w14:paraId="126F1CBE">
      <w:pPr>
        <w:adjustRightInd w:val="0"/>
        <w:spacing w:line="360" w:lineRule="auto"/>
        <w:ind w:firstLine="480" w:firstLineChars="200"/>
        <w:rPr>
          <w:rFonts w:ascii="Times New Roman"/>
          <w:color w:val="000000"/>
          <w:sz w:val="24"/>
          <w:szCs w:val="24"/>
        </w:rPr>
      </w:pPr>
      <w:r>
        <w:rPr>
          <w:rFonts w:ascii="Times New Roman"/>
          <w:color w:val="000000"/>
          <w:sz w:val="24"/>
          <w:szCs w:val="24"/>
        </w:rPr>
        <w:t>8.6.1</w:t>
      </w:r>
      <w:r>
        <w:rPr>
          <w:rFonts w:hint="eastAsia" w:ascii="Times New Roman"/>
          <w:color w:val="000000"/>
          <w:sz w:val="24"/>
          <w:szCs w:val="24"/>
        </w:rPr>
        <w:t xml:space="preserve"> </w:t>
      </w:r>
      <w:r>
        <w:rPr>
          <w:rFonts w:ascii="Times New Roman"/>
          <w:color w:val="000000"/>
          <w:sz w:val="24"/>
          <w:szCs w:val="24"/>
        </w:rPr>
        <w:t>样品的报送</w:t>
      </w:r>
      <w:r>
        <w:rPr>
          <w:rFonts w:hint="eastAsia" w:ascii="Times New Roman"/>
          <w:color w:val="000000"/>
          <w:sz w:val="24"/>
          <w:szCs w:val="24"/>
        </w:rPr>
        <w:t>与封存</w:t>
      </w:r>
    </w:p>
    <w:p w14:paraId="6B793BC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需要承包人报送样品的材料或工程设备，样品的种类、名称、规格、数量要求：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A65C66F">
      <w:pPr>
        <w:adjustRightInd w:val="0"/>
        <w:spacing w:line="360" w:lineRule="auto"/>
        <w:ind w:firstLine="480" w:firstLineChars="200"/>
        <w:rPr>
          <w:rFonts w:ascii="Times New Roman"/>
          <w:color w:val="000000"/>
          <w:sz w:val="24"/>
          <w:szCs w:val="24"/>
        </w:rPr>
      </w:pPr>
      <w:r>
        <w:rPr>
          <w:rFonts w:ascii="Times New Roman"/>
          <w:color w:val="000000"/>
          <w:sz w:val="24"/>
          <w:szCs w:val="24"/>
        </w:rPr>
        <w:t>8.8 施工设备和临时设施</w:t>
      </w:r>
    </w:p>
    <w:p w14:paraId="5945B986">
      <w:pPr>
        <w:adjustRightInd w:val="0"/>
        <w:spacing w:line="360" w:lineRule="auto"/>
        <w:ind w:firstLine="480" w:firstLineChars="200"/>
        <w:rPr>
          <w:rFonts w:ascii="Times New Roman"/>
          <w:color w:val="000000"/>
          <w:sz w:val="24"/>
          <w:szCs w:val="24"/>
        </w:rPr>
      </w:pPr>
      <w:r>
        <w:rPr>
          <w:rFonts w:ascii="Times New Roman"/>
          <w:color w:val="000000"/>
          <w:sz w:val="24"/>
          <w:szCs w:val="24"/>
        </w:rPr>
        <w:t>8.8.1 承包人提供的施工设备和临时设施</w:t>
      </w:r>
    </w:p>
    <w:p w14:paraId="446020C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关于修建临时设施费用承担的约定：</w:t>
      </w:r>
      <w:r>
        <w:rPr>
          <w:rFonts w:hint="eastAsia" w:ascii="Times New Roman"/>
          <w:color w:val="000000"/>
          <w:sz w:val="24"/>
          <w:szCs w:val="24"/>
          <w:u w:val="single"/>
        </w:rPr>
        <w:t xml:space="preserve">        </w:t>
      </w:r>
      <w:r>
        <w:rPr>
          <w:rFonts w:ascii="Times New Roman"/>
          <w:color w:val="000000"/>
          <w:sz w:val="24"/>
          <w:szCs w:val="24"/>
        </w:rPr>
        <w:t>。</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2530CA2A">
      <w:pPr>
        <w:spacing w:before="240" w:beforeLines="100" w:after="240" w:afterLines="100"/>
        <w:outlineLvl w:val="2"/>
        <w:rPr>
          <w:rFonts w:ascii="Times New Roman" w:eastAsia="黑体"/>
          <w:color w:val="000000"/>
          <w:sz w:val="24"/>
          <w:szCs w:val="24"/>
        </w:rPr>
      </w:pPr>
      <w:bookmarkStart w:id="263" w:name="_Toc351203641"/>
      <w:r>
        <w:rPr>
          <w:rFonts w:ascii="Times New Roman" w:eastAsia="黑体"/>
          <w:color w:val="000000"/>
          <w:sz w:val="24"/>
          <w:szCs w:val="24"/>
        </w:rPr>
        <w:t>9</w:t>
      </w:r>
      <w:bookmarkEnd w:id="242"/>
      <w:bookmarkEnd w:id="243"/>
      <w:bookmarkEnd w:id="244"/>
      <w:bookmarkStart w:id="264" w:name="_Toc297216192"/>
      <w:bookmarkStart w:id="265" w:name="_Toc303539139"/>
      <w:bookmarkStart w:id="266" w:name="_Toc300934982"/>
      <w:bookmarkStart w:id="267" w:name="_Toc304295559"/>
      <w:bookmarkStart w:id="268" w:name="_Toc297123533"/>
      <w:bookmarkStart w:id="269" w:name="_Toc312677495"/>
      <w:bookmarkStart w:id="270" w:name="_Toc312678021"/>
      <w:bookmarkStart w:id="271" w:name="_Toc296503173"/>
      <w:bookmarkStart w:id="272" w:name="_Toc267251428"/>
      <w:bookmarkStart w:id="273" w:name="_Toc296346674"/>
      <w:bookmarkStart w:id="274" w:name="_Toc296891001"/>
      <w:bookmarkStart w:id="275" w:name="_Toc297120473"/>
      <w:bookmarkStart w:id="276" w:name="_Toc297048359"/>
      <w:bookmarkStart w:id="277" w:name="_Toc267251427"/>
      <w:bookmarkStart w:id="278" w:name="_Toc296944512"/>
      <w:bookmarkStart w:id="279" w:name="_Toc296347172"/>
      <w:bookmarkStart w:id="280" w:name="_Toc292559883"/>
      <w:bookmarkStart w:id="281" w:name="_Toc296891213"/>
      <w:bookmarkStart w:id="282" w:name="_Toc292559378"/>
      <w:r>
        <w:rPr>
          <w:rFonts w:ascii="Times New Roman" w:eastAsia="黑体"/>
          <w:color w:val="000000"/>
          <w:sz w:val="24"/>
          <w:szCs w:val="24"/>
        </w:rPr>
        <w:t>. 试验与检验</w:t>
      </w:r>
      <w:bookmarkEnd w:id="263"/>
    </w:p>
    <w:bookmarkEnd w:id="264"/>
    <w:bookmarkEnd w:id="265"/>
    <w:bookmarkEnd w:id="266"/>
    <w:bookmarkEnd w:id="267"/>
    <w:bookmarkEnd w:id="268"/>
    <w:bookmarkEnd w:id="269"/>
    <w:bookmarkEnd w:id="270"/>
    <w:p w14:paraId="72BA159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w:t>
      </w:r>
      <w:bookmarkStart w:id="283" w:name="_Toc300934983"/>
      <w:bookmarkStart w:id="284" w:name="_Toc304295560"/>
      <w:bookmarkStart w:id="285" w:name="_Toc312678022"/>
      <w:bookmarkStart w:id="286" w:name="_Toc303539140"/>
      <w:bookmarkStart w:id="287" w:name="_Toc297123534"/>
      <w:bookmarkStart w:id="288" w:name="_Toc312677496"/>
      <w:bookmarkStart w:id="289" w:name="_Toc297216193"/>
      <w:r>
        <w:rPr>
          <w:rFonts w:ascii="Times New Roman" w:eastAsia="黑体"/>
          <w:bCs/>
          <w:color w:val="000000"/>
          <w:sz w:val="24"/>
          <w:szCs w:val="24"/>
        </w:rPr>
        <w:t>.1</w:t>
      </w:r>
      <w:r>
        <w:rPr>
          <w:rFonts w:hint="eastAsia" w:ascii="Times New Roman" w:eastAsia="黑体"/>
          <w:bCs/>
          <w:color w:val="000000"/>
          <w:sz w:val="24"/>
          <w:szCs w:val="24"/>
        </w:rPr>
        <w:t xml:space="preserve"> </w:t>
      </w:r>
      <w:r>
        <w:rPr>
          <w:rFonts w:ascii="Times New Roman" w:eastAsia="黑体"/>
          <w:bCs/>
          <w:color w:val="000000"/>
          <w:sz w:val="24"/>
          <w:szCs w:val="24"/>
        </w:rPr>
        <w:t>试验设备与试验人员</w:t>
      </w:r>
    </w:p>
    <w:bookmarkEnd w:id="283"/>
    <w:bookmarkEnd w:id="284"/>
    <w:bookmarkEnd w:id="285"/>
    <w:bookmarkEnd w:id="286"/>
    <w:bookmarkEnd w:id="287"/>
    <w:bookmarkEnd w:id="288"/>
    <w:bookmarkEnd w:id="289"/>
    <w:p w14:paraId="2CE1B9CE">
      <w:pPr>
        <w:adjustRightInd w:val="0"/>
        <w:spacing w:line="360" w:lineRule="auto"/>
        <w:ind w:firstLine="480" w:firstLineChars="200"/>
        <w:rPr>
          <w:rFonts w:ascii="Times New Roman"/>
          <w:color w:val="000000"/>
          <w:sz w:val="24"/>
          <w:szCs w:val="24"/>
        </w:rPr>
      </w:pPr>
      <w:r>
        <w:rPr>
          <w:rFonts w:ascii="Times New Roman"/>
          <w:color w:val="000000"/>
          <w:sz w:val="24"/>
          <w:szCs w:val="24"/>
        </w:rPr>
        <w:t>9</w:t>
      </w:r>
      <w:bookmarkStart w:id="290" w:name="_Toc303539141"/>
      <w:bookmarkStart w:id="291" w:name="_Toc297216194"/>
      <w:bookmarkStart w:id="292" w:name="_Toc312677497"/>
      <w:bookmarkStart w:id="293" w:name="_Toc300934984"/>
      <w:bookmarkStart w:id="294" w:name="_Toc312678023"/>
      <w:bookmarkStart w:id="295" w:name="_Toc304295561"/>
      <w:bookmarkStart w:id="296" w:name="_Toc297123535"/>
      <w:bookmarkStart w:id="297" w:name="_Toc318581174"/>
      <w:r>
        <w:rPr>
          <w:rFonts w:ascii="Times New Roman"/>
          <w:color w:val="000000"/>
          <w:sz w:val="24"/>
          <w:szCs w:val="24"/>
        </w:rPr>
        <w:t>.1.2 试验设备</w:t>
      </w:r>
    </w:p>
    <w:p w14:paraId="3E83CA2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施工现场需要配置的试验场所</w:t>
      </w:r>
      <w:bookmarkEnd w:id="290"/>
      <w:bookmarkEnd w:id="291"/>
      <w:bookmarkEnd w:id="292"/>
      <w:bookmarkEnd w:id="293"/>
      <w:bookmarkEnd w:id="294"/>
      <w:bookmarkEnd w:id="295"/>
      <w:bookmarkEnd w:id="296"/>
      <w:bookmarkStart w:id="298" w:name="_Toc304295562"/>
      <w:bookmarkStart w:id="299" w:name="_Toc312678024"/>
      <w:bookmarkStart w:id="300" w:name="_Toc297123536"/>
      <w:bookmarkStart w:id="301" w:name="_Toc300934985"/>
      <w:bookmarkStart w:id="302" w:name="_Toc303539142"/>
      <w:bookmarkStart w:id="303" w:name="_Toc297216195"/>
      <w:bookmarkStart w:id="304" w:name="_Toc312677498"/>
      <w:r>
        <w:rPr>
          <w:rFonts w:hint="eastAsia" w:ascii="Times New Roman"/>
          <w:color w:val="000000"/>
          <w:sz w:val="24"/>
          <w:szCs w:val="24"/>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75EF94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施工现场需要配备的试验设备：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DB7645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施工现场需要具备的其他试验条件：</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23D6BB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9.4 现场工艺试验</w:t>
      </w:r>
      <w:r>
        <w:rPr>
          <w:rFonts w:hint="eastAsia" w:ascii="Times New Roman" w:eastAsia="黑体"/>
          <w:bCs/>
          <w:color w:val="000000"/>
          <w:sz w:val="24"/>
          <w:szCs w:val="24"/>
        </w:rPr>
        <w:t xml:space="preserve"> </w:t>
      </w:r>
    </w:p>
    <w:p w14:paraId="18DF7A97">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现场工艺试验的有关约定：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bookmarkEnd w:id="297"/>
    <w:bookmarkEnd w:id="298"/>
    <w:bookmarkEnd w:id="299"/>
    <w:bookmarkEnd w:id="300"/>
    <w:bookmarkEnd w:id="301"/>
    <w:bookmarkEnd w:id="302"/>
    <w:bookmarkEnd w:id="303"/>
    <w:bookmarkEnd w:id="304"/>
    <w:p w14:paraId="774B2025">
      <w:pPr>
        <w:spacing w:before="240" w:beforeLines="100" w:after="240" w:afterLines="100"/>
        <w:outlineLvl w:val="2"/>
        <w:rPr>
          <w:rFonts w:ascii="Times New Roman" w:eastAsia="黑体"/>
          <w:color w:val="000000"/>
          <w:sz w:val="24"/>
          <w:szCs w:val="24"/>
        </w:rPr>
      </w:pPr>
      <w:bookmarkStart w:id="305" w:name="_Toc351203642"/>
      <w:r>
        <w:rPr>
          <w:rFonts w:ascii="Times New Roman" w:eastAsia="黑体"/>
          <w:color w:val="000000"/>
          <w:sz w:val="24"/>
          <w:szCs w:val="24"/>
        </w:rPr>
        <w:t>1</w:t>
      </w:r>
      <w:bookmarkEnd w:id="271"/>
      <w:bookmarkEnd w:id="272"/>
      <w:bookmarkEnd w:id="273"/>
      <w:bookmarkEnd w:id="274"/>
      <w:bookmarkEnd w:id="275"/>
      <w:bookmarkEnd w:id="276"/>
      <w:bookmarkEnd w:id="277"/>
      <w:bookmarkEnd w:id="278"/>
      <w:bookmarkEnd w:id="279"/>
      <w:bookmarkEnd w:id="280"/>
      <w:bookmarkEnd w:id="281"/>
      <w:bookmarkEnd w:id="282"/>
      <w:bookmarkStart w:id="306" w:name="_Toc297123540"/>
      <w:bookmarkStart w:id="307" w:name="_Toc292559903"/>
      <w:bookmarkStart w:id="308" w:name="_Toc296891021"/>
      <w:bookmarkStart w:id="309" w:name="_Toc296891233"/>
      <w:bookmarkStart w:id="310" w:name="_Toc296944532"/>
      <w:bookmarkStart w:id="311" w:name="_Toc296503193"/>
      <w:bookmarkStart w:id="312" w:name="_Toc303539146"/>
      <w:bookmarkStart w:id="313" w:name="_Toc297120493"/>
      <w:bookmarkStart w:id="314" w:name="_Toc296347192"/>
      <w:bookmarkStart w:id="315" w:name="_Toc292559398"/>
      <w:bookmarkStart w:id="316" w:name="_Toc297216199"/>
      <w:bookmarkStart w:id="317" w:name="_Toc296346694"/>
      <w:bookmarkStart w:id="318" w:name="_Toc300934989"/>
      <w:bookmarkStart w:id="319" w:name="_Toc304295566"/>
      <w:bookmarkStart w:id="320" w:name="_Toc297048379"/>
      <w:bookmarkStart w:id="321" w:name="_Toc312677499"/>
      <w:bookmarkStart w:id="322" w:name="_Toc312678025"/>
      <w:bookmarkStart w:id="323" w:name="_Toc267251441"/>
      <w:bookmarkStart w:id="324" w:name="_Toc267251440"/>
      <w:bookmarkStart w:id="325" w:name="_Toc267251433"/>
      <w:bookmarkStart w:id="326" w:name="_Toc267251437"/>
      <w:bookmarkStart w:id="327" w:name="_Toc267251435"/>
      <w:bookmarkStart w:id="328" w:name="_Toc267251439"/>
      <w:bookmarkStart w:id="329" w:name="_Toc267251442"/>
      <w:r>
        <w:rPr>
          <w:rFonts w:ascii="Times New Roman" w:eastAsia="黑体"/>
          <w:color w:val="000000"/>
          <w:sz w:val="24"/>
          <w:szCs w:val="24"/>
        </w:rPr>
        <w:t>0. 变更</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bookmarkEnd w:id="321"/>
    <w:bookmarkEnd w:id="322"/>
    <w:p w14:paraId="127BA3A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30" w:name="_Toc297216200"/>
      <w:bookmarkStart w:id="331" w:name="_Toc296347193"/>
      <w:bookmarkStart w:id="332" w:name="_Toc304295567"/>
      <w:bookmarkStart w:id="333" w:name="_Toc303539147"/>
      <w:bookmarkStart w:id="334" w:name="_Toc292559904"/>
      <w:bookmarkStart w:id="335" w:name="_Toc312677500"/>
      <w:bookmarkStart w:id="336" w:name="_Toc296503194"/>
      <w:bookmarkStart w:id="337" w:name="_Toc296891234"/>
      <w:bookmarkStart w:id="338" w:name="_Toc296891022"/>
      <w:bookmarkStart w:id="339" w:name="_Toc297120494"/>
      <w:bookmarkStart w:id="340" w:name="_Toc296944533"/>
      <w:bookmarkStart w:id="341" w:name="_Toc296346695"/>
      <w:bookmarkStart w:id="342" w:name="_Toc297048380"/>
      <w:bookmarkStart w:id="343" w:name="_Toc312678026"/>
      <w:bookmarkStart w:id="344" w:name="_Toc297123541"/>
      <w:bookmarkStart w:id="345" w:name="_Toc292559399"/>
      <w:bookmarkStart w:id="346" w:name="_Toc300934990"/>
      <w:r>
        <w:rPr>
          <w:rFonts w:ascii="Times New Roman" w:eastAsia="黑体"/>
          <w:bCs/>
          <w:color w:val="000000"/>
          <w:sz w:val="24"/>
          <w:szCs w:val="24"/>
        </w:rPr>
        <w:t>0.1</w:t>
      </w:r>
      <w:r>
        <w:rPr>
          <w:rFonts w:hint="eastAsia" w:ascii="Times New Roman" w:eastAsia="黑体"/>
          <w:bCs/>
          <w:color w:val="000000"/>
          <w:sz w:val="24"/>
          <w:szCs w:val="24"/>
        </w:rPr>
        <w:t xml:space="preserve"> </w:t>
      </w:r>
      <w:r>
        <w:rPr>
          <w:rFonts w:ascii="Times New Roman" w:eastAsia="黑体"/>
          <w:bCs/>
          <w:color w:val="000000"/>
          <w:sz w:val="24"/>
          <w:szCs w:val="24"/>
        </w:rPr>
        <w:t>变更的范围</w:t>
      </w:r>
    </w:p>
    <w:p w14:paraId="64D0818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关于变更的范围的约定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4F1E64C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10.4 变更估价</w:t>
      </w:r>
    </w:p>
    <w:p w14:paraId="3525913D">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10.4.1 变更估价原则</w:t>
      </w:r>
    </w:p>
    <w:p w14:paraId="7C5DCD65">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关于变更估价的约定</w:t>
      </w:r>
      <w:r>
        <w:rPr>
          <w:rFonts w:hint="eastAsia" w:ascii="Times New Roman"/>
          <w:color w:val="000000"/>
          <w:sz w:val="24"/>
          <w:szCs w:val="24"/>
        </w:rPr>
        <w:t>：</w:t>
      </w:r>
    </w:p>
    <w:p w14:paraId="1B46D64F">
      <w:pPr>
        <w:adjustRightIn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10.4.1.1 因工程变更引起已标价工程量清单项目或其工程数量发生变化时，按下列规定调整：</w:t>
      </w:r>
    </w:p>
    <w:p w14:paraId="1DC4CBC6">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ascii="Times New Roman"/>
          <w:b/>
          <w:bCs/>
          <w:color w:val="000000"/>
          <w:sz w:val="24"/>
          <w:szCs w:val="24"/>
          <w:u w:val="single"/>
        </w:rPr>
        <w:t>【承包人报价浮动率L=（1—中标价/最高投标限价）×100%，下同】</w:t>
      </w:r>
      <w:r>
        <w:rPr>
          <w:rFonts w:hint="eastAsia" w:ascii="Times New Roman"/>
          <w:b/>
          <w:color w:val="000000"/>
          <w:sz w:val="24"/>
          <w:szCs w:val="24"/>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36B4443F">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rPr>
        <w:t>（2）</w:t>
      </w:r>
      <w:r>
        <w:rPr>
          <w:rFonts w:hint="eastAsia" w:ascii="Times New Roman"/>
          <w:b/>
          <w:color w:val="000000"/>
          <w:sz w:val="24"/>
          <w:szCs w:val="24"/>
          <w:u w:val="single"/>
        </w:rPr>
        <w:t>已标价工程量清单中没有适用但有类似于变更工程项目的，可在合理范围内参照类似项目的单价。</w:t>
      </w:r>
    </w:p>
    <w:p w14:paraId="6C39D0D8">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616C709">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344DF261">
      <w:pPr>
        <w:adjustRightInd w:val="0"/>
        <w:snapToGrid w:val="0"/>
        <w:spacing w:before="72" w:beforeLines="30" w:line="360" w:lineRule="auto"/>
        <w:ind w:firstLine="482" w:firstLineChars="200"/>
        <w:rPr>
          <w:rFonts w:hint="eastAsia" w:ascii="Times New Roman"/>
          <w:b/>
          <w:color w:val="000000"/>
          <w:sz w:val="24"/>
          <w:szCs w:val="24"/>
        </w:rPr>
      </w:pPr>
      <w:r>
        <w:rPr>
          <w:rFonts w:hint="eastAsia" w:ascii="Times New Roman"/>
          <w:b/>
          <w:color w:val="000000"/>
          <w:sz w:val="24"/>
          <w:szCs w:val="24"/>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7CA02DE">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（1）按照费率计算的措施费，应按照实际发生变化的措施项目依据原招标文件规定的费率计算；</w:t>
      </w:r>
    </w:p>
    <w:p w14:paraId="451D34EC">
      <w:pPr>
        <w:adjustRightInd w:val="0"/>
        <w:snapToGrid w:val="0"/>
        <w:spacing w:before="72" w:beforeLines="30" w:line="360" w:lineRule="auto"/>
        <w:ind w:firstLine="482" w:firstLineChars="200"/>
        <w:jc w:val="left"/>
        <w:rPr>
          <w:rFonts w:hint="eastAsia" w:ascii="Times New Roman"/>
          <w:b/>
          <w:color w:val="000000"/>
          <w:sz w:val="24"/>
          <w:szCs w:val="24"/>
          <w:u w:val="single"/>
        </w:rPr>
      </w:pPr>
      <w:r>
        <w:rPr>
          <w:rFonts w:hint="eastAsia" w:ascii="Times New Roman"/>
          <w:b/>
          <w:color w:val="000000"/>
          <w:sz w:val="24"/>
          <w:szCs w:val="24"/>
          <w:u w:val="single"/>
        </w:rPr>
        <w:t>（2）按照单价计算的措施项目费，应按照实际发生变化的措施项目，按本合同专业条款第10.4.1.1目计算；</w:t>
      </w:r>
    </w:p>
    <w:p w14:paraId="5B956297">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（3）按总价（或系数）计算的措施项目费，应按照实际发生变化的措施项目和承包人报价浮动率同比下浮标准，提出新的措施项目费，作为结算的依据；</w:t>
      </w:r>
    </w:p>
    <w:p w14:paraId="4C043ADB">
      <w:pPr>
        <w:adjustRightInd w:val="0"/>
        <w:snapToGrid w:val="0"/>
        <w:spacing w:before="72" w:beforeLines="30" w:line="360" w:lineRule="auto"/>
        <w:ind w:firstLine="482" w:firstLineChars="200"/>
        <w:rPr>
          <w:rFonts w:ascii="Times New Roman"/>
          <w:b/>
          <w:strike/>
          <w:color w:val="000000"/>
          <w:sz w:val="24"/>
          <w:szCs w:val="24"/>
          <w:u w:val="single"/>
        </w:rPr>
      </w:pPr>
      <w:r>
        <w:rPr>
          <w:rFonts w:hint="eastAsia" w:ascii="Times New Roman"/>
          <w:b/>
          <w:color w:val="000000"/>
          <w:sz w:val="24"/>
          <w:szCs w:val="24"/>
          <w:u w:val="single"/>
        </w:rPr>
        <w:t>（4）如果承包人未事前将拟实施的方案提交给发包人确认，则应视为工程变更不引起措施项目费的调整或承包人放弃调整措施项目费的权利。</w:t>
      </w:r>
    </w:p>
    <w:p w14:paraId="0B8D321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47" w:name="_Toc296503197"/>
      <w:bookmarkStart w:id="348" w:name="_Toc296891237"/>
      <w:bookmarkStart w:id="349" w:name="_Toc296891025"/>
      <w:bookmarkStart w:id="350" w:name="_Toc297120497"/>
      <w:bookmarkStart w:id="351" w:name="_Toc296347196"/>
      <w:bookmarkStart w:id="352" w:name="_Toc303539150"/>
      <w:bookmarkStart w:id="353" w:name="_Toc300934993"/>
      <w:bookmarkStart w:id="354" w:name="_Toc297048383"/>
      <w:bookmarkStart w:id="355" w:name="_Toc292559402"/>
      <w:bookmarkStart w:id="356" w:name="_Toc296944536"/>
      <w:bookmarkStart w:id="357" w:name="_Toc297123544"/>
      <w:bookmarkStart w:id="358" w:name="_Toc297216203"/>
      <w:bookmarkStart w:id="359" w:name="_Toc296346698"/>
      <w:bookmarkStart w:id="360" w:name="_Toc292559907"/>
      <w:bookmarkStart w:id="361" w:name="_Toc312678029"/>
      <w:bookmarkStart w:id="362" w:name="_Toc304295570"/>
      <w:bookmarkStart w:id="363" w:name="_Toc312677503"/>
      <w:r>
        <w:rPr>
          <w:rFonts w:ascii="Times New Roman" w:eastAsia="黑体"/>
          <w:bCs/>
          <w:color w:val="000000"/>
          <w:sz w:val="24"/>
          <w:szCs w:val="24"/>
        </w:rPr>
        <w:t>0.5</w:t>
      </w:r>
      <w:r>
        <w:rPr>
          <w:rFonts w:hint="eastAsia" w:ascii="Times New Roman" w:eastAsia="黑体"/>
          <w:bCs/>
          <w:color w:val="000000"/>
          <w:sz w:val="24"/>
          <w:szCs w:val="24"/>
        </w:rPr>
        <w:t xml:space="preserve"> </w:t>
      </w:r>
      <w:r>
        <w:rPr>
          <w:rFonts w:ascii="Times New Roman" w:eastAsia="黑体"/>
          <w:bCs/>
          <w:color w:val="000000"/>
          <w:sz w:val="24"/>
          <w:szCs w:val="24"/>
        </w:rPr>
        <w:t>承</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4" w:name="_Toc300934994"/>
      <w:bookmarkStart w:id="365" w:name="_Toc297120503"/>
      <w:bookmarkStart w:id="366" w:name="_Toc296891243"/>
      <w:bookmarkStart w:id="367" w:name="_Toc292559408"/>
      <w:bookmarkStart w:id="368" w:name="_Toc297216204"/>
      <w:bookmarkStart w:id="369" w:name="_Toc303539151"/>
      <w:bookmarkStart w:id="370" w:name="_Toc296347202"/>
      <w:bookmarkStart w:id="371" w:name="_Toc296944542"/>
      <w:bookmarkStart w:id="372" w:name="_Toc297048389"/>
      <w:bookmarkStart w:id="373" w:name="_Toc296346704"/>
      <w:bookmarkStart w:id="374" w:name="_Toc297123545"/>
      <w:bookmarkStart w:id="375" w:name="_Toc296891031"/>
      <w:bookmarkStart w:id="376" w:name="_Toc296503203"/>
      <w:bookmarkStart w:id="377" w:name="_Toc292559913"/>
      <w:r>
        <w:rPr>
          <w:rFonts w:ascii="Times New Roman" w:eastAsia="黑体"/>
          <w:bCs/>
          <w:color w:val="000000"/>
          <w:sz w:val="24"/>
          <w:szCs w:val="24"/>
        </w:rPr>
        <w:t>包人的合理化建议</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621FB755">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监理人审查承包人合理化建议的期限：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1B645A32">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发包人审批承包人合理化建议的期限：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73400C2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w:t>
      </w:r>
      <w:bookmarkStart w:id="378" w:name="_Toc296891244"/>
      <w:bookmarkStart w:id="379" w:name="_Toc296503204"/>
      <w:bookmarkStart w:id="380" w:name="_Toc312677504"/>
      <w:bookmarkStart w:id="381" w:name="_Toc303539152"/>
      <w:bookmarkStart w:id="382" w:name="_Toc292559914"/>
      <w:bookmarkStart w:id="383" w:name="_Toc297216205"/>
      <w:bookmarkStart w:id="384" w:name="_Toc318581175"/>
      <w:bookmarkStart w:id="385" w:name="_Toc296346705"/>
      <w:bookmarkStart w:id="386" w:name="_Toc304295571"/>
      <w:bookmarkStart w:id="387" w:name="_Toc297123546"/>
      <w:bookmarkStart w:id="388" w:name="_Toc312678030"/>
      <w:bookmarkStart w:id="389" w:name="_Toc292559409"/>
      <w:bookmarkStart w:id="390" w:name="_Toc296891032"/>
      <w:bookmarkStart w:id="391" w:name="_Toc297120504"/>
      <w:bookmarkStart w:id="392" w:name="_Toc296347203"/>
      <w:bookmarkStart w:id="393" w:name="_Toc296944543"/>
      <w:bookmarkStart w:id="394" w:name="_Toc297048390"/>
      <w:bookmarkStart w:id="395" w:name="_Toc300934995"/>
      <w:r>
        <w:rPr>
          <w:rFonts w:ascii="Times New Roman"/>
          <w:color w:val="000000"/>
          <w:sz w:val="24"/>
          <w:szCs w:val="24"/>
        </w:rPr>
        <w:t>包人提出的合理化建议降低了合同价格或者提高了工程经济效益的奖励的方法和金额为：</w:t>
      </w:r>
      <w:r>
        <w:rPr>
          <w:rFonts w:hint="eastAsia" w:ascii="Times New Roman"/>
          <w:color w:val="000000"/>
          <w:sz w:val="24"/>
          <w:szCs w:val="24"/>
          <w:u w:val="single"/>
        </w:rPr>
        <w:t xml:space="preserve">       </w:t>
      </w:r>
      <w:r>
        <w:rPr>
          <w:rFonts w:ascii="Times New Roman"/>
          <w:color w:val="000000"/>
          <w:sz w:val="24"/>
          <w:szCs w:val="24"/>
        </w:rPr>
        <w:t>。</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6D11FBE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96" w:name="_Toc297048385"/>
      <w:bookmarkStart w:id="397" w:name="_Toc292559404"/>
      <w:bookmarkStart w:id="398" w:name="_Toc296891239"/>
      <w:bookmarkStart w:id="399" w:name="_Toc296944538"/>
      <w:bookmarkStart w:id="400" w:name="_Toc300934997"/>
      <w:bookmarkStart w:id="401" w:name="_Toc312677507"/>
      <w:bookmarkStart w:id="402" w:name="_Toc296346700"/>
      <w:bookmarkStart w:id="403" w:name="_Toc303539154"/>
      <w:bookmarkStart w:id="404" w:name="_Toc296347198"/>
      <w:bookmarkStart w:id="405" w:name="_Toc296891027"/>
      <w:bookmarkStart w:id="406" w:name="_Toc312678033"/>
      <w:bookmarkStart w:id="407" w:name="_Toc292559909"/>
      <w:bookmarkStart w:id="408" w:name="_Toc297123548"/>
      <w:bookmarkStart w:id="409" w:name="_Toc304295574"/>
      <w:bookmarkStart w:id="410" w:name="_Toc297120499"/>
      <w:bookmarkStart w:id="411" w:name="_Toc297216207"/>
      <w:bookmarkStart w:id="412" w:name="_Toc296503199"/>
      <w:r>
        <w:rPr>
          <w:rFonts w:ascii="Times New Roman" w:eastAsia="黑体"/>
          <w:bCs/>
          <w:color w:val="000000"/>
          <w:sz w:val="24"/>
          <w:szCs w:val="24"/>
        </w:rPr>
        <w:t>0.7 暂估价</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0D7BFC4C">
      <w:pPr>
        <w:adjustRightInd w:val="0"/>
        <w:spacing w:line="360" w:lineRule="auto"/>
        <w:ind w:firstLine="480" w:firstLineChars="200"/>
        <w:rPr>
          <w:rFonts w:ascii="Times New Roman"/>
          <w:color w:val="000000"/>
          <w:sz w:val="24"/>
          <w:szCs w:val="24"/>
        </w:rPr>
      </w:pPr>
      <w:r>
        <w:rPr>
          <w:rFonts w:ascii="Times New Roman"/>
          <w:color w:val="000000"/>
          <w:sz w:val="24"/>
          <w:szCs w:val="24"/>
        </w:rPr>
        <w:t>暂</w:t>
      </w:r>
      <w:bookmarkStart w:id="413" w:name="_Toc312678034"/>
      <w:bookmarkStart w:id="414" w:name="_Toc312677508"/>
      <w:bookmarkStart w:id="415" w:name="_Toc318581176"/>
      <w:r>
        <w:rPr>
          <w:rFonts w:ascii="Times New Roman"/>
          <w:color w:val="000000"/>
          <w:sz w:val="24"/>
          <w:szCs w:val="24"/>
        </w:rPr>
        <w:t>估价材料和工程设备的明细</w:t>
      </w:r>
      <w:r>
        <w:rPr>
          <w:rFonts w:hint="eastAsia" w:ascii="Times New Roman"/>
          <w:color w:val="000000"/>
          <w:sz w:val="24"/>
          <w:szCs w:val="24"/>
        </w:rPr>
        <w:t>见</w:t>
      </w:r>
      <w:r>
        <w:rPr>
          <w:rFonts w:ascii="Times New Roman"/>
          <w:color w:val="000000"/>
          <w:sz w:val="24"/>
          <w:szCs w:val="24"/>
        </w:rPr>
        <w:t>附件12</w:t>
      </w:r>
      <w:r>
        <w:rPr>
          <w:rFonts w:hint="eastAsia" w:ascii="Times New Roman"/>
          <w:color w:val="000000"/>
          <w:sz w:val="24"/>
          <w:szCs w:val="24"/>
        </w:rPr>
        <w:t>：《</w:t>
      </w:r>
      <w:r>
        <w:rPr>
          <w:rFonts w:ascii="Times New Roman"/>
          <w:color w:val="000000"/>
          <w:sz w:val="24"/>
          <w:szCs w:val="24"/>
        </w:rPr>
        <w:t>暂估价一览表</w:t>
      </w:r>
      <w:r>
        <w:rPr>
          <w:rFonts w:hint="eastAsia" w:ascii="Times New Roman"/>
          <w:color w:val="000000"/>
          <w:sz w:val="24"/>
          <w:szCs w:val="24"/>
        </w:rPr>
        <w:t>》。</w:t>
      </w:r>
    </w:p>
    <w:bookmarkEnd w:id="413"/>
    <w:bookmarkEnd w:id="414"/>
    <w:bookmarkEnd w:id="415"/>
    <w:p w14:paraId="48090223">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416" w:name="_Toc312677509"/>
      <w:bookmarkStart w:id="417" w:name="_Toc312678035"/>
      <w:bookmarkStart w:id="418" w:name="_Toc318581177"/>
      <w:r>
        <w:rPr>
          <w:rFonts w:ascii="Times New Roman"/>
          <w:color w:val="000000"/>
          <w:sz w:val="24"/>
          <w:szCs w:val="24"/>
        </w:rPr>
        <w:t>0.7.1 依法必须招标的暂估价项目</w:t>
      </w:r>
    </w:p>
    <w:bookmarkEnd w:id="416"/>
    <w:bookmarkEnd w:id="417"/>
    <w:bookmarkEnd w:id="418"/>
    <w:p w14:paraId="1948430E">
      <w:pPr>
        <w:adjustRightInd w:val="0"/>
        <w:spacing w:line="360" w:lineRule="auto"/>
        <w:ind w:firstLine="480" w:firstLineChars="200"/>
        <w:rPr>
          <w:rFonts w:ascii="Times New Roman"/>
          <w:color w:val="000000"/>
          <w:sz w:val="24"/>
          <w:szCs w:val="24"/>
        </w:rPr>
      </w:pPr>
      <w:r>
        <w:rPr>
          <w:rFonts w:ascii="Times New Roman"/>
          <w:color w:val="000000"/>
          <w:sz w:val="24"/>
          <w:szCs w:val="24"/>
        </w:rPr>
        <w:t>对于依法必须招标的暂估价项目的确认和批准采取第</w:t>
      </w:r>
      <w:r>
        <w:rPr>
          <w:rFonts w:hint="eastAsia" w:ascii="Times New Roman"/>
          <w:color w:val="000000"/>
          <w:sz w:val="24"/>
          <w:szCs w:val="24"/>
          <w:u w:val="single"/>
        </w:rPr>
        <w:t>2</w:t>
      </w:r>
      <w:r>
        <w:rPr>
          <w:rFonts w:ascii="Times New Roman"/>
          <w:color w:val="000000"/>
          <w:sz w:val="24"/>
          <w:szCs w:val="24"/>
        </w:rPr>
        <w:t>种方式确定。</w:t>
      </w:r>
      <w:r>
        <w:rPr>
          <w:rFonts w:hint="eastAsia" w:ascii="Times New Roman"/>
          <w:b/>
          <w:color w:val="000000"/>
          <w:sz w:val="24"/>
          <w:szCs w:val="24"/>
          <w:u w:val="single"/>
        </w:rPr>
        <w:t>并应按相关规定进行二次招标</w:t>
      </w:r>
      <w:r>
        <w:rPr>
          <w:rFonts w:ascii="Times New Roman"/>
          <w:color w:val="000000"/>
          <w:sz w:val="24"/>
          <w:szCs w:val="24"/>
        </w:rPr>
        <w:t>。</w:t>
      </w:r>
    </w:p>
    <w:p w14:paraId="247BB812">
      <w:pPr>
        <w:adjustRightInd w:val="0"/>
        <w:spacing w:line="360" w:lineRule="auto"/>
        <w:ind w:firstLine="480" w:firstLineChars="200"/>
        <w:rPr>
          <w:rFonts w:ascii="Times New Roman"/>
          <w:color w:val="000000"/>
          <w:sz w:val="24"/>
          <w:szCs w:val="24"/>
        </w:rPr>
      </w:pPr>
      <w:r>
        <w:rPr>
          <w:rFonts w:ascii="Times New Roman"/>
          <w:color w:val="000000"/>
          <w:sz w:val="24"/>
          <w:szCs w:val="24"/>
        </w:rPr>
        <w:t>10.7.2 不属于依法必须招标的暂估价项目</w:t>
      </w:r>
    </w:p>
    <w:p w14:paraId="684E2F2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对于不属于依法必须招标的暂估价项目的确认和批准采取第</w:t>
      </w:r>
      <w:r>
        <w:rPr>
          <w:rFonts w:hint="eastAsia" w:ascii="Times New Roman"/>
          <w:color w:val="000000"/>
          <w:sz w:val="24"/>
          <w:szCs w:val="24"/>
          <w:u w:val="single"/>
        </w:rPr>
        <w:t>1</w:t>
      </w:r>
      <w:r>
        <w:rPr>
          <w:rFonts w:ascii="Times New Roman"/>
          <w:color w:val="000000"/>
          <w:sz w:val="24"/>
          <w:szCs w:val="24"/>
        </w:rPr>
        <w:t>种方式确定。</w:t>
      </w:r>
    </w:p>
    <w:p w14:paraId="12D04FF7">
      <w:pPr>
        <w:adjustRightInd w:val="0"/>
        <w:spacing w:line="360" w:lineRule="auto"/>
        <w:ind w:firstLine="480" w:firstLineChars="200"/>
        <w:rPr>
          <w:rFonts w:ascii="Times New Roman"/>
          <w:color w:val="000000"/>
          <w:sz w:val="24"/>
          <w:szCs w:val="24"/>
        </w:rPr>
      </w:pPr>
      <w:r>
        <w:rPr>
          <w:rFonts w:ascii="Times New Roman"/>
          <w:color w:val="000000"/>
          <w:sz w:val="24"/>
          <w:szCs w:val="24"/>
        </w:rPr>
        <w:t>第3种方式：承包人直接实施的暂估价项目</w:t>
      </w:r>
    </w:p>
    <w:p w14:paraId="2F755B4D">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承包人直接实施的暂估价项目的约定：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3AD89C8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10.8 暂列金额</w:t>
      </w:r>
    </w:p>
    <w:p w14:paraId="7E73B31C">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合同当事人关于暂列金额使用的约定：</w:t>
      </w:r>
      <w:r>
        <w:rPr>
          <w:rFonts w:hint="eastAsia" w:ascii="Times New Roman"/>
          <w:color w:val="000000"/>
          <w:sz w:val="24"/>
          <w:szCs w:val="24"/>
          <w:u w:val="single"/>
        </w:rPr>
        <w:t xml:space="preserve">       </w:t>
      </w:r>
      <w:r>
        <w:rPr>
          <w:rFonts w:hint="eastAsia" w:ascii="Times New Roman"/>
          <w:color w:val="000000"/>
          <w:sz w:val="24"/>
          <w:szCs w:val="24"/>
        </w:rPr>
        <w:t>。</w:t>
      </w:r>
    </w:p>
    <w:p w14:paraId="7D06121E">
      <w:pPr>
        <w:spacing w:before="240" w:beforeLines="100" w:after="240" w:afterLines="100"/>
        <w:outlineLvl w:val="2"/>
        <w:rPr>
          <w:rFonts w:ascii="Times New Roman" w:eastAsia="黑体"/>
          <w:color w:val="000000"/>
          <w:sz w:val="24"/>
          <w:szCs w:val="24"/>
        </w:rPr>
      </w:pPr>
      <w:bookmarkStart w:id="419" w:name="_Toc351203643"/>
      <w:r>
        <w:rPr>
          <w:rFonts w:ascii="Times New Roman" w:eastAsia="黑体"/>
          <w:color w:val="000000"/>
          <w:sz w:val="24"/>
          <w:szCs w:val="24"/>
        </w:rPr>
        <w:t>11. 价格调整</w:t>
      </w:r>
      <w:bookmarkEnd w:id="419"/>
    </w:p>
    <w:p w14:paraId="4DDB2727">
      <w:pPr>
        <w:keepNext/>
        <w:keepLines/>
        <w:spacing w:before="120" w:after="120" w:line="360" w:lineRule="auto"/>
        <w:ind w:firstLine="480" w:firstLineChars="200"/>
        <w:outlineLvl w:val="3"/>
        <w:rPr>
          <w:rFonts w:ascii="Times New Roman" w:eastAsia="黑体"/>
          <w:bCs/>
          <w:color w:val="000000"/>
          <w:sz w:val="24"/>
          <w:szCs w:val="24"/>
        </w:rPr>
      </w:pPr>
      <w:bookmarkStart w:id="420" w:name="_Toc296347200"/>
      <w:bookmarkStart w:id="421" w:name="_Toc312678039"/>
      <w:bookmarkStart w:id="422" w:name="_Toc297048387"/>
      <w:bookmarkStart w:id="423" w:name="_Toc296503201"/>
      <w:bookmarkStart w:id="424" w:name="_Toc296346702"/>
      <w:bookmarkStart w:id="425" w:name="_Toc297216209"/>
      <w:bookmarkStart w:id="426" w:name="_Toc300935000"/>
      <w:bookmarkStart w:id="427" w:name="_Toc297123550"/>
      <w:bookmarkStart w:id="428" w:name="_Toc292559406"/>
      <w:bookmarkStart w:id="429" w:name="_Toc296891029"/>
      <w:bookmarkStart w:id="430" w:name="_Toc296944540"/>
      <w:bookmarkStart w:id="431" w:name="_Toc296891241"/>
      <w:bookmarkStart w:id="432" w:name="_Toc292559911"/>
      <w:bookmarkStart w:id="433" w:name="_Toc304295577"/>
      <w:bookmarkStart w:id="434" w:name="_Toc297120501"/>
      <w:bookmarkStart w:id="435" w:name="_Toc303539157"/>
      <w:r>
        <w:rPr>
          <w:rFonts w:ascii="Times New Roman" w:eastAsia="黑体"/>
          <w:bCs/>
          <w:color w:val="000000"/>
          <w:sz w:val="24"/>
          <w:szCs w:val="24"/>
        </w:rPr>
        <w:t>11.1 市场价格波动引起的调整</w:t>
      </w:r>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23EC9D24">
      <w:pPr>
        <w:adjustRightInd w:val="0"/>
        <w:spacing w:line="360" w:lineRule="auto"/>
        <w:ind w:firstLine="480" w:firstLineChars="200"/>
        <w:rPr>
          <w:rFonts w:ascii="Times New Roman"/>
          <w:color w:val="000000"/>
          <w:sz w:val="24"/>
          <w:szCs w:val="24"/>
        </w:rPr>
      </w:pPr>
      <w:r>
        <w:rPr>
          <w:rFonts w:ascii="Times New Roman"/>
          <w:color w:val="000000"/>
          <w:sz w:val="24"/>
          <w:szCs w:val="24"/>
        </w:rPr>
        <w:t>市场价格波动是否调整合同价格的约定：</w:t>
      </w:r>
      <w:r>
        <w:rPr>
          <w:rFonts w:hint="eastAsia" w:ascii="Times New Roman"/>
          <w:color w:val="000000"/>
          <w:sz w:val="24"/>
          <w:szCs w:val="24"/>
          <w:u w:val="single"/>
        </w:rPr>
        <w:t>见《专用合同条款数据表》</w:t>
      </w:r>
      <w:r>
        <w:rPr>
          <w:rFonts w:ascii="Times New Roman"/>
          <w:color w:val="000000"/>
          <w:sz w:val="24"/>
          <w:szCs w:val="24"/>
        </w:rPr>
        <w:t>。</w:t>
      </w:r>
    </w:p>
    <w:p w14:paraId="6171E90B">
      <w:pPr>
        <w:adjustRightInd w:val="0"/>
        <w:spacing w:line="360" w:lineRule="auto"/>
        <w:ind w:firstLine="480" w:firstLineChars="200"/>
        <w:rPr>
          <w:rFonts w:ascii="Times New Roman"/>
          <w:color w:val="000000"/>
          <w:sz w:val="24"/>
          <w:szCs w:val="24"/>
        </w:rPr>
      </w:pPr>
      <w:r>
        <w:rPr>
          <w:rFonts w:ascii="Times New Roman"/>
          <w:color w:val="000000"/>
          <w:sz w:val="24"/>
          <w:szCs w:val="24"/>
        </w:rPr>
        <w:t>因市场价格波动调整合同价格，采用以下第</w:t>
      </w:r>
      <w:r>
        <w:rPr>
          <w:rFonts w:ascii="Times New Roman"/>
          <w:color w:val="000000"/>
          <w:sz w:val="24"/>
          <w:szCs w:val="24"/>
          <w:u w:val="single"/>
        </w:rPr>
        <w:t xml:space="preserve">    </w:t>
      </w:r>
      <w:r>
        <w:rPr>
          <w:rFonts w:ascii="Times New Roman"/>
          <w:color w:val="000000"/>
          <w:sz w:val="24"/>
          <w:szCs w:val="24"/>
        </w:rPr>
        <w:t>种方式对合同价格进行调整：</w:t>
      </w:r>
    </w:p>
    <w:p w14:paraId="4B6181B7">
      <w:pPr>
        <w:adjustRightInd w:val="0"/>
        <w:spacing w:line="360" w:lineRule="auto"/>
        <w:ind w:firstLine="480" w:firstLineChars="200"/>
        <w:rPr>
          <w:rFonts w:ascii="Times New Roman"/>
          <w:color w:val="000000"/>
          <w:sz w:val="24"/>
          <w:szCs w:val="24"/>
        </w:rPr>
      </w:pPr>
      <w:r>
        <w:rPr>
          <w:rFonts w:ascii="Times New Roman"/>
          <w:color w:val="000000"/>
          <w:sz w:val="24"/>
          <w:szCs w:val="24"/>
        </w:rPr>
        <w:t>第1种方式：采用价格指数</w:t>
      </w:r>
      <w:r>
        <w:rPr>
          <w:rFonts w:hint="eastAsia" w:ascii="Times New Roman"/>
          <w:color w:val="000000"/>
          <w:sz w:val="24"/>
          <w:szCs w:val="24"/>
        </w:rPr>
        <w:t>进行价格</w:t>
      </w:r>
      <w:r>
        <w:rPr>
          <w:rFonts w:ascii="Times New Roman"/>
          <w:color w:val="000000"/>
          <w:sz w:val="24"/>
          <w:szCs w:val="24"/>
        </w:rPr>
        <w:t>调整。</w:t>
      </w:r>
    </w:p>
    <w:p w14:paraId="1CC19B7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关于各可调因子、定值和变值权重，以及基本价格指数及其来源的约定：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p>
    <w:p w14:paraId="17DAA31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第2种方式：采用造价信息</w:t>
      </w:r>
      <w:r>
        <w:rPr>
          <w:rFonts w:hint="eastAsia" w:ascii="Times New Roman"/>
          <w:color w:val="000000"/>
          <w:sz w:val="24"/>
          <w:szCs w:val="24"/>
        </w:rPr>
        <w:t>进行价格</w:t>
      </w:r>
      <w:r>
        <w:rPr>
          <w:rFonts w:ascii="Times New Roman"/>
          <w:color w:val="000000"/>
          <w:sz w:val="24"/>
          <w:szCs w:val="24"/>
        </w:rPr>
        <w:t>调整。</w:t>
      </w:r>
    </w:p>
    <w:p w14:paraId="606E27A5">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（1）可调整价格的主要材料范围的约定：</w:t>
      </w:r>
      <w:r>
        <w:rPr>
          <w:rFonts w:hint="eastAsia" w:ascii="Times New Roman"/>
          <w:color w:val="000000"/>
          <w:sz w:val="24"/>
          <w:szCs w:val="24"/>
          <w:u w:val="single"/>
        </w:rPr>
        <w:t xml:space="preserve">       </w:t>
      </w:r>
      <w:r>
        <w:rPr>
          <w:rFonts w:hint="eastAsia" w:ascii="Times New Roman"/>
          <w:color w:val="000000"/>
          <w:sz w:val="24"/>
          <w:szCs w:val="24"/>
        </w:rPr>
        <w:t>；</w:t>
      </w:r>
    </w:p>
    <w:p w14:paraId="1B184894">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（2）主要材料价差调整周期的约定：</w:t>
      </w:r>
      <w:r>
        <w:rPr>
          <w:rFonts w:hint="eastAsia" w:ascii="Times New Roman"/>
          <w:color w:val="000000"/>
          <w:sz w:val="24"/>
          <w:szCs w:val="24"/>
          <w:u w:val="single"/>
        </w:rPr>
        <w:t xml:space="preserve">       </w:t>
      </w:r>
      <w:r>
        <w:rPr>
          <w:rFonts w:hint="eastAsia" w:ascii="Times New Roman"/>
          <w:color w:val="000000"/>
          <w:sz w:val="24"/>
          <w:szCs w:val="24"/>
        </w:rPr>
        <w:t>；</w:t>
      </w:r>
    </w:p>
    <w:p w14:paraId="6EB61773">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（3）主要材料价差调整计算方法的约定：</w:t>
      </w:r>
      <w:r>
        <w:rPr>
          <w:rFonts w:hint="eastAsia" w:ascii="Times New Roman"/>
          <w:color w:val="000000"/>
          <w:sz w:val="24"/>
          <w:szCs w:val="24"/>
          <w:u w:val="single"/>
        </w:rPr>
        <w:t xml:space="preserve">       </w:t>
      </w:r>
      <w:r>
        <w:rPr>
          <w:rFonts w:hint="eastAsia" w:ascii="Times New Roman"/>
          <w:color w:val="000000"/>
          <w:sz w:val="24"/>
          <w:szCs w:val="24"/>
        </w:rPr>
        <w:t>；</w:t>
      </w:r>
    </w:p>
    <w:p w14:paraId="1439044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（4）主要材料价差调整时间的约定：</w:t>
      </w:r>
      <w:r>
        <w:rPr>
          <w:rFonts w:hint="eastAsia" w:ascii="Times New Roman"/>
          <w:color w:val="000000"/>
          <w:sz w:val="24"/>
          <w:szCs w:val="24"/>
          <w:u w:val="single"/>
        </w:rPr>
        <w:t xml:space="preserve">       </w:t>
      </w:r>
      <w:r>
        <w:rPr>
          <w:rFonts w:hint="eastAsia" w:ascii="Times New Roman"/>
          <w:color w:val="000000"/>
          <w:sz w:val="24"/>
          <w:szCs w:val="24"/>
        </w:rPr>
        <w:t>。</w:t>
      </w:r>
    </w:p>
    <w:p w14:paraId="488B221A">
      <w:pPr>
        <w:adjustRightInd w:val="0"/>
        <w:spacing w:line="360" w:lineRule="auto"/>
        <w:ind w:firstLine="480" w:firstLineChars="200"/>
        <w:rPr>
          <w:rFonts w:ascii="Times New Roman"/>
          <w:color w:val="000000"/>
          <w:sz w:val="24"/>
          <w:szCs w:val="24"/>
        </w:rPr>
      </w:pPr>
      <w:r>
        <w:rPr>
          <w:rFonts w:ascii="Times New Roman"/>
          <w:color w:val="000000"/>
          <w:sz w:val="24"/>
          <w:szCs w:val="24"/>
        </w:rPr>
        <w:t>（2）关于基准价格的约定：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8524DAA">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①</w:t>
      </w:r>
      <w:r>
        <w:rPr>
          <w:rFonts w:ascii="Times New Roman"/>
          <w:color w:val="000000"/>
          <w:sz w:val="24"/>
          <w:szCs w:val="24"/>
        </w:rPr>
        <w:t>承包人在已标价工程量清单或预算书中载明的材料单价低于基准价格的：专用合同条款合同履行期间材料单价涨幅以基准价格为基础超过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%时，或材料单价跌幅以已标价工程量清单或预算书中载明材料单价为基础超过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64E0FB29">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②</w:t>
      </w:r>
      <w:r>
        <w:rPr>
          <w:rFonts w:ascii="Times New Roman"/>
          <w:color w:val="000000"/>
          <w:sz w:val="24"/>
          <w:szCs w:val="24"/>
        </w:rPr>
        <w:t>承包人在已标价工程量清单或预算书中载明的材料单价高于基准价格的：专用合同条款合同履行期间材料单价跌幅以基准价格为基础超过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%时，材料单价涨幅以已标价工程量清单或预算书中载明材料单价为基础超过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17325A01">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③</w:t>
      </w:r>
      <w:r>
        <w:rPr>
          <w:rFonts w:ascii="Times New Roman"/>
          <w:color w:val="000000"/>
          <w:sz w:val="24"/>
          <w:szCs w:val="24"/>
        </w:rPr>
        <w:t>承包人在已标价工程量清单或预算书中载明的材料单价等于基准单价的：专用合同条款合同履行期间材料单价涨跌幅以基准单价为基础超过±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360AC9A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第3种方式：其他价格调整方式：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323"/>
    <w:bookmarkEnd w:id="324"/>
    <w:bookmarkEnd w:id="325"/>
    <w:bookmarkEnd w:id="326"/>
    <w:bookmarkEnd w:id="327"/>
    <w:bookmarkEnd w:id="328"/>
    <w:p w14:paraId="6F03C8B0">
      <w:pPr>
        <w:spacing w:before="240" w:beforeLines="100" w:after="240" w:afterLines="100"/>
        <w:outlineLvl w:val="2"/>
        <w:rPr>
          <w:rFonts w:ascii="Times New Roman" w:eastAsia="黑体"/>
          <w:color w:val="000000"/>
          <w:sz w:val="24"/>
          <w:szCs w:val="24"/>
        </w:rPr>
      </w:pPr>
      <w:bookmarkStart w:id="436" w:name="_Toc296891033"/>
      <w:bookmarkStart w:id="437" w:name="_Toc297048391"/>
      <w:bookmarkStart w:id="438" w:name="_Toc292559410"/>
      <w:bookmarkStart w:id="439" w:name="_Toc297120505"/>
      <w:bookmarkStart w:id="440" w:name="_Toc296503205"/>
      <w:bookmarkStart w:id="441" w:name="_Toc296891245"/>
      <w:bookmarkStart w:id="442" w:name="_Toc296347204"/>
      <w:bookmarkStart w:id="443" w:name="_Toc296944544"/>
      <w:bookmarkStart w:id="444" w:name="_Toc296346706"/>
      <w:bookmarkStart w:id="445" w:name="_Toc292559915"/>
      <w:bookmarkStart w:id="446" w:name="_Toc351203644"/>
      <w:bookmarkStart w:id="447" w:name="_Toc304295579"/>
      <w:bookmarkStart w:id="448" w:name="_Toc300935002"/>
      <w:bookmarkStart w:id="449" w:name="_Toc297123552"/>
      <w:bookmarkStart w:id="450" w:name="_Toc303539159"/>
      <w:bookmarkStart w:id="451" w:name="_Toc297216211"/>
      <w:bookmarkStart w:id="452" w:name="_Toc312678040"/>
      <w:r>
        <w:rPr>
          <w:rFonts w:ascii="Times New Roman" w:eastAsia="黑体"/>
          <w:color w:val="000000"/>
          <w:sz w:val="24"/>
          <w:szCs w:val="24"/>
        </w:rPr>
        <w:t xml:space="preserve">12. </w:t>
      </w:r>
      <w:bookmarkEnd w:id="436"/>
      <w:bookmarkEnd w:id="437"/>
      <w:bookmarkEnd w:id="438"/>
      <w:bookmarkEnd w:id="439"/>
      <w:bookmarkEnd w:id="440"/>
      <w:bookmarkEnd w:id="441"/>
      <w:bookmarkEnd w:id="442"/>
      <w:bookmarkEnd w:id="443"/>
      <w:bookmarkEnd w:id="444"/>
      <w:bookmarkEnd w:id="445"/>
      <w:r>
        <w:rPr>
          <w:rFonts w:ascii="Times New Roman" w:eastAsia="黑体"/>
          <w:color w:val="000000"/>
          <w:sz w:val="24"/>
          <w:szCs w:val="24"/>
        </w:rPr>
        <w:t>合同价格、计量与支付</w:t>
      </w:r>
      <w:bookmarkEnd w:id="446"/>
    </w:p>
    <w:bookmarkEnd w:id="447"/>
    <w:bookmarkEnd w:id="448"/>
    <w:bookmarkEnd w:id="449"/>
    <w:bookmarkEnd w:id="450"/>
    <w:bookmarkEnd w:id="451"/>
    <w:bookmarkEnd w:id="452"/>
    <w:p w14:paraId="572DC8A3">
      <w:pPr>
        <w:keepNext/>
        <w:keepLines/>
        <w:spacing w:before="120" w:after="120" w:line="360" w:lineRule="auto"/>
        <w:ind w:firstLine="480" w:firstLineChars="200"/>
        <w:outlineLvl w:val="3"/>
        <w:rPr>
          <w:rFonts w:ascii="Times New Roman" w:eastAsia="黑体"/>
          <w:bCs/>
          <w:color w:val="000000"/>
          <w:sz w:val="24"/>
          <w:szCs w:val="24"/>
        </w:rPr>
      </w:pPr>
      <w:bookmarkStart w:id="453" w:name="_Toc292559916"/>
      <w:bookmarkStart w:id="454" w:name="_Toc267251461"/>
      <w:bookmarkStart w:id="455" w:name="_Toc292559411"/>
      <w:bookmarkStart w:id="456" w:name="_Toc296944545"/>
      <w:bookmarkStart w:id="457" w:name="_Toc296503206"/>
      <w:bookmarkStart w:id="458" w:name="_Toc296347205"/>
      <w:bookmarkStart w:id="459" w:name="_Toc297120506"/>
      <w:bookmarkStart w:id="460" w:name="_Toc297048392"/>
      <w:bookmarkStart w:id="461" w:name="_Toc296891246"/>
      <w:bookmarkStart w:id="462" w:name="_Toc296891034"/>
      <w:bookmarkStart w:id="463" w:name="_Toc296346707"/>
      <w:bookmarkStart w:id="464" w:name="_Toc297123553"/>
      <w:bookmarkStart w:id="465" w:name="_Toc297216212"/>
      <w:bookmarkStart w:id="466" w:name="_Toc303539160"/>
      <w:bookmarkStart w:id="467" w:name="_Toc312678041"/>
      <w:bookmarkStart w:id="468" w:name="_Toc304295580"/>
      <w:bookmarkStart w:id="469" w:name="_Toc300935003"/>
      <w:r>
        <w:rPr>
          <w:rFonts w:ascii="Times New Roman" w:eastAsia="黑体"/>
          <w:bCs/>
          <w:color w:val="000000"/>
          <w:sz w:val="24"/>
          <w:szCs w:val="24"/>
        </w:rPr>
        <w:t>12.1 合</w:t>
      </w:r>
      <w:bookmarkEnd w:id="453"/>
      <w:bookmarkEnd w:id="454"/>
      <w:bookmarkEnd w:id="455"/>
      <w:r>
        <w:rPr>
          <w:rFonts w:ascii="Times New Roman" w:eastAsia="黑体"/>
          <w:bCs/>
          <w:color w:val="000000"/>
          <w:sz w:val="24"/>
          <w:szCs w:val="24"/>
        </w:rPr>
        <w:t>同价</w:t>
      </w:r>
      <w:bookmarkEnd w:id="456"/>
      <w:bookmarkEnd w:id="457"/>
      <w:bookmarkEnd w:id="458"/>
      <w:bookmarkEnd w:id="459"/>
      <w:bookmarkEnd w:id="460"/>
      <w:bookmarkEnd w:id="461"/>
      <w:bookmarkEnd w:id="462"/>
      <w:bookmarkEnd w:id="463"/>
      <w:r>
        <w:rPr>
          <w:rFonts w:ascii="Times New Roman" w:eastAsia="黑体"/>
          <w:bCs/>
          <w:color w:val="000000"/>
          <w:sz w:val="24"/>
          <w:szCs w:val="24"/>
        </w:rPr>
        <w:t>格形式</w:t>
      </w:r>
    </w:p>
    <w:bookmarkEnd w:id="464"/>
    <w:bookmarkEnd w:id="465"/>
    <w:bookmarkEnd w:id="466"/>
    <w:bookmarkEnd w:id="467"/>
    <w:bookmarkEnd w:id="468"/>
    <w:bookmarkEnd w:id="469"/>
    <w:p w14:paraId="51D0744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单价合同。</w:t>
      </w:r>
    </w:p>
    <w:p w14:paraId="26D6AAA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综合单价包含的风险范围：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47E9E36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06C8E4B7">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504B6F9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总价合同。</w:t>
      </w:r>
    </w:p>
    <w:p w14:paraId="2678E7CC">
      <w:pPr>
        <w:adjustRightInd w:val="0"/>
        <w:spacing w:line="360" w:lineRule="auto"/>
        <w:ind w:firstLine="480" w:firstLineChars="200"/>
        <w:rPr>
          <w:rFonts w:ascii="Times New Roman"/>
          <w:b/>
          <w:color w:val="000000"/>
          <w:sz w:val="24"/>
          <w:szCs w:val="24"/>
        </w:rPr>
      </w:pPr>
      <w:r>
        <w:rPr>
          <w:rFonts w:ascii="Times New Roman"/>
          <w:color w:val="000000"/>
          <w:sz w:val="24"/>
          <w:szCs w:val="24"/>
        </w:rPr>
        <w:t>总价包含的风险范围：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64C1D80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19517B7C">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6134AA9B">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（3）</w:t>
      </w:r>
      <w:r>
        <w:rPr>
          <w:rFonts w:ascii="Times New Roman"/>
          <w:color w:val="000000"/>
          <w:sz w:val="24"/>
          <w:szCs w:val="24"/>
        </w:rPr>
        <w:t>其他价格方式：</w:t>
      </w:r>
      <w:r>
        <w:rPr>
          <w:rFonts w:hint="eastAsia" w:ascii="Times New Roman"/>
          <w:color w:val="000000"/>
          <w:sz w:val="24"/>
          <w:szCs w:val="24"/>
          <w:u w:val="single"/>
        </w:rPr>
        <w:t>见《专用合同条款数据表》</w:t>
      </w:r>
      <w:r>
        <w:rPr>
          <w:rFonts w:ascii="Times New Roman"/>
          <w:color w:val="000000"/>
          <w:sz w:val="24"/>
          <w:szCs w:val="24"/>
        </w:rPr>
        <w:t>。</w:t>
      </w:r>
    </w:p>
    <w:p w14:paraId="45D3EA5D">
      <w:pPr>
        <w:keepNext/>
        <w:keepLines/>
        <w:spacing w:before="120" w:after="120" w:line="360" w:lineRule="auto"/>
        <w:ind w:firstLine="480" w:firstLineChars="200"/>
        <w:outlineLvl w:val="3"/>
        <w:rPr>
          <w:rFonts w:ascii="Times New Roman" w:eastAsia="黑体"/>
          <w:bCs/>
          <w:color w:val="000000"/>
          <w:sz w:val="24"/>
          <w:szCs w:val="24"/>
        </w:rPr>
      </w:pPr>
      <w:bookmarkStart w:id="470" w:name="_Toc304295581"/>
      <w:bookmarkStart w:id="471" w:name="_Toc300935004"/>
      <w:bookmarkStart w:id="472" w:name="_Toc312678042"/>
      <w:bookmarkStart w:id="473" w:name="_Toc303539161"/>
      <w:bookmarkStart w:id="474" w:name="_Toc297123554"/>
      <w:bookmarkStart w:id="475" w:name="_Toc297216213"/>
      <w:bookmarkStart w:id="476" w:name="_Toc296347206"/>
      <w:bookmarkStart w:id="477" w:name="_Toc297048393"/>
      <w:bookmarkStart w:id="478" w:name="_Toc296891035"/>
      <w:bookmarkStart w:id="479" w:name="_Toc296944546"/>
      <w:bookmarkStart w:id="480" w:name="_Toc297120507"/>
      <w:bookmarkStart w:id="481" w:name="_Toc296503207"/>
      <w:bookmarkStart w:id="482" w:name="_Toc292559917"/>
      <w:bookmarkStart w:id="483" w:name="_Toc296891247"/>
      <w:bookmarkStart w:id="484" w:name="_Toc292559412"/>
      <w:bookmarkStart w:id="485" w:name="_Toc296346708"/>
      <w:r>
        <w:rPr>
          <w:rFonts w:ascii="Times New Roman" w:eastAsia="黑体"/>
          <w:bCs/>
          <w:color w:val="000000"/>
          <w:sz w:val="24"/>
          <w:szCs w:val="24"/>
        </w:rPr>
        <w:t>12.2 预付款</w:t>
      </w:r>
    </w:p>
    <w:bookmarkEnd w:id="470"/>
    <w:bookmarkEnd w:id="471"/>
    <w:bookmarkEnd w:id="472"/>
    <w:bookmarkEnd w:id="473"/>
    <w:bookmarkEnd w:id="474"/>
    <w:bookmarkEnd w:id="475"/>
    <w:p w14:paraId="6578DC47">
      <w:pPr>
        <w:adjustRightInd w:val="0"/>
        <w:spacing w:line="360" w:lineRule="auto"/>
        <w:ind w:firstLine="480" w:firstLineChars="200"/>
        <w:rPr>
          <w:rFonts w:ascii="Times New Roman"/>
          <w:color w:val="000000"/>
          <w:sz w:val="24"/>
          <w:szCs w:val="24"/>
        </w:rPr>
      </w:pPr>
      <w:r>
        <w:rPr>
          <w:rFonts w:ascii="Times New Roman"/>
          <w:color w:val="000000"/>
          <w:sz w:val="24"/>
          <w:szCs w:val="24"/>
        </w:rPr>
        <w:t>12.2.1 预付款的支付</w:t>
      </w:r>
    </w:p>
    <w:p w14:paraId="1E7B5FD2">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预付款支付比例或金额：</w:t>
      </w:r>
      <w:r>
        <w:rPr>
          <w:rFonts w:hint="eastAsia" w:ascii="Times New Roman"/>
          <w:color w:val="000000"/>
          <w:sz w:val="24"/>
          <w:szCs w:val="24"/>
          <w:u w:val="single"/>
        </w:rPr>
        <w:t>见《专用合同条款数据表》</w:t>
      </w:r>
      <w:r>
        <w:rPr>
          <w:rFonts w:ascii="Times New Roman"/>
          <w:color w:val="000000"/>
          <w:sz w:val="24"/>
          <w:szCs w:val="24"/>
        </w:rPr>
        <w:t>。</w:t>
      </w:r>
    </w:p>
    <w:p w14:paraId="12DC7DA3">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预付款支付期限：</w:t>
      </w:r>
      <w:r>
        <w:rPr>
          <w:rFonts w:hint="eastAsia" w:ascii="Times New Roman"/>
          <w:color w:val="000000"/>
          <w:sz w:val="24"/>
          <w:szCs w:val="24"/>
          <w:u w:val="single"/>
        </w:rPr>
        <w:t>见《专用合同条款数据表》</w:t>
      </w:r>
      <w:r>
        <w:rPr>
          <w:rFonts w:ascii="Times New Roman"/>
          <w:color w:val="000000"/>
          <w:sz w:val="24"/>
          <w:szCs w:val="24"/>
        </w:rPr>
        <w:t>。</w:t>
      </w:r>
    </w:p>
    <w:p w14:paraId="3789BDA7">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预付款扣回的方式：</w:t>
      </w:r>
      <w:r>
        <w:rPr>
          <w:rFonts w:hint="eastAsia" w:ascii="Times New Roman"/>
          <w:color w:val="000000"/>
          <w:sz w:val="24"/>
          <w:szCs w:val="24"/>
          <w:u w:val="single"/>
        </w:rPr>
        <w:t>见《专用合同条款数据表》</w:t>
      </w:r>
      <w:r>
        <w:rPr>
          <w:rFonts w:ascii="Times New Roman"/>
          <w:color w:val="000000"/>
          <w:sz w:val="24"/>
          <w:szCs w:val="24"/>
        </w:rPr>
        <w:t>。</w:t>
      </w:r>
    </w:p>
    <w:p w14:paraId="23620975">
      <w:pPr>
        <w:adjustRightInd w:val="0"/>
        <w:spacing w:line="360" w:lineRule="auto"/>
        <w:ind w:firstLine="480" w:firstLineChars="200"/>
        <w:rPr>
          <w:rFonts w:ascii="Times New Roman"/>
          <w:color w:val="000000"/>
          <w:sz w:val="24"/>
          <w:szCs w:val="24"/>
        </w:rPr>
      </w:pPr>
      <w:r>
        <w:rPr>
          <w:rFonts w:ascii="Times New Roman"/>
          <w:color w:val="000000"/>
          <w:sz w:val="24"/>
          <w:szCs w:val="24"/>
        </w:rPr>
        <w:t>12.2.2 预付款担保</w:t>
      </w:r>
    </w:p>
    <w:p w14:paraId="052D2665">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承包人提交预付款担保的期限：</w:t>
      </w:r>
      <w:r>
        <w:rPr>
          <w:rFonts w:hint="eastAsia" w:ascii="Times New Roman"/>
          <w:color w:val="000000"/>
          <w:sz w:val="24"/>
          <w:szCs w:val="24"/>
          <w:u w:val="single"/>
        </w:rPr>
        <w:t>见《专用合同条款数据表》</w:t>
      </w:r>
      <w:r>
        <w:rPr>
          <w:rFonts w:ascii="Times New Roman"/>
          <w:color w:val="000000"/>
          <w:sz w:val="24"/>
          <w:szCs w:val="24"/>
        </w:rPr>
        <w:t>。</w:t>
      </w:r>
    </w:p>
    <w:p w14:paraId="410EACD3">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预付款担保的形式为：</w:t>
      </w:r>
      <w:r>
        <w:rPr>
          <w:rFonts w:hint="eastAsia" w:ascii="Times New Roman"/>
          <w:color w:val="000000"/>
          <w:sz w:val="24"/>
          <w:szCs w:val="24"/>
          <w:u w:val="single"/>
        </w:rPr>
        <w:t>见《专用合同条款数据表》</w:t>
      </w:r>
      <w:r>
        <w:rPr>
          <w:rFonts w:ascii="Times New Roman"/>
          <w:color w:val="000000"/>
          <w:sz w:val="24"/>
          <w:szCs w:val="24"/>
        </w:rPr>
        <w:t>。</w:t>
      </w:r>
    </w:p>
    <w:bookmarkEnd w:id="476"/>
    <w:bookmarkEnd w:id="477"/>
    <w:bookmarkEnd w:id="478"/>
    <w:bookmarkEnd w:id="479"/>
    <w:bookmarkEnd w:id="480"/>
    <w:bookmarkEnd w:id="481"/>
    <w:bookmarkEnd w:id="482"/>
    <w:bookmarkEnd w:id="483"/>
    <w:bookmarkEnd w:id="484"/>
    <w:bookmarkEnd w:id="485"/>
    <w:p w14:paraId="3D3F1D7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12.3 计量</w:t>
      </w:r>
    </w:p>
    <w:p w14:paraId="4C97AE53">
      <w:pPr>
        <w:adjustRightInd w:val="0"/>
        <w:spacing w:line="360" w:lineRule="auto"/>
        <w:ind w:firstLine="480" w:firstLineChars="200"/>
        <w:rPr>
          <w:rFonts w:ascii="Times New Roman"/>
          <w:color w:val="000000"/>
          <w:sz w:val="24"/>
          <w:szCs w:val="24"/>
        </w:rPr>
      </w:pPr>
      <w:r>
        <w:rPr>
          <w:rFonts w:ascii="Times New Roman"/>
          <w:color w:val="000000"/>
          <w:sz w:val="24"/>
          <w:szCs w:val="24"/>
        </w:rPr>
        <w:t>12.3.1 计量原则</w:t>
      </w:r>
    </w:p>
    <w:p w14:paraId="785D87D6">
      <w:pPr>
        <w:adjustRightInd w:val="0"/>
        <w:spacing w:line="360" w:lineRule="auto"/>
        <w:ind w:firstLine="480" w:firstLineChars="200"/>
        <w:rPr>
          <w:rFonts w:ascii="Times New Roman"/>
          <w:b/>
          <w:color w:val="000000"/>
          <w:sz w:val="24"/>
          <w:szCs w:val="24"/>
        </w:rPr>
      </w:pPr>
      <w:r>
        <w:rPr>
          <w:rFonts w:ascii="Times New Roman"/>
          <w:color w:val="000000"/>
          <w:sz w:val="24"/>
          <w:szCs w:val="24"/>
        </w:rPr>
        <w:t>工程量计算规则：</w:t>
      </w:r>
      <w:r>
        <w:rPr>
          <w:rFonts w:hint="eastAsia" w:ascii="Times New Roman"/>
          <w:color w:val="000000"/>
          <w:sz w:val="24"/>
          <w:szCs w:val="24"/>
          <w:u w:val="single"/>
        </w:rPr>
        <w:t>按招标工程量清单及最高投标限价所采用的工程量清单计价规范及配套文件等</w:t>
      </w:r>
      <w:r>
        <w:rPr>
          <w:rFonts w:ascii="Times New Roman"/>
          <w:b/>
          <w:color w:val="000000"/>
          <w:sz w:val="24"/>
          <w:szCs w:val="24"/>
        </w:rPr>
        <w:t>。</w:t>
      </w:r>
    </w:p>
    <w:p w14:paraId="3ABB5D01">
      <w:pPr>
        <w:adjustRightInd w:val="0"/>
        <w:spacing w:line="360" w:lineRule="auto"/>
        <w:ind w:firstLine="480" w:firstLineChars="200"/>
        <w:rPr>
          <w:rFonts w:ascii="Times New Roman"/>
          <w:color w:val="000000"/>
          <w:sz w:val="24"/>
          <w:szCs w:val="24"/>
        </w:rPr>
      </w:pPr>
      <w:r>
        <w:rPr>
          <w:rFonts w:ascii="Times New Roman"/>
          <w:color w:val="000000"/>
          <w:sz w:val="24"/>
          <w:szCs w:val="24"/>
        </w:rPr>
        <w:t>12.3.2 计量周期</w:t>
      </w:r>
    </w:p>
    <w:p w14:paraId="76B38862">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关于计量周期的约定</w:t>
      </w:r>
      <w:r>
        <w:rPr>
          <w:rFonts w:ascii="Times New Roman"/>
          <w:b/>
          <w:color w:val="000000"/>
          <w:sz w:val="24"/>
          <w:szCs w:val="24"/>
        </w:rPr>
        <w:t>：</w:t>
      </w:r>
      <w:r>
        <w:rPr>
          <w:rFonts w:hint="eastAsia" w:ascii="Times New Roman"/>
          <w:color w:val="000000"/>
          <w:sz w:val="24"/>
          <w:szCs w:val="24"/>
          <w:u w:val="single"/>
        </w:rPr>
        <w:t xml:space="preserve">      </w:t>
      </w:r>
      <w:r>
        <w:rPr>
          <w:rFonts w:ascii="Times New Roman"/>
          <w:b/>
          <w:color w:val="000000"/>
          <w:sz w:val="24"/>
          <w:szCs w:val="24"/>
        </w:rPr>
        <w:t>。</w:t>
      </w:r>
    </w:p>
    <w:p w14:paraId="3F5BDFBD">
      <w:pPr>
        <w:adjustRightInd w:val="0"/>
        <w:spacing w:line="360" w:lineRule="auto"/>
        <w:ind w:firstLine="480" w:firstLineChars="200"/>
        <w:rPr>
          <w:rFonts w:ascii="Times New Roman"/>
          <w:color w:val="000000"/>
          <w:sz w:val="24"/>
          <w:szCs w:val="24"/>
        </w:rPr>
      </w:pPr>
      <w:r>
        <w:rPr>
          <w:rFonts w:ascii="Times New Roman"/>
          <w:color w:val="000000"/>
          <w:sz w:val="24"/>
          <w:szCs w:val="24"/>
        </w:rPr>
        <w:t>12.3.3 单价合同的计量</w:t>
      </w:r>
    </w:p>
    <w:p w14:paraId="2B193A49">
      <w:pPr>
        <w:adjustRightInd w:val="0"/>
        <w:spacing w:line="360" w:lineRule="auto"/>
        <w:ind w:firstLine="480" w:firstLineChars="200"/>
        <w:rPr>
          <w:rFonts w:ascii="Times New Roman"/>
          <w:color w:val="000000"/>
          <w:sz w:val="24"/>
          <w:szCs w:val="24"/>
        </w:rPr>
      </w:pPr>
      <w:r>
        <w:rPr>
          <w:rFonts w:ascii="Times New Roman"/>
          <w:color w:val="000000"/>
          <w:sz w:val="24"/>
          <w:szCs w:val="24"/>
        </w:rPr>
        <w:t>关于单价合同计量的约定：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1B55993C">
      <w:pPr>
        <w:adjustRightInd w:val="0"/>
        <w:spacing w:line="360" w:lineRule="auto"/>
        <w:ind w:firstLine="480" w:firstLineChars="200"/>
        <w:rPr>
          <w:rFonts w:ascii="Times New Roman"/>
          <w:color w:val="000000"/>
          <w:sz w:val="24"/>
          <w:szCs w:val="24"/>
        </w:rPr>
      </w:pPr>
      <w:r>
        <w:rPr>
          <w:rFonts w:ascii="Times New Roman"/>
          <w:color w:val="000000"/>
          <w:sz w:val="24"/>
          <w:szCs w:val="24"/>
        </w:rPr>
        <w:t>12.3.4 总价合同的计量</w:t>
      </w:r>
    </w:p>
    <w:p w14:paraId="77253F7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关于总价合同计量的约定：</w:t>
      </w:r>
      <w:r>
        <w:rPr>
          <w:rFonts w:hint="eastAsia" w:ascii="Times New Roman"/>
          <w:color w:val="000000"/>
          <w:sz w:val="24"/>
          <w:szCs w:val="24"/>
          <w:u w:val="single"/>
        </w:rPr>
        <w:t xml:space="preserve">       </w:t>
      </w:r>
      <w:r>
        <w:rPr>
          <w:rFonts w:ascii="Times New Roman"/>
          <w:color w:val="000000"/>
          <w:sz w:val="24"/>
          <w:szCs w:val="24"/>
        </w:rPr>
        <w:t>。</w:t>
      </w:r>
    </w:p>
    <w:p w14:paraId="667CAD7A">
      <w:pPr>
        <w:adjustRightInd w:val="0"/>
        <w:spacing w:line="360" w:lineRule="auto"/>
        <w:ind w:firstLine="480" w:firstLineChars="200"/>
        <w:rPr>
          <w:rFonts w:ascii="Times New Roman"/>
          <w:color w:val="000000"/>
          <w:sz w:val="24"/>
          <w:szCs w:val="24"/>
        </w:rPr>
      </w:pPr>
      <w:r>
        <w:rPr>
          <w:rFonts w:ascii="Times New Roman"/>
          <w:color w:val="000000"/>
          <w:sz w:val="24"/>
          <w:szCs w:val="24"/>
        </w:rPr>
        <w:t>12.3.5</w:t>
      </w:r>
      <w:r>
        <w:rPr>
          <w:rFonts w:hint="eastAsia" w:ascii="Times New Roman"/>
          <w:color w:val="000000"/>
          <w:sz w:val="24"/>
          <w:szCs w:val="24"/>
        </w:rPr>
        <w:t xml:space="preserve"> </w:t>
      </w:r>
      <w:r>
        <w:rPr>
          <w:rFonts w:ascii="Times New Roman"/>
          <w:color w:val="000000"/>
          <w:sz w:val="24"/>
          <w:szCs w:val="24"/>
        </w:rPr>
        <w:t>总价合同采用支付分解表计量支付的，是否适用第12.3.4项</w:t>
      </w:r>
      <w:r>
        <w:rPr>
          <w:rFonts w:hint="eastAsia" w:ascii="Times New Roman"/>
          <w:color w:val="000000"/>
          <w:sz w:val="24"/>
          <w:szCs w:val="24"/>
        </w:rPr>
        <w:t>〔</w:t>
      </w:r>
      <w:r>
        <w:rPr>
          <w:rFonts w:ascii="Times New Roman"/>
          <w:color w:val="000000"/>
          <w:sz w:val="24"/>
          <w:szCs w:val="24"/>
        </w:rPr>
        <w:t>总价合同的计量</w:t>
      </w:r>
      <w:r>
        <w:rPr>
          <w:rFonts w:hint="eastAsia" w:ascii="Times New Roman"/>
          <w:color w:val="000000"/>
          <w:sz w:val="24"/>
          <w:szCs w:val="24"/>
        </w:rPr>
        <w:t>〕</w:t>
      </w:r>
      <w:r>
        <w:rPr>
          <w:rFonts w:ascii="Times New Roman"/>
          <w:color w:val="000000"/>
          <w:sz w:val="24"/>
          <w:szCs w:val="24"/>
        </w:rPr>
        <w:t>约定</w:t>
      </w:r>
      <w:r>
        <w:rPr>
          <w:rFonts w:hint="eastAsia" w:ascii="Times New Roman"/>
          <w:color w:val="000000"/>
          <w:sz w:val="24"/>
          <w:szCs w:val="24"/>
        </w:rPr>
        <w:t>进行计量：</w:t>
      </w:r>
      <w:r>
        <w:rPr>
          <w:rFonts w:hint="eastAsia" w:ascii="Times New Roman"/>
          <w:color w:val="000000"/>
          <w:sz w:val="24"/>
          <w:szCs w:val="24"/>
          <w:u w:val="single"/>
        </w:rPr>
        <w:t xml:space="preserve">    </w:t>
      </w:r>
      <w:r>
        <w:rPr>
          <w:rFonts w:ascii="Times New Roman"/>
          <w:b/>
          <w:color w:val="000000"/>
          <w:sz w:val="24"/>
          <w:szCs w:val="24"/>
        </w:rPr>
        <w:t>。</w:t>
      </w:r>
    </w:p>
    <w:p w14:paraId="60E8B154">
      <w:pPr>
        <w:adjustRightInd w:val="0"/>
        <w:spacing w:line="360" w:lineRule="auto"/>
        <w:ind w:firstLine="480" w:firstLineChars="200"/>
        <w:rPr>
          <w:rFonts w:ascii="Times New Roman"/>
          <w:color w:val="000000"/>
          <w:sz w:val="24"/>
          <w:szCs w:val="24"/>
        </w:rPr>
      </w:pPr>
      <w:r>
        <w:rPr>
          <w:rFonts w:ascii="Times New Roman"/>
          <w:color w:val="000000"/>
          <w:sz w:val="24"/>
          <w:szCs w:val="24"/>
        </w:rPr>
        <w:t>12.3.6 其他价格形式合同的计量</w:t>
      </w:r>
    </w:p>
    <w:p w14:paraId="76B30DA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其他价格形式的计量方式和程序：</w:t>
      </w:r>
      <w:r>
        <w:rPr>
          <w:rFonts w:hint="eastAsia" w:ascii="Times New Roman"/>
          <w:color w:val="000000"/>
          <w:sz w:val="24"/>
          <w:szCs w:val="24"/>
          <w:u w:val="single"/>
        </w:rPr>
        <w:t xml:space="preserve">    </w:t>
      </w:r>
      <w:r>
        <w:rPr>
          <w:rFonts w:ascii="Times New Roman"/>
          <w:color w:val="000000"/>
          <w:sz w:val="24"/>
          <w:szCs w:val="24"/>
        </w:rPr>
        <w:t>。</w:t>
      </w:r>
    </w:p>
    <w:p w14:paraId="5257FCB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12.4 工程进度款支付</w:t>
      </w:r>
    </w:p>
    <w:p w14:paraId="60628634">
      <w:pPr>
        <w:adjustRightInd w:val="0"/>
        <w:spacing w:line="360" w:lineRule="auto"/>
        <w:ind w:firstLine="480" w:firstLineChars="200"/>
        <w:rPr>
          <w:rFonts w:ascii="Times New Roman"/>
          <w:color w:val="000000"/>
          <w:sz w:val="24"/>
          <w:szCs w:val="24"/>
        </w:rPr>
      </w:pPr>
      <w:bookmarkStart w:id="486" w:name="_Toc296503211"/>
      <w:bookmarkStart w:id="487" w:name="_Toc303539163"/>
      <w:bookmarkStart w:id="488" w:name="_Toc297123556"/>
      <w:bookmarkStart w:id="489" w:name="_Toc292559416"/>
      <w:bookmarkStart w:id="490" w:name="_Toc296891251"/>
      <w:bookmarkStart w:id="491" w:name="_Toc297216215"/>
      <w:bookmarkStart w:id="492" w:name="_Toc296891039"/>
      <w:bookmarkStart w:id="493" w:name="_Toc297120511"/>
      <w:bookmarkStart w:id="494" w:name="_Toc297048397"/>
      <w:bookmarkStart w:id="495" w:name="_Toc296944550"/>
      <w:bookmarkStart w:id="496" w:name="_Toc296347210"/>
      <w:bookmarkStart w:id="497" w:name="_Toc300935006"/>
      <w:bookmarkStart w:id="498" w:name="_Toc292559921"/>
      <w:bookmarkStart w:id="499" w:name="_Toc296346712"/>
      <w:r>
        <w:rPr>
          <w:rFonts w:ascii="Times New Roman"/>
          <w:color w:val="000000"/>
          <w:sz w:val="24"/>
          <w:szCs w:val="24"/>
        </w:rPr>
        <w:t>12.4.1 付款周期</w:t>
      </w:r>
    </w:p>
    <w:p w14:paraId="5F3E15DA">
      <w:pPr>
        <w:adjustRightInd w:val="0"/>
        <w:spacing w:line="360" w:lineRule="auto"/>
        <w:ind w:firstLine="480" w:firstLineChars="200"/>
        <w:rPr>
          <w:rFonts w:ascii="Times New Roman"/>
          <w:color w:val="000000"/>
          <w:sz w:val="24"/>
          <w:szCs w:val="24"/>
        </w:rPr>
      </w:pPr>
      <w:r>
        <w:rPr>
          <w:rFonts w:ascii="Times New Roman"/>
          <w:color w:val="000000"/>
          <w:sz w:val="24"/>
          <w:szCs w:val="24"/>
        </w:rPr>
        <w:t>关于付款周期的约定：</w:t>
      </w:r>
      <w:r>
        <w:rPr>
          <w:rFonts w:hint="eastAsia" w:ascii="Times New Roman"/>
          <w:color w:val="000000"/>
          <w:sz w:val="24"/>
          <w:szCs w:val="24"/>
          <w:u w:val="single"/>
        </w:rPr>
        <w:t>见《专用合同条款数据表》</w:t>
      </w:r>
      <w:r>
        <w:rPr>
          <w:rFonts w:ascii="Times New Roman"/>
          <w:color w:val="000000"/>
          <w:sz w:val="24"/>
          <w:szCs w:val="24"/>
        </w:rPr>
        <w:t>。</w:t>
      </w:r>
    </w:p>
    <w:p w14:paraId="10C9568A">
      <w:pPr>
        <w:adjustRightInd w:val="0"/>
        <w:spacing w:line="360" w:lineRule="auto"/>
        <w:ind w:firstLine="480" w:firstLineChars="200"/>
        <w:rPr>
          <w:rFonts w:ascii="Times New Roman"/>
          <w:color w:val="000000"/>
          <w:sz w:val="24"/>
          <w:szCs w:val="24"/>
        </w:rPr>
      </w:pPr>
      <w:r>
        <w:rPr>
          <w:rFonts w:ascii="Times New Roman"/>
          <w:color w:val="000000"/>
          <w:sz w:val="24"/>
          <w:szCs w:val="24"/>
        </w:rPr>
        <w:t>12.4.2 进度付款申请单的编制</w:t>
      </w:r>
    </w:p>
    <w:p w14:paraId="4A08DE4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关于进度付款申请单编制的约定：</w:t>
      </w:r>
      <w:r>
        <w:rPr>
          <w:rFonts w:hint="eastAsia" w:ascii="Times New Roman"/>
          <w:color w:val="000000"/>
          <w:sz w:val="24"/>
          <w:szCs w:val="24"/>
          <w:u w:val="single"/>
        </w:rPr>
        <w:t xml:space="preserve">    </w:t>
      </w:r>
      <w:r>
        <w:rPr>
          <w:rFonts w:ascii="Times New Roman"/>
          <w:color w:val="000000"/>
          <w:sz w:val="24"/>
          <w:szCs w:val="24"/>
        </w:rPr>
        <w:t>。</w:t>
      </w:r>
    </w:p>
    <w:p w14:paraId="17D72684">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color w:val="000000"/>
          <w:sz w:val="24"/>
          <w:szCs w:val="24"/>
        </w:rPr>
        <w:t>2.4.3 进度付款申请单的提交</w:t>
      </w:r>
    </w:p>
    <w:p w14:paraId="67A684DA">
      <w:pPr>
        <w:adjustRightInd w:val="0"/>
        <w:spacing w:line="360" w:lineRule="auto"/>
        <w:ind w:firstLine="480" w:firstLineChars="200"/>
        <w:rPr>
          <w:rFonts w:ascii="Times New Roman"/>
          <w:color w:val="000000"/>
          <w:sz w:val="24"/>
          <w:szCs w:val="24"/>
        </w:rPr>
      </w:pPr>
      <w:r>
        <w:rPr>
          <w:rFonts w:ascii="Times New Roman"/>
          <w:color w:val="000000"/>
          <w:sz w:val="24"/>
          <w:szCs w:val="24"/>
        </w:rPr>
        <w:t>（1）单价合同进度付款申请单提交的约定</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 </w:t>
      </w:r>
      <w:r>
        <w:rPr>
          <w:rFonts w:ascii="Times New Roman"/>
          <w:color w:val="000000"/>
          <w:sz w:val="24"/>
          <w:szCs w:val="24"/>
          <w:u w:val="single"/>
        </w:rPr>
        <w:t xml:space="preserve"> </w:t>
      </w:r>
      <w:r>
        <w:rPr>
          <w:rFonts w:ascii="Times New Roman"/>
          <w:color w:val="000000"/>
          <w:sz w:val="24"/>
          <w:szCs w:val="24"/>
        </w:rPr>
        <w:t>。</w:t>
      </w:r>
    </w:p>
    <w:p w14:paraId="7776582A">
      <w:pPr>
        <w:adjustRightInd w:val="0"/>
        <w:spacing w:line="360" w:lineRule="auto"/>
        <w:ind w:firstLine="480" w:firstLineChars="200"/>
        <w:rPr>
          <w:rFonts w:ascii="Times New Roman"/>
          <w:color w:val="000000"/>
          <w:sz w:val="24"/>
          <w:szCs w:val="24"/>
        </w:rPr>
      </w:pPr>
      <w:r>
        <w:rPr>
          <w:rFonts w:ascii="Times New Roman"/>
          <w:color w:val="000000"/>
          <w:sz w:val="24"/>
          <w:szCs w:val="24"/>
        </w:rPr>
        <w:t>（2）总价合同进度付款申请单提交的约定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63893E7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（3）其他价格形式合同进度付款申请单提交的约定：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588FD0B5">
      <w:pPr>
        <w:adjustRightInd w:val="0"/>
        <w:spacing w:line="360" w:lineRule="auto"/>
        <w:ind w:firstLine="480" w:firstLineChars="200"/>
        <w:rPr>
          <w:rFonts w:ascii="Times New Roman"/>
          <w:color w:val="000000"/>
          <w:sz w:val="24"/>
          <w:szCs w:val="24"/>
        </w:rPr>
      </w:pPr>
      <w:r>
        <w:rPr>
          <w:rFonts w:ascii="Times New Roman"/>
          <w:color w:val="000000"/>
          <w:sz w:val="24"/>
          <w:szCs w:val="24"/>
        </w:rPr>
        <w:t>12.4.4 进度款审核和支付</w:t>
      </w:r>
    </w:p>
    <w:p w14:paraId="08E2E901">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（1）监理人审查并报送发包人的期限：</w:t>
      </w:r>
      <w:r>
        <w:rPr>
          <w:rFonts w:hint="eastAsia" w:ascii="Times New Roman"/>
          <w:color w:val="000000"/>
          <w:sz w:val="24"/>
          <w:szCs w:val="24"/>
          <w:u w:val="single"/>
        </w:rPr>
        <w:t xml:space="preserve">    </w:t>
      </w:r>
      <w:r>
        <w:rPr>
          <w:rFonts w:ascii="Times New Roman"/>
          <w:color w:val="000000"/>
          <w:sz w:val="24"/>
          <w:szCs w:val="24"/>
        </w:rPr>
        <w:t>。</w:t>
      </w:r>
    </w:p>
    <w:p w14:paraId="24EF5C23">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发包人完成审批并签发进度款支付证书的期限：</w:t>
      </w:r>
      <w:r>
        <w:rPr>
          <w:rFonts w:hint="eastAsia" w:ascii="Times New Roman"/>
          <w:color w:val="000000"/>
          <w:sz w:val="24"/>
          <w:szCs w:val="24"/>
          <w:u w:val="single"/>
        </w:rPr>
        <w:t xml:space="preserve">    </w:t>
      </w:r>
      <w:r>
        <w:rPr>
          <w:rFonts w:ascii="Times New Roman"/>
          <w:color w:val="000000"/>
          <w:sz w:val="24"/>
          <w:szCs w:val="24"/>
        </w:rPr>
        <w:t>。</w:t>
      </w:r>
    </w:p>
    <w:p w14:paraId="06A7038D">
      <w:pPr>
        <w:adjustRightInd w:val="0"/>
        <w:spacing w:line="360" w:lineRule="auto"/>
        <w:ind w:firstLine="480" w:firstLineChars="200"/>
        <w:rPr>
          <w:rFonts w:ascii="Times New Roman"/>
          <w:b/>
          <w:color w:val="000000"/>
          <w:sz w:val="24"/>
          <w:szCs w:val="24"/>
        </w:rPr>
      </w:pPr>
      <w:r>
        <w:rPr>
          <w:rFonts w:ascii="Times New Roman"/>
          <w:color w:val="000000"/>
          <w:sz w:val="24"/>
          <w:szCs w:val="24"/>
        </w:rPr>
        <w:t>（2）发包人支付进度款的期限：</w:t>
      </w:r>
      <w:r>
        <w:rPr>
          <w:rFonts w:hint="eastAsia" w:ascii="Times New Roman"/>
          <w:color w:val="000000"/>
          <w:sz w:val="24"/>
          <w:szCs w:val="24"/>
          <w:u w:val="single"/>
        </w:rPr>
        <w:t xml:space="preserve">    </w:t>
      </w:r>
      <w:r>
        <w:rPr>
          <w:rFonts w:ascii="Times New Roman"/>
          <w:color w:val="000000"/>
          <w:sz w:val="24"/>
          <w:szCs w:val="24"/>
        </w:rPr>
        <w:t>。</w:t>
      </w:r>
    </w:p>
    <w:p w14:paraId="55036AC5">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发包人逾期支付进度款的违约金的计算方式</w:t>
      </w:r>
      <w:r>
        <w:rPr>
          <w:rFonts w:hint="eastAsia" w:ascii="Times New Roman"/>
          <w:color w:val="000000"/>
          <w:sz w:val="24"/>
          <w:szCs w:val="24"/>
          <w:u w:val="single"/>
        </w:rPr>
        <w:t xml:space="preserve">    </w:t>
      </w:r>
      <w:r>
        <w:rPr>
          <w:rFonts w:ascii="Times New Roman"/>
          <w:color w:val="000000"/>
          <w:sz w:val="24"/>
          <w:szCs w:val="24"/>
        </w:rPr>
        <w:t>。</w:t>
      </w:r>
    </w:p>
    <w:p w14:paraId="4AAF7F07">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12.4.6 支付分解表的编制</w:t>
      </w:r>
    </w:p>
    <w:p w14:paraId="0ACE43C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）总价合同支付分解表的编制与审批：</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7E1B2765">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）单价合同的总价项目支付分解表的编制与审批：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EB539B0">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12.4.7 农民工工资管理</w:t>
      </w:r>
    </w:p>
    <w:p w14:paraId="4BF0BCE2">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（1）</w:t>
      </w:r>
      <w:r>
        <w:rPr>
          <w:rFonts w:hint="eastAsia" w:ascii="Times New Roman"/>
          <w:bCs/>
          <w:color w:val="000000"/>
          <w:sz w:val="24"/>
          <w:szCs w:val="24"/>
        </w:rPr>
        <w:t>本工程农民工工资实行专用账户管理，承包人设立的专用账户开户行为</w:t>
      </w:r>
      <w:r>
        <w:rPr>
          <w:rFonts w:hint="eastAsia" w:ascii="Times New Roman"/>
          <w:bCs/>
          <w:color w:val="000000"/>
          <w:sz w:val="24"/>
          <w:szCs w:val="24"/>
          <w:u w:val="single"/>
        </w:rPr>
        <w:t xml:space="preserve">：        </w:t>
      </w:r>
      <w:r>
        <w:rPr>
          <w:rFonts w:hint="eastAsia" w:ascii="Times New Roman"/>
          <w:bCs/>
          <w:color w:val="000000"/>
          <w:sz w:val="24"/>
          <w:szCs w:val="24"/>
        </w:rPr>
        <w:t>，账号：</w:t>
      </w:r>
      <w:r>
        <w:rPr>
          <w:rFonts w:hint="eastAsia" w:ascii="Times New Roman"/>
          <w:bCs/>
          <w:color w:val="000000"/>
          <w:sz w:val="24"/>
          <w:szCs w:val="24"/>
          <w:u w:val="single"/>
        </w:rPr>
        <w:t xml:space="preserve">              </w:t>
      </w:r>
      <w:r>
        <w:rPr>
          <w:rFonts w:hint="eastAsia" w:ascii="Times New Roman"/>
          <w:bCs/>
          <w:color w:val="000000"/>
          <w:sz w:val="24"/>
          <w:szCs w:val="24"/>
        </w:rPr>
        <w:t>;</w:t>
      </w:r>
    </w:p>
    <w:p w14:paraId="4DD432BA">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w:t>
      </w:r>
      <w:r>
        <w:rPr>
          <w:rFonts w:hint="eastAsia" w:ascii="Times New Roman"/>
          <w:bCs/>
          <w:color w:val="000000"/>
          <w:sz w:val="24"/>
          <w:szCs w:val="24"/>
        </w:rPr>
        <w:t>本工程工资性工程款</w:t>
      </w:r>
      <w:r>
        <w:rPr>
          <w:rFonts w:hint="eastAsia" w:ascii="Times New Roman"/>
          <w:bCs/>
          <w:color w:val="000000"/>
          <w:sz w:val="24"/>
          <w:szCs w:val="24"/>
          <w:u w:val="single"/>
        </w:rPr>
        <w:t xml:space="preserve">         </w:t>
      </w:r>
      <w:r>
        <w:rPr>
          <w:rFonts w:hint="eastAsia" w:ascii="Times New Roman"/>
          <w:bCs/>
          <w:color w:val="000000"/>
          <w:sz w:val="24"/>
          <w:szCs w:val="24"/>
        </w:rPr>
        <w:t>元。</w:t>
      </w:r>
    </w:p>
    <w:p w14:paraId="57330857">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w:t>
      </w:r>
      <w:r>
        <w:rPr>
          <w:rFonts w:hint="eastAsia" w:ascii="Times New Roman"/>
          <w:bCs/>
          <w:color w:val="000000"/>
          <w:sz w:val="24"/>
          <w:szCs w:val="24"/>
        </w:rPr>
        <w:t>发包人于每月25日前将工资性工程进度款转入农民工工资专用账户。</w:t>
      </w:r>
    </w:p>
    <w:p w14:paraId="49838CA3">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4</w:t>
      </w:r>
      <w:r>
        <w:rPr>
          <w:rFonts w:ascii="Times New Roman"/>
          <w:color w:val="000000"/>
          <w:sz w:val="24"/>
          <w:szCs w:val="24"/>
        </w:rPr>
        <w:t>）</w:t>
      </w:r>
      <w:r>
        <w:rPr>
          <w:rFonts w:hint="eastAsia" w:ascii="Times New Roman"/>
          <w:bCs/>
          <w:color w:val="000000"/>
          <w:sz w:val="24"/>
          <w:szCs w:val="24"/>
        </w:rPr>
        <w:t>承包人每月25日前上报本工程农民工工资清单，每月10日前委托开设农民工工资专用账户的银行支付农民工工资。</w:t>
      </w:r>
    </w:p>
    <w:p w14:paraId="6CBE5BD8">
      <w:pPr>
        <w:adjustRightInd w:val="0"/>
        <w:spacing w:line="360" w:lineRule="auto"/>
        <w:ind w:firstLine="480" w:firstLineChars="200"/>
        <w:rPr>
          <w:rFonts w:ascii="Times New Roman"/>
          <w:b/>
          <w:color w:val="000000"/>
          <w:sz w:val="24"/>
          <w:szCs w:val="24"/>
        </w:rPr>
      </w:pPr>
      <w:r>
        <w:rPr>
          <w:rFonts w:ascii="Times New Roman"/>
          <w:color w:val="000000"/>
          <w:sz w:val="24"/>
          <w:szCs w:val="24"/>
        </w:rPr>
        <w:t>（</w:t>
      </w:r>
      <w:r>
        <w:rPr>
          <w:rFonts w:hint="eastAsia" w:ascii="Times New Roman"/>
          <w:color w:val="000000"/>
          <w:sz w:val="24"/>
          <w:szCs w:val="24"/>
        </w:rPr>
        <w:t>5</w:t>
      </w:r>
      <w:r>
        <w:rPr>
          <w:rFonts w:ascii="Times New Roman"/>
          <w:color w:val="000000"/>
          <w:sz w:val="24"/>
          <w:szCs w:val="24"/>
        </w:rPr>
        <w:t>）</w:t>
      </w:r>
      <w:r>
        <w:rPr>
          <w:rFonts w:hint="eastAsia" w:ascii="Times New Roman"/>
          <w:bCs/>
          <w:color w:val="000000"/>
          <w:sz w:val="24"/>
          <w:szCs w:val="24"/>
        </w:rPr>
        <w:t>工程竣工后，经项目部农民工维权组确认无农民工工资拖欠后，发、承双方办理农民工工资专用账户撤销手续，农民工工资专用账户余额划至本合同约定的承包人账户。</w:t>
      </w:r>
    </w:p>
    <w:bookmarkEnd w:id="329"/>
    <w:p w14:paraId="1785FCCB">
      <w:pPr>
        <w:spacing w:before="240" w:beforeLines="100" w:after="240" w:afterLines="100"/>
        <w:outlineLvl w:val="2"/>
        <w:rPr>
          <w:rFonts w:ascii="Times New Roman" w:eastAsia="黑体"/>
          <w:color w:val="000000"/>
          <w:sz w:val="24"/>
          <w:szCs w:val="24"/>
        </w:rPr>
      </w:pPr>
      <w:bookmarkStart w:id="500" w:name="_Toc351203645"/>
      <w:bookmarkStart w:id="501" w:name="_Toc297216223"/>
      <w:bookmarkStart w:id="502" w:name="_Toc297048405"/>
      <w:bookmarkStart w:id="503" w:name="_Toc296944558"/>
      <w:bookmarkStart w:id="504" w:name="_Toc296347218"/>
      <w:bookmarkStart w:id="505" w:name="_Toc296891259"/>
      <w:bookmarkStart w:id="506" w:name="_Toc296891047"/>
      <w:bookmarkStart w:id="507" w:name="_Toc297123564"/>
      <w:bookmarkStart w:id="508" w:name="_Toc296503219"/>
      <w:bookmarkStart w:id="509" w:name="_Toc303539172"/>
      <w:bookmarkStart w:id="510" w:name="_Toc312678053"/>
      <w:bookmarkStart w:id="511" w:name="_Toc297120519"/>
      <w:bookmarkStart w:id="512" w:name="_Toc300935015"/>
      <w:bookmarkStart w:id="513" w:name="_Toc304295593"/>
      <w:bookmarkStart w:id="514" w:name="_Toc292559929"/>
      <w:bookmarkStart w:id="515" w:name="_Toc296346720"/>
      <w:bookmarkStart w:id="516" w:name="_Toc292559424"/>
      <w:r>
        <w:rPr>
          <w:rFonts w:ascii="Times New Roman" w:eastAsia="黑体"/>
          <w:color w:val="000000"/>
          <w:sz w:val="24"/>
          <w:szCs w:val="24"/>
        </w:rPr>
        <w:t>13.</w:t>
      </w:r>
      <w:r>
        <w:rPr>
          <w:rFonts w:hint="eastAsia" w:ascii="Times New Roman" w:eastAsia="黑体"/>
          <w:color w:val="000000"/>
          <w:sz w:val="24"/>
          <w:szCs w:val="24"/>
        </w:rPr>
        <w:t xml:space="preserve"> </w:t>
      </w:r>
      <w:r>
        <w:rPr>
          <w:rFonts w:ascii="Times New Roman" w:eastAsia="黑体"/>
          <w:color w:val="000000"/>
          <w:sz w:val="24"/>
          <w:szCs w:val="24"/>
        </w:rPr>
        <w:t>验收和工程试车</w:t>
      </w:r>
      <w:bookmarkEnd w:id="500"/>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189BA752">
      <w:pPr>
        <w:keepNext/>
        <w:keepLines/>
        <w:spacing w:before="120" w:after="120" w:line="360" w:lineRule="auto"/>
        <w:jc w:val="left"/>
        <w:outlineLvl w:val="2"/>
        <w:rPr>
          <w:rFonts w:ascii="Times New Roman" w:eastAsia="黑体"/>
          <w:bCs/>
          <w:color w:val="000000"/>
          <w:sz w:val="24"/>
          <w:szCs w:val="24"/>
        </w:rPr>
      </w:pPr>
      <w:r>
        <w:rPr>
          <w:rFonts w:ascii="Times New Roman" w:eastAsia="黑体"/>
          <w:bCs/>
          <w:color w:val="000000"/>
          <w:sz w:val="24"/>
          <w:szCs w:val="24"/>
        </w:rPr>
        <w:t>13.1 分部分项工程验收</w:t>
      </w:r>
    </w:p>
    <w:p w14:paraId="1ECBBD51">
      <w:pPr>
        <w:adjustRightInd w:val="0"/>
        <w:spacing w:line="360" w:lineRule="auto"/>
        <w:ind w:firstLine="480" w:firstLineChars="200"/>
        <w:rPr>
          <w:rFonts w:ascii="Times New Roman"/>
          <w:color w:val="000000"/>
          <w:sz w:val="24"/>
          <w:szCs w:val="24"/>
        </w:rPr>
      </w:pPr>
      <w:r>
        <w:rPr>
          <w:rFonts w:ascii="Times New Roman"/>
          <w:color w:val="000000"/>
          <w:sz w:val="24"/>
          <w:szCs w:val="24"/>
        </w:rPr>
        <w:t>13.1.2</w:t>
      </w:r>
      <w:r>
        <w:rPr>
          <w:rFonts w:hint="eastAsia" w:ascii="Times New Roman"/>
          <w:color w:val="000000"/>
          <w:sz w:val="24"/>
          <w:szCs w:val="24"/>
        </w:rPr>
        <w:t xml:space="preserve"> </w:t>
      </w:r>
      <w:r>
        <w:rPr>
          <w:rFonts w:ascii="Times New Roman"/>
          <w:color w:val="000000"/>
          <w:sz w:val="24"/>
          <w:szCs w:val="24"/>
        </w:rPr>
        <w:t>监理人不能按时进行验收时，应提前</w:t>
      </w:r>
      <w:r>
        <w:rPr>
          <w:rFonts w:hint="eastAsia" w:ascii="Times New Roman"/>
          <w:color w:val="000000"/>
          <w:sz w:val="24"/>
          <w:szCs w:val="24"/>
          <w:u w:val="single"/>
        </w:rPr>
        <w:t>24</w:t>
      </w:r>
      <w:r>
        <w:rPr>
          <w:rFonts w:ascii="Times New Roman"/>
          <w:color w:val="000000"/>
          <w:sz w:val="24"/>
          <w:szCs w:val="24"/>
        </w:rPr>
        <w:t>小时提交书面延期要求。</w:t>
      </w:r>
    </w:p>
    <w:p w14:paraId="5AE19C32">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48</w:t>
      </w:r>
      <w:r>
        <w:rPr>
          <w:rFonts w:ascii="Times New Roman"/>
          <w:color w:val="000000"/>
          <w:sz w:val="24"/>
          <w:szCs w:val="24"/>
        </w:rPr>
        <w:t>小时。</w:t>
      </w:r>
    </w:p>
    <w:p w14:paraId="7A8D9A21">
      <w:pPr>
        <w:keepNext/>
        <w:keepLines/>
        <w:spacing w:before="120" w:after="120" w:line="360" w:lineRule="auto"/>
        <w:ind w:firstLine="480" w:firstLineChars="200"/>
        <w:outlineLvl w:val="3"/>
        <w:rPr>
          <w:rFonts w:ascii="Times New Roman" w:eastAsia="黑体"/>
          <w:bCs/>
          <w:color w:val="000000"/>
          <w:sz w:val="24"/>
          <w:szCs w:val="24"/>
        </w:rPr>
      </w:pPr>
      <w:bookmarkStart w:id="517" w:name="_Toc312678056"/>
      <w:bookmarkStart w:id="518" w:name="_Toc297123565"/>
      <w:bookmarkStart w:id="519" w:name="_Toc296891263"/>
      <w:bookmarkStart w:id="520" w:name="_Toc297120523"/>
      <w:bookmarkStart w:id="521" w:name="_Toc304295596"/>
      <w:bookmarkStart w:id="522" w:name="_Toc300935016"/>
      <w:bookmarkStart w:id="523" w:name="_Toc303539173"/>
      <w:bookmarkStart w:id="524" w:name="_Toc296503223"/>
      <w:bookmarkStart w:id="525" w:name="_Toc292559933"/>
      <w:bookmarkStart w:id="526" w:name="_Toc297216224"/>
      <w:bookmarkStart w:id="527" w:name="_Toc296944562"/>
      <w:bookmarkStart w:id="528" w:name="_Toc296891051"/>
      <w:bookmarkStart w:id="529" w:name="_Toc296346724"/>
      <w:bookmarkStart w:id="530" w:name="_Toc292559428"/>
      <w:bookmarkStart w:id="531" w:name="_Toc297048409"/>
      <w:bookmarkStart w:id="532" w:name="_Toc296347222"/>
      <w:bookmarkStart w:id="533" w:name="_Toc267251475"/>
      <w:bookmarkStart w:id="534" w:name="_Toc267251470"/>
      <w:bookmarkStart w:id="535" w:name="_Toc267251472"/>
      <w:bookmarkStart w:id="536" w:name="_Toc267251476"/>
      <w:bookmarkStart w:id="537" w:name="_Toc267251473"/>
      <w:bookmarkStart w:id="538" w:name="_Toc267251471"/>
      <w:bookmarkStart w:id="539" w:name="_Toc267251474"/>
      <w:r>
        <w:rPr>
          <w:rFonts w:ascii="Times New Roman" w:eastAsia="黑体"/>
          <w:bCs/>
          <w:color w:val="000000"/>
          <w:sz w:val="24"/>
          <w:szCs w:val="24"/>
        </w:rPr>
        <w:t>13.2 竣工验收</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14:paraId="4F3D9910">
      <w:pPr>
        <w:adjustRightInd w:val="0"/>
        <w:spacing w:line="360" w:lineRule="auto"/>
        <w:ind w:firstLine="480" w:firstLineChars="200"/>
        <w:rPr>
          <w:rFonts w:ascii="Times New Roman"/>
          <w:color w:val="000000"/>
          <w:sz w:val="24"/>
          <w:szCs w:val="24"/>
        </w:rPr>
      </w:pPr>
      <w:bookmarkStart w:id="540" w:name="_Toc280868704"/>
      <w:bookmarkStart w:id="541" w:name="_Toc280868705"/>
      <w:bookmarkStart w:id="542" w:name="_Toc280868706"/>
      <w:bookmarkStart w:id="543" w:name="_Toc280868707"/>
      <w:bookmarkStart w:id="544" w:name="_Toc280868708"/>
      <w:bookmarkStart w:id="545" w:name="_Toc280868709"/>
      <w:r>
        <w:rPr>
          <w:rFonts w:ascii="Times New Roman"/>
          <w:color w:val="000000"/>
          <w:sz w:val="24"/>
          <w:szCs w:val="24"/>
        </w:rPr>
        <w:t>13.2.2</w:t>
      </w:r>
      <w:r>
        <w:rPr>
          <w:rFonts w:hint="eastAsia" w:ascii="Times New Roman"/>
          <w:color w:val="000000"/>
          <w:sz w:val="24"/>
          <w:szCs w:val="24"/>
        </w:rPr>
        <w:t xml:space="preserve"> </w:t>
      </w:r>
      <w:r>
        <w:rPr>
          <w:rFonts w:ascii="Times New Roman"/>
          <w:color w:val="000000"/>
          <w:sz w:val="24"/>
          <w:szCs w:val="24"/>
        </w:rPr>
        <w:t>竣工验收程序</w:t>
      </w:r>
    </w:p>
    <w:bookmarkEnd w:id="540"/>
    <w:p w14:paraId="6F552AF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关于竣工验收程序的约定：</w:t>
      </w:r>
      <w:r>
        <w:rPr>
          <w:rFonts w:hint="eastAsia" w:ascii="Times New Roman"/>
          <w:color w:val="000000"/>
          <w:sz w:val="24"/>
          <w:szCs w:val="24"/>
          <w:u w:val="single"/>
        </w:rPr>
        <w:t>执行通用条款</w:t>
      </w:r>
      <w:r>
        <w:rPr>
          <w:rFonts w:ascii="Times New Roman"/>
          <w:color w:val="000000"/>
          <w:sz w:val="24"/>
          <w:szCs w:val="24"/>
        </w:rPr>
        <w:t>。</w:t>
      </w:r>
    </w:p>
    <w:p w14:paraId="54FC9EBE">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发包人不按照本项约定组织竣工验收、颁发工程接收证书的违约金的计算方法：</w:t>
      </w:r>
      <w:r>
        <w:rPr>
          <w:rFonts w:hint="eastAsia" w:ascii="Times New Roman"/>
          <w:color w:val="000000"/>
          <w:sz w:val="24"/>
          <w:szCs w:val="24"/>
          <w:u w:val="single"/>
        </w:rPr>
        <w:t>执行通用条款</w:t>
      </w:r>
      <w:r>
        <w:rPr>
          <w:rFonts w:ascii="Times New Roman"/>
          <w:color w:val="000000"/>
          <w:sz w:val="24"/>
          <w:szCs w:val="24"/>
        </w:rPr>
        <w:t>。</w:t>
      </w:r>
    </w:p>
    <w:bookmarkEnd w:id="541"/>
    <w:p w14:paraId="7D5AB0AB">
      <w:pPr>
        <w:adjustRightInd w:val="0"/>
        <w:spacing w:line="360" w:lineRule="auto"/>
        <w:ind w:firstLine="480" w:firstLineChars="200"/>
        <w:rPr>
          <w:rFonts w:ascii="Times New Roman"/>
          <w:color w:val="000000"/>
          <w:sz w:val="24"/>
          <w:szCs w:val="24"/>
        </w:rPr>
      </w:pPr>
      <w:r>
        <w:rPr>
          <w:rFonts w:ascii="Times New Roman"/>
          <w:color w:val="000000"/>
          <w:sz w:val="24"/>
          <w:szCs w:val="24"/>
        </w:rPr>
        <w:t>13.2.5</w:t>
      </w:r>
      <w:r>
        <w:rPr>
          <w:rFonts w:hint="eastAsia" w:ascii="Times New Roman"/>
          <w:color w:val="000000"/>
          <w:sz w:val="24"/>
          <w:szCs w:val="24"/>
        </w:rPr>
        <w:t xml:space="preserve"> </w:t>
      </w:r>
      <w:r>
        <w:rPr>
          <w:rFonts w:ascii="Times New Roman"/>
          <w:color w:val="000000"/>
          <w:sz w:val="24"/>
          <w:szCs w:val="24"/>
        </w:rPr>
        <w:t>移交、接收全部与部分工程</w:t>
      </w:r>
    </w:p>
    <w:bookmarkEnd w:id="542"/>
    <w:p w14:paraId="0AE05A54">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承包人向发包人移交工程的期限：</w:t>
      </w:r>
      <w:r>
        <w:rPr>
          <w:rFonts w:hint="eastAsia" w:ascii="Times New Roman"/>
          <w:color w:val="000000"/>
          <w:sz w:val="24"/>
          <w:szCs w:val="24"/>
          <w:u w:val="single"/>
        </w:rPr>
        <w:t>颁发工程接收证书后7天内完成工程的移交</w:t>
      </w:r>
      <w:r>
        <w:rPr>
          <w:rFonts w:hint="eastAsia" w:ascii="Times New Roman"/>
          <w:color w:val="000000"/>
          <w:sz w:val="24"/>
          <w:szCs w:val="24"/>
        </w:rPr>
        <w:t>。</w:t>
      </w:r>
    </w:p>
    <w:p w14:paraId="2C12A57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发包人未按本合同约定接收全部或部分工程的，违约金的计算方法为：</w:t>
      </w:r>
      <w:r>
        <w:rPr>
          <w:rFonts w:hint="eastAsia" w:ascii="Times New Roman"/>
          <w:color w:val="000000"/>
          <w:sz w:val="24"/>
          <w:szCs w:val="24"/>
          <w:u w:val="single"/>
        </w:rPr>
        <w:t>发包人自应当接收工程之日起，承担工程照管、成品保护、保管等与工程有关的各项费用</w:t>
      </w:r>
      <w:r>
        <w:rPr>
          <w:rFonts w:ascii="Times New Roman"/>
          <w:color w:val="000000"/>
          <w:sz w:val="24"/>
          <w:szCs w:val="24"/>
        </w:rPr>
        <w:t>。</w:t>
      </w:r>
    </w:p>
    <w:bookmarkEnd w:id="543"/>
    <w:p w14:paraId="53D84EF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承包人未按时移交工程的，违约金的计算方法为：</w:t>
      </w:r>
      <w:r>
        <w:rPr>
          <w:rFonts w:hint="eastAsia" w:ascii="Times New Roman"/>
          <w:color w:val="000000"/>
          <w:sz w:val="24"/>
          <w:szCs w:val="24"/>
          <w:u w:val="single"/>
        </w:rPr>
        <w:t>承包人应承担工程照管、成品保护、保管等与工程有关的各项费用</w:t>
      </w:r>
      <w:r>
        <w:rPr>
          <w:rFonts w:ascii="Times New Roman"/>
          <w:color w:val="000000"/>
          <w:sz w:val="24"/>
          <w:szCs w:val="24"/>
        </w:rPr>
        <w:t>。</w:t>
      </w:r>
    </w:p>
    <w:p w14:paraId="11EC7E3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13.3 工程试车</w:t>
      </w:r>
    </w:p>
    <w:bookmarkEnd w:id="544"/>
    <w:p w14:paraId="551A645F">
      <w:pPr>
        <w:adjustRightInd w:val="0"/>
        <w:spacing w:line="360" w:lineRule="auto"/>
        <w:ind w:firstLine="480" w:firstLineChars="200"/>
        <w:rPr>
          <w:rFonts w:ascii="Times New Roman"/>
          <w:color w:val="000000"/>
          <w:sz w:val="24"/>
          <w:szCs w:val="24"/>
        </w:rPr>
      </w:pPr>
      <w:r>
        <w:rPr>
          <w:rFonts w:ascii="Times New Roman"/>
          <w:color w:val="000000"/>
          <w:sz w:val="24"/>
          <w:szCs w:val="24"/>
        </w:rPr>
        <w:t>13.3.1 试车程序</w:t>
      </w:r>
    </w:p>
    <w:p w14:paraId="681B278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工程试车内容：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C3E4845">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（1）单机无负荷试车费用由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0C87614B">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（2）无负荷联动试车费用由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119D458D">
      <w:pPr>
        <w:adjustRightInd w:val="0"/>
        <w:spacing w:line="360" w:lineRule="auto"/>
        <w:ind w:firstLine="480" w:firstLineChars="200"/>
        <w:rPr>
          <w:rFonts w:ascii="Times New Roman"/>
          <w:color w:val="000000"/>
          <w:sz w:val="24"/>
          <w:szCs w:val="24"/>
        </w:rPr>
      </w:pPr>
      <w:r>
        <w:rPr>
          <w:rFonts w:ascii="Times New Roman"/>
          <w:color w:val="000000"/>
          <w:sz w:val="24"/>
          <w:szCs w:val="24"/>
        </w:rPr>
        <w:t>13.3.3 投料试车</w:t>
      </w:r>
    </w:p>
    <w:p w14:paraId="1346DF04">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关于投料试车相关事项的约定：</w:t>
      </w:r>
      <w:r>
        <w:rPr>
          <w:rFonts w:hint="eastAsia" w:ascii="Times New Roman"/>
          <w:color w:val="000000"/>
          <w:sz w:val="24"/>
          <w:szCs w:val="24"/>
          <w:u w:val="single"/>
        </w:rPr>
        <w:t>执行通用条款</w:t>
      </w:r>
      <w:r>
        <w:rPr>
          <w:rFonts w:ascii="Times New Roman"/>
          <w:color w:val="000000"/>
          <w:sz w:val="24"/>
          <w:szCs w:val="24"/>
        </w:rPr>
        <w:t>。</w:t>
      </w:r>
    </w:p>
    <w:p w14:paraId="364ED8A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13.6 竣工退场</w:t>
      </w:r>
    </w:p>
    <w:p w14:paraId="62E53D53">
      <w:pPr>
        <w:adjustRightInd w:val="0"/>
        <w:spacing w:line="360" w:lineRule="auto"/>
        <w:ind w:firstLine="480" w:firstLineChars="200"/>
        <w:rPr>
          <w:rFonts w:ascii="Times New Roman"/>
          <w:color w:val="000000"/>
          <w:sz w:val="24"/>
          <w:szCs w:val="24"/>
        </w:rPr>
      </w:pPr>
      <w:r>
        <w:rPr>
          <w:rFonts w:ascii="Times New Roman"/>
          <w:color w:val="000000"/>
          <w:sz w:val="24"/>
          <w:szCs w:val="24"/>
        </w:rPr>
        <w:t>13.6.1 竣工退场</w:t>
      </w:r>
    </w:p>
    <w:p w14:paraId="112B4CF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承包人完成竣工退场的期限：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6961C2E">
      <w:pPr>
        <w:spacing w:before="240" w:beforeLines="100" w:after="240" w:afterLines="100"/>
        <w:outlineLvl w:val="2"/>
        <w:rPr>
          <w:rFonts w:ascii="Times New Roman" w:eastAsia="黑体"/>
          <w:color w:val="000000"/>
          <w:sz w:val="24"/>
          <w:szCs w:val="24"/>
        </w:rPr>
      </w:pPr>
      <w:bookmarkStart w:id="546" w:name="_Toc351203646"/>
      <w:r>
        <w:rPr>
          <w:rFonts w:ascii="Times New Roman" w:eastAsia="黑体"/>
          <w:color w:val="000000"/>
          <w:sz w:val="24"/>
          <w:szCs w:val="24"/>
        </w:rPr>
        <w:t xml:space="preserve">14. </w:t>
      </w:r>
      <w:r>
        <w:rPr>
          <w:rFonts w:hint="eastAsia" w:ascii="Times New Roman" w:eastAsia="黑体"/>
          <w:color w:val="000000"/>
          <w:sz w:val="24"/>
          <w:szCs w:val="24"/>
        </w:rPr>
        <w:t>竣工结算</w:t>
      </w:r>
      <w:bookmarkEnd w:id="546"/>
    </w:p>
    <w:p w14:paraId="2BDA2B2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14.1 竣工</w:t>
      </w:r>
      <w:r>
        <w:rPr>
          <w:rFonts w:hint="eastAsia" w:ascii="Times New Roman" w:eastAsia="黑体"/>
          <w:bCs/>
          <w:color w:val="000000"/>
          <w:sz w:val="24"/>
          <w:szCs w:val="24"/>
        </w:rPr>
        <w:t>结算</w:t>
      </w:r>
      <w:r>
        <w:rPr>
          <w:rFonts w:ascii="Times New Roman" w:eastAsia="黑体"/>
          <w:bCs/>
          <w:color w:val="000000"/>
          <w:sz w:val="24"/>
          <w:szCs w:val="24"/>
        </w:rPr>
        <w:t>申请</w:t>
      </w:r>
    </w:p>
    <w:p w14:paraId="71EA8528">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承包人提交竣工</w:t>
      </w:r>
      <w:r>
        <w:rPr>
          <w:rFonts w:hint="eastAsia" w:ascii="Times New Roman"/>
          <w:color w:val="000000"/>
          <w:sz w:val="24"/>
          <w:szCs w:val="24"/>
        </w:rPr>
        <w:t>结算</w:t>
      </w:r>
      <w:r>
        <w:rPr>
          <w:rFonts w:ascii="Times New Roman"/>
          <w:color w:val="000000"/>
          <w:sz w:val="24"/>
          <w:szCs w:val="24"/>
        </w:rPr>
        <w:t>申请单的期限：</w:t>
      </w:r>
      <w:r>
        <w:rPr>
          <w:rFonts w:hint="eastAsia" w:ascii="Times New Roman"/>
          <w:color w:val="000000"/>
          <w:sz w:val="24"/>
          <w:szCs w:val="24"/>
          <w:u w:val="single"/>
        </w:rPr>
        <w:t>承包人应在工程竣工验收合格后28天内</w:t>
      </w:r>
      <w:r>
        <w:rPr>
          <w:rFonts w:ascii="Times New Roman"/>
          <w:color w:val="000000"/>
          <w:sz w:val="24"/>
          <w:szCs w:val="24"/>
        </w:rPr>
        <w:t>。</w:t>
      </w:r>
    </w:p>
    <w:p w14:paraId="6F33640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竣工</w:t>
      </w:r>
      <w:r>
        <w:rPr>
          <w:rFonts w:hint="eastAsia" w:ascii="Times New Roman"/>
          <w:color w:val="000000"/>
          <w:sz w:val="24"/>
          <w:szCs w:val="24"/>
        </w:rPr>
        <w:t>结算</w:t>
      </w:r>
      <w:r>
        <w:rPr>
          <w:rFonts w:ascii="Times New Roman"/>
          <w:color w:val="000000"/>
          <w:sz w:val="24"/>
          <w:szCs w:val="24"/>
        </w:rPr>
        <w:t>申请单应包括的内容：</w:t>
      </w:r>
      <w:r>
        <w:rPr>
          <w:rFonts w:hint="eastAsia" w:ascii="Times New Roman"/>
          <w:color w:val="000000"/>
          <w:sz w:val="24"/>
          <w:szCs w:val="24"/>
          <w:u w:val="single"/>
        </w:rPr>
        <w:t>执行通用条款</w:t>
      </w:r>
      <w:r>
        <w:rPr>
          <w:rFonts w:ascii="Times New Roman"/>
          <w:color w:val="000000"/>
          <w:sz w:val="24"/>
          <w:szCs w:val="24"/>
        </w:rPr>
        <w:t>。</w:t>
      </w:r>
    </w:p>
    <w:p w14:paraId="3695F8D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14.2 竣工结算审核</w:t>
      </w:r>
    </w:p>
    <w:p w14:paraId="1C7FC52A">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竣工付款申请单的期限：</w:t>
      </w:r>
      <w:r>
        <w:rPr>
          <w:rFonts w:hint="eastAsia" w:ascii="Times New Roman"/>
          <w:color w:val="000000"/>
          <w:sz w:val="24"/>
          <w:szCs w:val="24"/>
          <w:u w:val="single"/>
        </w:rPr>
        <w:t>发包人应在收到监理人提交的经审核的竣工结算申请单后14天内完成审批</w:t>
      </w:r>
      <w:r>
        <w:rPr>
          <w:rFonts w:ascii="Times New Roman"/>
          <w:color w:val="000000"/>
          <w:sz w:val="24"/>
          <w:szCs w:val="24"/>
        </w:rPr>
        <w:t>。</w:t>
      </w:r>
    </w:p>
    <w:p w14:paraId="5F8DE519">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发包人完成竣工付款的期限：</w:t>
      </w:r>
      <w:r>
        <w:rPr>
          <w:rFonts w:hint="eastAsia" w:ascii="Times New Roman"/>
          <w:color w:val="000000"/>
          <w:sz w:val="24"/>
          <w:szCs w:val="24"/>
          <w:u w:val="single"/>
        </w:rPr>
        <w:t>发包人应在签发竣工付款证书后的14 天内，完成对承包人的竣工付款</w:t>
      </w:r>
      <w:r>
        <w:rPr>
          <w:rFonts w:hint="eastAsia" w:ascii="Times New Roman"/>
          <w:color w:val="000000"/>
          <w:sz w:val="24"/>
          <w:szCs w:val="24"/>
        </w:rPr>
        <w:t>。</w:t>
      </w:r>
    </w:p>
    <w:p w14:paraId="320976B1">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关于竣工付款证书异议部分复核的方式和程序：</w:t>
      </w:r>
      <w:r>
        <w:rPr>
          <w:rFonts w:hint="eastAsia" w:ascii="Times New Roman"/>
          <w:color w:val="000000"/>
          <w:sz w:val="24"/>
          <w:szCs w:val="24"/>
          <w:u w:val="single"/>
        </w:rPr>
        <w:t>执行通用条款</w:t>
      </w:r>
      <w:r>
        <w:rPr>
          <w:rFonts w:ascii="Times New Roman"/>
          <w:color w:val="000000"/>
          <w:sz w:val="24"/>
          <w:szCs w:val="24"/>
        </w:rPr>
        <w:t>。</w:t>
      </w:r>
    </w:p>
    <w:p w14:paraId="7DC9B86A">
      <w:pPr>
        <w:adjustRightInd w:val="0"/>
        <w:spacing w:line="360" w:lineRule="auto"/>
        <w:ind w:firstLine="480" w:firstLineChars="200"/>
        <w:rPr>
          <w:rFonts w:ascii="Times New Roman"/>
          <w:color w:val="000000"/>
          <w:sz w:val="24"/>
          <w:szCs w:val="24"/>
        </w:rPr>
      </w:pPr>
      <w:r>
        <w:rPr>
          <w:rFonts w:ascii="Times New Roman"/>
          <w:color w:val="000000"/>
          <w:sz w:val="24"/>
          <w:szCs w:val="24"/>
        </w:rPr>
        <w:t>14.4 最终结清</w:t>
      </w:r>
    </w:p>
    <w:p w14:paraId="450F8647">
      <w:pPr>
        <w:adjustRightInd w:val="0"/>
        <w:spacing w:line="360" w:lineRule="auto"/>
        <w:ind w:firstLine="480" w:firstLineChars="200"/>
        <w:rPr>
          <w:rFonts w:ascii="Times New Roman"/>
          <w:color w:val="000000"/>
          <w:sz w:val="24"/>
          <w:szCs w:val="24"/>
        </w:rPr>
      </w:pPr>
      <w:r>
        <w:rPr>
          <w:rFonts w:ascii="Times New Roman"/>
          <w:color w:val="000000"/>
          <w:sz w:val="24"/>
          <w:szCs w:val="24"/>
        </w:rPr>
        <w:t>14.4.1 最终结清申请单</w:t>
      </w:r>
    </w:p>
    <w:p w14:paraId="27FA3C66">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承包人提交最终结清申请单的份数：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5E19A9A">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承包人提交最终结算申请单的期限：</w:t>
      </w:r>
      <w:r>
        <w:rPr>
          <w:rFonts w:hint="eastAsia" w:ascii="Times New Roman"/>
          <w:color w:val="000000"/>
          <w:sz w:val="24"/>
          <w:szCs w:val="24"/>
          <w:u w:val="single"/>
        </w:rPr>
        <w:t>缺陷责任期终止证书颁发后7天内</w:t>
      </w:r>
      <w:r>
        <w:rPr>
          <w:rFonts w:ascii="Times New Roman"/>
          <w:color w:val="000000"/>
          <w:sz w:val="24"/>
          <w:szCs w:val="24"/>
        </w:rPr>
        <w:t xml:space="preserve">。 </w:t>
      </w:r>
    </w:p>
    <w:p w14:paraId="03040535">
      <w:pPr>
        <w:adjustRightInd w:val="0"/>
        <w:spacing w:line="360" w:lineRule="auto"/>
        <w:ind w:firstLine="480" w:firstLineChars="200"/>
        <w:rPr>
          <w:rFonts w:ascii="Times New Roman"/>
          <w:color w:val="000000"/>
          <w:sz w:val="24"/>
          <w:szCs w:val="24"/>
        </w:rPr>
      </w:pPr>
      <w:r>
        <w:rPr>
          <w:rFonts w:ascii="Times New Roman"/>
          <w:color w:val="000000"/>
          <w:sz w:val="24"/>
          <w:szCs w:val="24"/>
        </w:rPr>
        <w:t>14.4.2 最终结清证书和支付</w:t>
      </w:r>
    </w:p>
    <w:p w14:paraId="054A0EA7">
      <w:pPr>
        <w:adjustRightInd w:val="0"/>
        <w:spacing w:line="360" w:lineRule="auto"/>
        <w:ind w:firstLine="480" w:firstLineChars="200"/>
        <w:rPr>
          <w:rFonts w:ascii="Times New Roman"/>
          <w:color w:val="000000"/>
          <w:sz w:val="24"/>
          <w:szCs w:val="24"/>
        </w:rPr>
      </w:pPr>
      <w:r>
        <w:rPr>
          <w:rFonts w:ascii="Times New Roman"/>
          <w:color w:val="000000"/>
          <w:sz w:val="24"/>
          <w:szCs w:val="24"/>
        </w:rPr>
        <w:t>（1）发包人完成最终结清申请单的</w:t>
      </w:r>
      <w:r>
        <w:rPr>
          <w:rFonts w:hint="eastAsia" w:ascii="Times New Roman"/>
          <w:color w:val="000000"/>
          <w:sz w:val="24"/>
          <w:szCs w:val="24"/>
        </w:rPr>
        <w:t>审批</w:t>
      </w:r>
      <w:r>
        <w:rPr>
          <w:rFonts w:ascii="Times New Roman"/>
          <w:color w:val="000000"/>
          <w:sz w:val="24"/>
          <w:szCs w:val="24"/>
        </w:rPr>
        <w:t>并颁发最终结清证书的期限：</w:t>
      </w:r>
      <w:r>
        <w:rPr>
          <w:rFonts w:hint="eastAsia" w:ascii="Times New Roman"/>
          <w:color w:val="000000"/>
          <w:sz w:val="24"/>
          <w:szCs w:val="24"/>
          <w:u w:val="single"/>
        </w:rPr>
        <w:t>收到承包人提交的最终结清申请单后14天内</w:t>
      </w:r>
      <w:r>
        <w:rPr>
          <w:rFonts w:ascii="Times New Roman"/>
          <w:color w:val="000000"/>
          <w:sz w:val="24"/>
          <w:szCs w:val="24"/>
        </w:rPr>
        <w:t>。</w:t>
      </w:r>
    </w:p>
    <w:p w14:paraId="4BB795E3">
      <w:pPr>
        <w:adjustRightInd w:val="0"/>
        <w:spacing w:line="360" w:lineRule="auto"/>
        <w:ind w:firstLine="480" w:firstLineChars="200"/>
        <w:rPr>
          <w:rFonts w:ascii="Times New Roman"/>
          <w:color w:val="000000"/>
          <w:sz w:val="24"/>
          <w:szCs w:val="24"/>
        </w:rPr>
      </w:pPr>
      <w:r>
        <w:rPr>
          <w:rFonts w:ascii="Times New Roman"/>
          <w:color w:val="000000"/>
          <w:sz w:val="24"/>
          <w:szCs w:val="24"/>
        </w:rPr>
        <w:t>（2）发包人完成支付的期限：</w:t>
      </w:r>
      <w:r>
        <w:rPr>
          <w:rFonts w:hint="eastAsia" w:ascii="Times New Roman"/>
          <w:color w:val="000000"/>
          <w:sz w:val="24"/>
          <w:szCs w:val="24"/>
          <w:u w:val="single"/>
        </w:rPr>
        <w:t>颁发最终结清证书后</w:t>
      </w:r>
      <w:r>
        <w:rPr>
          <w:rFonts w:ascii="Times New Roman"/>
          <w:color w:val="000000"/>
          <w:sz w:val="24"/>
          <w:szCs w:val="24"/>
          <w:u w:val="single"/>
        </w:rPr>
        <w:t>7</w:t>
      </w:r>
      <w:r>
        <w:rPr>
          <w:rFonts w:hint="eastAsia" w:ascii="Times New Roman"/>
          <w:color w:val="000000"/>
          <w:sz w:val="24"/>
          <w:szCs w:val="24"/>
          <w:u w:val="single"/>
        </w:rPr>
        <w:t>天内完成支付</w:t>
      </w:r>
      <w:r>
        <w:rPr>
          <w:rFonts w:ascii="Times New Roman"/>
          <w:color w:val="000000"/>
          <w:sz w:val="24"/>
          <w:szCs w:val="24"/>
        </w:rPr>
        <w:t>。</w:t>
      </w:r>
    </w:p>
    <w:bookmarkEnd w:id="533"/>
    <w:bookmarkEnd w:id="534"/>
    <w:bookmarkEnd w:id="535"/>
    <w:bookmarkEnd w:id="536"/>
    <w:bookmarkEnd w:id="537"/>
    <w:bookmarkEnd w:id="538"/>
    <w:bookmarkEnd w:id="539"/>
    <w:bookmarkEnd w:id="545"/>
    <w:p w14:paraId="224C9730">
      <w:pPr>
        <w:spacing w:before="240" w:beforeLines="100" w:after="240" w:afterLines="100"/>
        <w:outlineLvl w:val="2"/>
        <w:rPr>
          <w:rFonts w:ascii="Times New Roman" w:eastAsia="黑体"/>
          <w:color w:val="000000"/>
          <w:sz w:val="24"/>
          <w:szCs w:val="24"/>
        </w:rPr>
      </w:pPr>
      <w:bookmarkStart w:id="547" w:name="_Toc351203647"/>
      <w:bookmarkStart w:id="548" w:name="_Toc267251483"/>
      <w:bookmarkStart w:id="549" w:name="_Toc267251484"/>
      <w:bookmarkStart w:id="550" w:name="_Toc267251482"/>
      <w:bookmarkStart w:id="551" w:name="_Toc267251485"/>
      <w:bookmarkStart w:id="552" w:name="_Toc267251490"/>
      <w:bookmarkStart w:id="553" w:name="_Toc267251486"/>
      <w:bookmarkStart w:id="554" w:name="_Toc267251489"/>
      <w:bookmarkStart w:id="555" w:name="_Toc267251488"/>
      <w:bookmarkStart w:id="556" w:name="_Toc267251501"/>
      <w:bookmarkStart w:id="557" w:name="_Toc267251502"/>
      <w:bookmarkStart w:id="558" w:name="_Toc267251492"/>
      <w:bookmarkStart w:id="559" w:name="_Toc267251499"/>
      <w:bookmarkStart w:id="560" w:name="_Toc267251503"/>
      <w:bookmarkStart w:id="561" w:name="_Toc267251495"/>
      <w:bookmarkStart w:id="562" w:name="_Toc267251498"/>
      <w:bookmarkStart w:id="563" w:name="_Toc267251497"/>
      <w:bookmarkStart w:id="564" w:name="_Toc267251496"/>
      <w:bookmarkStart w:id="565" w:name="_Toc267251493"/>
      <w:bookmarkStart w:id="566" w:name="_Toc267251494"/>
      <w:bookmarkStart w:id="567" w:name="_Toc267251491"/>
      <w:bookmarkStart w:id="568" w:name="_Toc267251504"/>
      <w:bookmarkStart w:id="569" w:name="_Toc267251506"/>
      <w:bookmarkStart w:id="570" w:name="_Toc267251507"/>
      <w:bookmarkStart w:id="571" w:name="_Toc267251508"/>
      <w:bookmarkStart w:id="572" w:name="_Toc267251511"/>
      <w:bookmarkStart w:id="573" w:name="_Toc267251514"/>
      <w:bookmarkStart w:id="574" w:name="_Toc267251515"/>
      <w:bookmarkStart w:id="575" w:name="_Toc267251510"/>
      <w:bookmarkStart w:id="576" w:name="_Toc267251509"/>
      <w:bookmarkStart w:id="577" w:name="_Toc267251513"/>
      <w:r>
        <w:rPr>
          <w:rFonts w:ascii="Times New Roman" w:eastAsia="黑体"/>
          <w:color w:val="000000"/>
          <w:sz w:val="24"/>
          <w:szCs w:val="24"/>
        </w:rPr>
        <w:t>15. 缺陷责任期与保修</w:t>
      </w:r>
      <w:bookmarkEnd w:id="547"/>
    </w:p>
    <w:p w14:paraId="69D8397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15.2</w:t>
      </w:r>
      <w:r>
        <w:rPr>
          <w:rFonts w:hint="eastAsia" w:ascii="Times New Roman" w:eastAsia="黑体"/>
          <w:bCs/>
          <w:color w:val="000000"/>
          <w:sz w:val="24"/>
          <w:szCs w:val="24"/>
        </w:rPr>
        <w:t xml:space="preserve"> </w:t>
      </w:r>
      <w:r>
        <w:rPr>
          <w:rFonts w:ascii="Times New Roman" w:eastAsia="黑体"/>
          <w:bCs/>
          <w:color w:val="000000"/>
          <w:sz w:val="24"/>
          <w:szCs w:val="24"/>
        </w:rPr>
        <w:t>缺陷责任期</w:t>
      </w:r>
      <w:bookmarkEnd w:id="548"/>
    </w:p>
    <w:p w14:paraId="64AAD58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缺陷责任期的具体期限：</w:t>
      </w:r>
      <w:r>
        <w:rPr>
          <w:rFonts w:hint="eastAsia" w:ascii="Times New Roman"/>
          <w:color w:val="000000"/>
          <w:sz w:val="24"/>
          <w:szCs w:val="24"/>
          <w:u w:val="single"/>
        </w:rPr>
        <w:t>见《专用合同条款数据表》</w:t>
      </w:r>
      <w:r>
        <w:rPr>
          <w:rFonts w:ascii="Times New Roman"/>
          <w:color w:val="000000"/>
          <w:sz w:val="24"/>
          <w:szCs w:val="24"/>
        </w:rPr>
        <w:t>。</w:t>
      </w:r>
    </w:p>
    <w:p w14:paraId="2D8DAB8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15.3 质量保证金</w:t>
      </w:r>
    </w:p>
    <w:p w14:paraId="404ED61F">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关于是否扣留质量保证金的约定：</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在工程项目竣工前，承包人按专用合同条款第3.7款提供履约保证金的，发包人不得同时预留工程质量保证金。</w:t>
      </w:r>
    </w:p>
    <w:p w14:paraId="2C94D872">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15.3.1 </w:t>
      </w:r>
      <w:r>
        <w:rPr>
          <w:rFonts w:hint="eastAsia" w:ascii="Times New Roman"/>
          <w:color w:val="000000"/>
          <w:sz w:val="24"/>
          <w:szCs w:val="24"/>
        </w:rPr>
        <w:t>承包人提供</w:t>
      </w:r>
      <w:r>
        <w:rPr>
          <w:rFonts w:ascii="Times New Roman"/>
          <w:color w:val="000000"/>
          <w:sz w:val="24"/>
          <w:szCs w:val="24"/>
        </w:rPr>
        <w:t>质量保证金的</w:t>
      </w:r>
      <w:r>
        <w:rPr>
          <w:rFonts w:hint="eastAsia" w:ascii="Times New Roman"/>
          <w:color w:val="000000"/>
          <w:sz w:val="24"/>
          <w:szCs w:val="24"/>
        </w:rPr>
        <w:t>方</w:t>
      </w:r>
      <w:r>
        <w:rPr>
          <w:rFonts w:ascii="Times New Roman"/>
          <w:color w:val="000000"/>
          <w:sz w:val="24"/>
          <w:szCs w:val="24"/>
        </w:rPr>
        <w:t>式</w:t>
      </w:r>
    </w:p>
    <w:p w14:paraId="00879323">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21827B98">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见《专用合同条款数据表》</w:t>
      </w:r>
      <w:r>
        <w:rPr>
          <w:rFonts w:ascii="Times New Roman"/>
          <w:color w:val="000000"/>
          <w:sz w:val="24"/>
          <w:szCs w:val="24"/>
        </w:rPr>
        <w:t>；</w:t>
      </w:r>
    </w:p>
    <w:p w14:paraId="0A47412C">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见《专用合同条款数据表》</w:t>
      </w:r>
      <w:r>
        <w:rPr>
          <w:rFonts w:ascii="Times New Roman"/>
          <w:color w:val="000000"/>
          <w:sz w:val="24"/>
          <w:szCs w:val="24"/>
        </w:rPr>
        <w:t>%的工程款；</w:t>
      </w:r>
    </w:p>
    <w:p w14:paraId="4A4D2B3D">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ascii="Times New Roman"/>
          <w:color w:val="000000"/>
          <w:sz w:val="24"/>
          <w:szCs w:val="24"/>
        </w:rPr>
        <w:t>。</w:t>
      </w:r>
    </w:p>
    <w:p w14:paraId="59FA5A03">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15.3.2 质量保证金的扣留 </w:t>
      </w:r>
    </w:p>
    <w:p w14:paraId="4ECFEACC">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质量保证金的扣留采取以下第</w:t>
      </w:r>
      <w:r>
        <w:rPr>
          <w:rFonts w:hint="eastAsia" w:ascii="Times New Roman"/>
          <w:color w:val="000000"/>
          <w:sz w:val="24"/>
          <w:szCs w:val="24"/>
          <w:u w:val="single"/>
        </w:rPr>
        <w:t xml:space="preserve">   </w:t>
      </w:r>
      <w:r>
        <w:rPr>
          <w:rFonts w:ascii="Times New Roman"/>
          <w:color w:val="000000"/>
          <w:sz w:val="24"/>
          <w:szCs w:val="24"/>
        </w:rPr>
        <w:t>种方式：</w:t>
      </w:r>
    </w:p>
    <w:p w14:paraId="3EF8D957">
      <w:pPr>
        <w:adjustRightInd w:val="0"/>
        <w:spacing w:line="360" w:lineRule="auto"/>
        <w:ind w:firstLine="480" w:firstLineChars="200"/>
        <w:rPr>
          <w:rFonts w:ascii="Times New Roman"/>
          <w:color w:val="000000"/>
          <w:sz w:val="24"/>
          <w:szCs w:val="24"/>
        </w:rPr>
      </w:pPr>
      <w:r>
        <w:rPr>
          <w:rFonts w:ascii="Times New Roman"/>
          <w:color w:val="000000"/>
          <w:sz w:val="24"/>
          <w:szCs w:val="24"/>
        </w:rPr>
        <w:t>（1）在支付工程进度款时逐次扣留，在此情形下，质量保证金的计算基数不包括预付款的支付、扣回以及价格调整的金额；</w:t>
      </w:r>
    </w:p>
    <w:p w14:paraId="10D5C1C8">
      <w:pPr>
        <w:adjustRightInd w:val="0"/>
        <w:spacing w:line="360" w:lineRule="auto"/>
        <w:ind w:firstLine="480" w:firstLineChars="200"/>
        <w:rPr>
          <w:rFonts w:ascii="Times New Roman"/>
          <w:color w:val="000000"/>
          <w:sz w:val="24"/>
          <w:szCs w:val="24"/>
        </w:rPr>
      </w:pPr>
      <w:r>
        <w:rPr>
          <w:rFonts w:ascii="Times New Roman"/>
          <w:color w:val="000000"/>
          <w:sz w:val="24"/>
          <w:szCs w:val="24"/>
        </w:rPr>
        <w:t>（2）工程竣工结算时一次性扣留质量保证金；</w:t>
      </w:r>
    </w:p>
    <w:p w14:paraId="1DA334A8">
      <w:pPr>
        <w:adjustRightInd w:val="0"/>
        <w:spacing w:line="360" w:lineRule="auto"/>
        <w:ind w:firstLine="480" w:firstLineChars="200"/>
        <w:rPr>
          <w:rFonts w:ascii="Times New Roman"/>
          <w:color w:val="000000"/>
          <w:sz w:val="24"/>
          <w:szCs w:val="24"/>
        </w:rPr>
      </w:pPr>
      <w:r>
        <w:rPr>
          <w:rFonts w:ascii="Times New Roman"/>
          <w:color w:val="000000"/>
          <w:sz w:val="24"/>
          <w:szCs w:val="24"/>
        </w:rPr>
        <w:t>（3）其他扣留方式</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BCE3915">
      <w:pPr>
        <w:adjustRightInd w:val="0"/>
        <w:spacing w:line="360" w:lineRule="auto"/>
        <w:ind w:firstLine="480" w:firstLineChars="200"/>
        <w:rPr>
          <w:rFonts w:ascii="Times New Roman"/>
          <w:color w:val="000000"/>
          <w:sz w:val="24"/>
          <w:szCs w:val="24"/>
        </w:rPr>
      </w:pPr>
      <w:r>
        <w:rPr>
          <w:rFonts w:ascii="Times New Roman"/>
          <w:color w:val="000000"/>
          <w:sz w:val="24"/>
          <w:szCs w:val="24"/>
        </w:rPr>
        <w:t>关于质量保证金的补充约定：</w:t>
      </w:r>
    </w:p>
    <w:p w14:paraId="18C7D8AC">
      <w:pPr>
        <w:adjustRightInd w:val="0"/>
        <w:spacing w:line="360" w:lineRule="auto"/>
        <w:ind w:firstLine="480" w:firstLineChars="200"/>
        <w:rPr>
          <w:rFonts w:hint="eastAsia" w:ascii="Times New Roman"/>
          <w:color w:val="000000"/>
          <w:sz w:val="24"/>
          <w:szCs w:val="24"/>
          <w:u w:val="single"/>
        </w:rPr>
      </w:pPr>
      <w:r>
        <w:rPr>
          <w:rFonts w:hint="eastAsia" w:ascii="Times New Roman"/>
          <w:color w:val="000000"/>
          <w:sz w:val="24"/>
          <w:szCs w:val="24"/>
          <w:u w:val="single"/>
        </w:rPr>
        <w:t>①在工程项目竣工前，承包人按专用合同条款第3.7款提供履约保证金的，可在工程进入缺陷责任期时按照多退少补原则转为质量保证金；</w:t>
      </w:r>
    </w:p>
    <w:p w14:paraId="2EA1C11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②……</w:t>
      </w:r>
      <w:r>
        <w:rPr>
          <w:rFonts w:ascii="Times New Roman"/>
          <w:color w:val="000000"/>
          <w:sz w:val="24"/>
          <w:szCs w:val="24"/>
        </w:rPr>
        <w:t>。</w:t>
      </w:r>
    </w:p>
    <w:bookmarkEnd w:id="549"/>
    <w:bookmarkEnd w:id="550"/>
    <w:p w14:paraId="0C8A56B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15.4</w:t>
      </w:r>
      <w:r>
        <w:rPr>
          <w:rFonts w:hint="eastAsia" w:ascii="Times New Roman" w:eastAsia="黑体"/>
          <w:bCs/>
          <w:color w:val="000000"/>
          <w:sz w:val="24"/>
          <w:szCs w:val="24"/>
        </w:rPr>
        <w:t xml:space="preserve"> </w:t>
      </w:r>
      <w:r>
        <w:rPr>
          <w:rFonts w:ascii="Times New Roman" w:eastAsia="黑体"/>
          <w:bCs/>
          <w:color w:val="000000"/>
          <w:sz w:val="24"/>
          <w:szCs w:val="24"/>
        </w:rPr>
        <w:t>保修</w:t>
      </w:r>
    </w:p>
    <w:bookmarkEnd w:id="551"/>
    <w:p w14:paraId="33B4A3DD">
      <w:pPr>
        <w:adjustRightInd w:val="0"/>
        <w:spacing w:line="360" w:lineRule="auto"/>
        <w:ind w:firstLine="480" w:firstLineChars="200"/>
        <w:rPr>
          <w:rFonts w:ascii="Times New Roman"/>
          <w:color w:val="000000"/>
          <w:sz w:val="24"/>
          <w:szCs w:val="24"/>
        </w:rPr>
      </w:pPr>
      <w:r>
        <w:rPr>
          <w:rFonts w:ascii="Times New Roman"/>
          <w:color w:val="000000"/>
          <w:sz w:val="24"/>
          <w:szCs w:val="24"/>
        </w:rPr>
        <w:t>15.4.1 保修责任</w:t>
      </w:r>
    </w:p>
    <w:p w14:paraId="621B82B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工程保修期为：</w:t>
      </w:r>
      <w:r>
        <w:rPr>
          <w:rFonts w:hint="eastAsia" w:ascii="Times New Roman"/>
          <w:color w:val="000000"/>
          <w:sz w:val="24"/>
          <w:szCs w:val="24"/>
          <w:u w:val="single"/>
        </w:rPr>
        <w:t>执行《工程质量保修书》规定</w:t>
      </w:r>
      <w:r>
        <w:rPr>
          <w:rFonts w:ascii="Times New Roman"/>
          <w:color w:val="000000"/>
          <w:sz w:val="24"/>
          <w:szCs w:val="24"/>
        </w:rPr>
        <w:t>。</w:t>
      </w:r>
    </w:p>
    <w:p w14:paraId="303A8ADF">
      <w:pPr>
        <w:adjustRightInd w:val="0"/>
        <w:spacing w:line="360" w:lineRule="auto"/>
        <w:ind w:firstLine="480" w:firstLineChars="200"/>
        <w:rPr>
          <w:rFonts w:ascii="Times New Roman"/>
          <w:color w:val="000000"/>
          <w:sz w:val="24"/>
          <w:szCs w:val="24"/>
        </w:rPr>
      </w:pPr>
      <w:r>
        <w:rPr>
          <w:rFonts w:ascii="Times New Roman"/>
          <w:color w:val="000000"/>
          <w:sz w:val="24"/>
          <w:szCs w:val="24"/>
        </w:rPr>
        <w:t>15.4.3 修复通知</w:t>
      </w:r>
    </w:p>
    <w:p w14:paraId="03AC5E8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承包人收到保修通知并到达工程现场的合理时间：</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552"/>
    <w:bookmarkEnd w:id="553"/>
    <w:bookmarkEnd w:id="554"/>
    <w:bookmarkEnd w:id="555"/>
    <w:p w14:paraId="25D815BA">
      <w:pPr>
        <w:spacing w:before="240" w:beforeLines="100" w:after="240" w:afterLines="100"/>
        <w:outlineLvl w:val="2"/>
        <w:rPr>
          <w:rFonts w:ascii="Times New Roman" w:eastAsia="黑体"/>
          <w:color w:val="000000"/>
          <w:sz w:val="24"/>
          <w:szCs w:val="24"/>
        </w:rPr>
      </w:pPr>
      <w:bookmarkStart w:id="578" w:name="_Toc351203648"/>
      <w:bookmarkStart w:id="579" w:name="_Toc280868717"/>
      <w:bookmarkStart w:id="580" w:name="_Toc280868718"/>
      <w:r>
        <w:rPr>
          <w:rFonts w:ascii="Times New Roman" w:eastAsia="黑体"/>
          <w:color w:val="000000"/>
          <w:sz w:val="24"/>
          <w:szCs w:val="24"/>
        </w:rPr>
        <w:t>16. 违约</w:t>
      </w:r>
      <w:bookmarkEnd w:id="578"/>
    </w:p>
    <w:p w14:paraId="686796F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16.1 发包人违约</w:t>
      </w:r>
    </w:p>
    <w:p w14:paraId="2EFCB2CC">
      <w:pPr>
        <w:adjustRightInd w:val="0"/>
        <w:spacing w:line="360" w:lineRule="auto"/>
        <w:ind w:firstLine="480" w:firstLineChars="200"/>
        <w:rPr>
          <w:rFonts w:ascii="Times New Roman"/>
          <w:color w:val="000000"/>
          <w:sz w:val="24"/>
          <w:szCs w:val="24"/>
        </w:rPr>
      </w:pPr>
      <w:r>
        <w:rPr>
          <w:rFonts w:ascii="Times New Roman"/>
          <w:color w:val="000000"/>
          <w:sz w:val="24"/>
          <w:szCs w:val="24"/>
        </w:rPr>
        <w:t>16.1.1</w:t>
      </w:r>
      <w:r>
        <w:rPr>
          <w:rFonts w:hint="eastAsia" w:ascii="Times New Roman"/>
          <w:color w:val="000000"/>
          <w:sz w:val="24"/>
          <w:szCs w:val="24"/>
        </w:rPr>
        <w:t xml:space="preserve"> </w:t>
      </w:r>
      <w:r>
        <w:rPr>
          <w:rFonts w:ascii="Times New Roman"/>
          <w:color w:val="000000"/>
          <w:sz w:val="24"/>
          <w:szCs w:val="24"/>
        </w:rPr>
        <w:t>发包人违约的情形</w:t>
      </w:r>
    </w:p>
    <w:p w14:paraId="6ED5F67B">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1E51BD7">
      <w:pPr>
        <w:adjustRightInd w:val="0"/>
        <w:spacing w:line="360" w:lineRule="auto"/>
        <w:ind w:firstLine="480" w:firstLineChars="200"/>
        <w:rPr>
          <w:rFonts w:ascii="Times New Roman"/>
          <w:color w:val="000000"/>
          <w:sz w:val="24"/>
          <w:szCs w:val="24"/>
        </w:rPr>
      </w:pPr>
      <w:r>
        <w:rPr>
          <w:rFonts w:ascii="Times New Roman"/>
          <w:color w:val="000000"/>
          <w:sz w:val="24"/>
          <w:szCs w:val="24"/>
        </w:rPr>
        <w:t>16.1.2 发包人违约的责任</w:t>
      </w:r>
    </w:p>
    <w:p w14:paraId="5A37D6C3">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发包人违约责任的承担方式和计算方法：</w:t>
      </w:r>
    </w:p>
    <w:p w14:paraId="4B998A7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因发包人原因未能在计划开工日期前7天内下达开工通知的违约责任：</w:t>
      </w:r>
      <w:r>
        <w:rPr>
          <w:rFonts w:hint="eastAsia" w:ascii="Times New Roman"/>
          <w:color w:val="000000"/>
          <w:sz w:val="24"/>
          <w:szCs w:val="24"/>
          <w:u w:val="single"/>
        </w:rPr>
        <w:t xml:space="preserve">     </w:t>
      </w:r>
      <w:r>
        <w:rPr>
          <w:rFonts w:ascii="Times New Roman"/>
          <w:color w:val="000000"/>
          <w:sz w:val="24"/>
          <w:szCs w:val="24"/>
        </w:rPr>
        <w:t>。</w:t>
      </w:r>
    </w:p>
    <w:p w14:paraId="3B4214F7">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（2）</w:t>
      </w:r>
      <w:r>
        <w:rPr>
          <w:rFonts w:ascii="Times New Roman"/>
          <w:color w:val="000000"/>
          <w:sz w:val="24"/>
          <w:szCs w:val="24"/>
        </w:rPr>
        <w:t>因发包人原因未能按合同约定支付合同价款的违约责任：</w:t>
      </w:r>
      <w:r>
        <w:rPr>
          <w:rFonts w:hint="eastAsia" w:ascii="Times New Roman"/>
          <w:color w:val="000000"/>
          <w:sz w:val="24"/>
          <w:szCs w:val="24"/>
          <w:u w:val="single"/>
        </w:rPr>
        <w:t xml:space="preserve">      </w:t>
      </w:r>
      <w:r>
        <w:rPr>
          <w:rFonts w:ascii="Times New Roman"/>
          <w:color w:val="000000"/>
          <w:sz w:val="24"/>
          <w:szCs w:val="24"/>
        </w:rPr>
        <w:t>。</w:t>
      </w:r>
    </w:p>
    <w:p w14:paraId="5FBDABC0">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（3）发包人违反第10.1款</w:t>
      </w:r>
      <w:r>
        <w:rPr>
          <w:rFonts w:hint="eastAsia" w:ascii="Times New Roman"/>
          <w:color w:val="000000"/>
          <w:sz w:val="24"/>
          <w:szCs w:val="24"/>
        </w:rPr>
        <w:t>〔</w:t>
      </w:r>
      <w:r>
        <w:rPr>
          <w:rFonts w:ascii="Times New Roman"/>
          <w:color w:val="000000"/>
          <w:sz w:val="24"/>
          <w:szCs w:val="24"/>
        </w:rPr>
        <w:t>变更的范围</w:t>
      </w:r>
      <w:r>
        <w:rPr>
          <w:rFonts w:hint="eastAsia" w:ascii="Times New Roman"/>
          <w:color w:val="000000"/>
          <w:sz w:val="24"/>
          <w:szCs w:val="24"/>
        </w:rPr>
        <w:t>〕</w:t>
      </w:r>
      <w:r>
        <w:rPr>
          <w:rFonts w:ascii="Times New Roman"/>
          <w:color w:val="000000"/>
          <w:sz w:val="24"/>
          <w:szCs w:val="24"/>
        </w:rPr>
        <w:t>第（2）项约定，自行实施被取消的工作或转由他人实施的违约责任：</w:t>
      </w:r>
      <w:r>
        <w:rPr>
          <w:rFonts w:hint="eastAsia" w:ascii="Times New Roman"/>
          <w:color w:val="000000"/>
          <w:sz w:val="24"/>
          <w:szCs w:val="24"/>
          <w:u w:val="single"/>
        </w:rPr>
        <w:t xml:space="preserve">          </w:t>
      </w:r>
      <w:r>
        <w:rPr>
          <w:rFonts w:ascii="Times New Roman"/>
          <w:color w:val="000000"/>
          <w:sz w:val="24"/>
          <w:szCs w:val="24"/>
        </w:rPr>
        <w:t>。</w:t>
      </w:r>
    </w:p>
    <w:p w14:paraId="2169F9DC">
      <w:pPr>
        <w:adjustRightInd w:val="0"/>
        <w:spacing w:line="360" w:lineRule="auto"/>
        <w:ind w:firstLine="480" w:firstLineChars="200"/>
        <w:rPr>
          <w:rFonts w:ascii="Times New Roman"/>
          <w:color w:val="000000"/>
          <w:sz w:val="24"/>
          <w:szCs w:val="24"/>
        </w:rPr>
      </w:pPr>
      <w:r>
        <w:rPr>
          <w:rFonts w:ascii="Times New Roman"/>
          <w:color w:val="000000"/>
          <w:sz w:val="24"/>
          <w:szCs w:val="24"/>
        </w:rPr>
        <w:t>（4）发包人提供的材料、工程设备的规格、数量或质量不符合合同约定，或因发包人原因导致交货日期延误或交货地点变更等情况的违约责任：</w:t>
      </w:r>
      <w:r>
        <w:rPr>
          <w:rFonts w:hint="eastAsia" w:ascii="Times New Roman"/>
          <w:color w:val="000000"/>
          <w:sz w:val="24"/>
          <w:szCs w:val="24"/>
          <w:u w:val="single"/>
        </w:rPr>
        <w:t xml:space="preserve">          </w:t>
      </w:r>
      <w:r>
        <w:rPr>
          <w:rFonts w:ascii="Times New Roman"/>
          <w:color w:val="000000"/>
          <w:sz w:val="24"/>
          <w:szCs w:val="24"/>
        </w:rPr>
        <w:t>。</w:t>
      </w:r>
    </w:p>
    <w:p w14:paraId="6074438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（5）因发包人违反合同约定造成暂停施工的违约责任：</w:t>
      </w:r>
      <w:r>
        <w:rPr>
          <w:rFonts w:hint="eastAsia" w:ascii="Times New Roman"/>
          <w:color w:val="000000"/>
          <w:sz w:val="24"/>
          <w:szCs w:val="24"/>
          <w:u w:val="single"/>
        </w:rPr>
        <w:t xml:space="preserve">          </w:t>
      </w:r>
      <w:r>
        <w:rPr>
          <w:rFonts w:ascii="Times New Roman"/>
          <w:color w:val="000000"/>
          <w:sz w:val="24"/>
          <w:szCs w:val="24"/>
        </w:rPr>
        <w:t>。</w:t>
      </w:r>
    </w:p>
    <w:p w14:paraId="624AC6A5">
      <w:pPr>
        <w:adjustRightInd w:val="0"/>
        <w:spacing w:line="360" w:lineRule="auto"/>
        <w:ind w:firstLine="480" w:firstLineChars="200"/>
        <w:rPr>
          <w:rFonts w:ascii="Times New Roman"/>
          <w:color w:val="000000"/>
          <w:sz w:val="24"/>
          <w:szCs w:val="24"/>
        </w:rPr>
      </w:pPr>
      <w:r>
        <w:rPr>
          <w:rFonts w:ascii="Times New Roman"/>
          <w:color w:val="000000"/>
          <w:sz w:val="24"/>
          <w:szCs w:val="24"/>
        </w:rPr>
        <w:t>（6）发包人无正当理由没有在约定期限内发出复工指示，导致承包人无法复工的违约责任：</w:t>
      </w:r>
      <w:r>
        <w:rPr>
          <w:rFonts w:hint="eastAsia" w:ascii="Times New Roman"/>
          <w:color w:val="000000"/>
          <w:sz w:val="24"/>
          <w:szCs w:val="24"/>
          <w:u w:val="single"/>
        </w:rPr>
        <w:t xml:space="preserve">          </w:t>
      </w:r>
      <w:r>
        <w:rPr>
          <w:rFonts w:ascii="Times New Roman"/>
          <w:color w:val="000000"/>
          <w:sz w:val="24"/>
          <w:szCs w:val="24"/>
        </w:rPr>
        <w:t>。</w:t>
      </w:r>
    </w:p>
    <w:p w14:paraId="263FCC07">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r>
        <w:rPr>
          <w:rFonts w:hint="eastAsia" w:ascii="Times New Roman"/>
          <w:color w:val="000000"/>
          <w:sz w:val="24"/>
          <w:szCs w:val="24"/>
        </w:rPr>
        <w:t>其他：</w:t>
      </w:r>
      <w:r>
        <w:rPr>
          <w:rFonts w:hint="eastAsia" w:ascii="Times New Roman"/>
          <w:color w:val="000000"/>
          <w:sz w:val="24"/>
          <w:szCs w:val="24"/>
          <w:u w:val="single"/>
        </w:rPr>
        <w:t xml:space="preserve">          </w:t>
      </w:r>
      <w:r>
        <w:rPr>
          <w:rFonts w:ascii="Times New Roman"/>
          <w:color w:val="000000"/>
          <w:sz w:val="24"/>
          <w:szCs w:val="24"/>
        </w:rPr>
        <w:t>。</w:t>
      </w:r>
    </w:p>
    <w:p w14:paraId="0B9A73CF">
      <w:pPr>
        <w:adjustRightInd w:val="0"/>
        <w:spacing w:line="360" w:lineRule="auto"/>
        <w:ind w:firstLine="480" w:firstLineChars="200"/>
        <w:rPr>
          <w:rFonts w:ascii="Times New Roman"/>
          <w:color w:val="000000"/>
          <w:sz w:val="24"/>
          <w:szCs w:val="24"/>
        </w:rPr>
      </w:pPr>
      <w:r>
        <w:rPr>
          <w:rFonts w:ascii="Times New Roman"/>
          <w:color w:val="000000"/>
          <w:sz w:val="24"/>
          <w:szCs w:val="24"/>
        </w:rPr>
        <w:t>16.1.3 因发包人违约解除合同</w:t>
      </w:r>
    </w:p>
    <w:p w14:paraId="50095B33">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承包人按16.1.1项</w:t>
      </w:r>
      <w:r>
        <w:rPr>
          <w:rFonts w:hint="eastAsia" w:ascii="Times New Roman"/>
          <w:color w:val="000000"/>
          <w:sz w:val="24"/>
          <w:szCs w:val="24"/>
        </w:rPr>
        <w:t>〔</w:t>
      </w:r>
      <w:r>
        <w:rPr>
          <w:rFonts w:ascii="Times New Roman"/>
          <w:color w:val="000000"/>
          <w:sz w:val="24"/>
          <w:szCs w:val="24"/>
        </w:rPr>
        <w:t>发包人违约的情形</w:t>
      </w:r>
      <w:r>
        <w:rPr>
          <w:rFonts w:hint="eastAsia" w:ascii="Times New Roman"/>
          <w:color w:val="000000"/>
          <w:sz w:val="24"/>
          <w:szCs w:val="24"/>
        </w:rPr>
        <w:t>〕</w:t>
      </w:r>
      <w:r>
        <w:rPr>
          <w:rFonts w:ascii="Times New Roman"/>
          <w:color w:val="000000"/>
          <w:sz w:val="24"/>
          <w:szCs w:val="24"/>
        </w:rPr>
        <w:t>约定暂停施工满</w:t>
      </w:r>
      <w:r>
        <w:rPr>
          <w:rFonts w:hint="eastAsia" w:ascii="Times New Roman"/>
          <w:color w:val="000000"/>
          <w:sz w:val="24"/>
          <w:szCs w:val="24"/>
          <w:u w:val="single"/>
        </w:rPr>
        <w:t>28</w:t>
      </w:r>
      <w:r>
        <w:rPr>
          <w:rFonts w:ascii="Times New Roman"/>
          <w:color w:val="000000"/>
          <w:sz w:val="24"/>
          <w:szCs w:val="24"/>
        </w:rPr>
        <w:t>天后发包人仍不纠正其违约行为并致使合同目的不能实现的，承包人有权解除合同。</w:t>
      </w:r>
    </w:p>
    <w:p w14:paraId="7FB953F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16.2 承包人违约</w:t>
      </w:r>
    </w:p>
    <w:p w14:paraId="053CD99A">
      <w:pPr>
        <w:adjustRightInd w:val="0"/>
        <w:spacing w:line="360" w:lineRule="auto"/>
        <w:ind w:firstLine="480" w:firstLineChars="200"/>
        <w:rPr>
          <w:rFonts w:ascii="Times New Roman"/>
          <w:color w:val="000000"/>
          <w:sz w:val="24"/>
          <w:szCs w:val="24"/>
        </w:rPr>
      </w:pPr>
      <w:r>
        <w:rPr>
          <w:rFonts w:ascii="Times New Roman"/>
          <w:color w:val="000000"/>
          <w:sz w:val="24"/>
          <w:szCs w:val="24"/>
        </w:rPr>
        <w:t>16.2.1 承包人违约的情形</w:t>
      </w:r>
    </w:p>
    <w:p w14:paraId="0AE9EC2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6F714F3B">
      <w:pPr>
        <w:adjustRightInd w:val="0"/>
        <w:spacing w:line="360" w:lineRule="auto"/>
        <w:ind w:firstLine="480" w:firstLineChars="200"/>
        <w:rPr>
          <w:rFonts w:ascii="Times New Roman"/>
          <w:color w:val="000000"/>
          <w:sz w:val="24"/>
          <w:szCs w:val="24"/>
        </w:rPr>
      </w:pPr>
      <w:r>
        <w:rPr>
          <w:rFonts w:ascii="Times New Roman"/>
          <w:color w:val="000000"/>
          <w:sz w:val="24"/>
          <w:szCs w:val="24"/>
        </w:rPr>
        <w:t>16.2.2</w:t>
      </w:r>
      <w:r>
        <w:rPr>
          <w:rFonts w:hint="eastAsia" w:ascii="Times New Roman"/>
          <w:color w:val="000000"/>
          <w:sz w:val="24"/>
          <w:szCs w:val="24"/>
        </w:rPr>
        <w:t xml:space="preserve"> </w:t>
      </w:r>
      <w:r>
        <w:rPr>
          <w:rFonts w:ascii="Times New Roman"/>
          <w:color w:val="000000"/>
          <w:sz w:val="24"/>
          <w:szCs w:val="24"/>
        </w:rPr>
        <w:t>承包人违约的责任</w:t>
      </w:r>
    </w:p>
    <w:p w14:paraId="53DCBFC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承包人违约责任的承担方式和计算方法：</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304847DB">
      <w:pPr>
        <w:adjustRightInd w:val="0"/>
        <w:spacing w:line="360" w:lineRule="auto"/>
        <w:ind w:firstLine="480" w:firstLineChars="200"/>
        <w:rPr>
          <w:rFonts w:ascii="Times New Roman"/>
          <w:color w:val="000000"/>
          <w:sz w:val="24"/>
          <w:szCs w:val="24"/>
        </w:rPr>
      </w:pPr>
      <w:r>
        <w:rPr>
          <w:rFonts w:ascii="Times New Roman"/>
          <w:color w:val="000000"/>
          <w:sz w:val="24"/>
          <w:szCs w:val="24"/>
        </w:rPr>
        <w:t>16.2.3 因承包人违约解除合同</w:t>
      </w:r>
    </w:p>
    <w:p w14:paraId="284B016F">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关于承包人违约解除合同的特别约定：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7E0CBE1">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继续</w:t>
      </w:r>
      <w:r>
        <w:rPr>
          <w:rFonts w:ascii="Times New Roman"/>
          <w:color w:val="000000"/>
          <w:sz w:val="24"/>
          <w:szCs w:val="24"/>
        </w:rPr>
        <w:t>使用承包人在施工现场的材料、设备、临时工程、承包人文件和由承包人或以其名义编制的其他文件</w:t>
      </w:r>
      <w:r>
        <w:rPr>
          <w:rFonts w:hint="eastAsia" w:ascii="Times New Roman"/>
          <w:color w:val="000000"/>
          <w:sz w:val="24"/>
          <w:szCs w:val="24"/>
        </w:rPr>
        <w:t>的费用承担方式</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7861ACA2">
      <w:pPr>
        <w:spacing w:before="240" w:beforeLines="100" w:after="240" w:afterLines="100"/>
        <w:outlineLvl w:val="2"/>
        <w:rPr>
          <w:rFonts w:ascii="Times New Roman" w:eastAsia="黑体"/>
          <w:color w:val="000000"/>
          <w:sz w:val="24"/>
          <w:szCs w:val="24"/>
        </w:rPr>
      </w:pPr>
      <w:bookmarkStart w:id="581" w:name="_Toc351203649"/>
      <w:r>
        <w:rPr>
          <w:rFonts w:ascii="Times New Roman" w:eastAsia="黑体"/>
          <w:color w:val="000000"/>
          <w:sz w:val="24"/>
          <w:szCs w:val="24"/>
        </w:rPr>
        <w:t>17. 不可抗力</w:t>
      </w:r>
      <w:bookmarkEnd w:id="581"/>
      <w:r>
        <w:rPr>
          <w:rFonts w:ascii="Times New Roman" w:eastAsia="黑体"/>
          <w:color w:val="000000"/>
          <w:sz w:val="24"/>
          <w:szCs w:val="24"/>
        </w:rPr>
        <w:t xml:space="preserve"> </w:t>
      </w:r>
      <w:bookmarkEnd w:id="579"/>
    </w:p>
    <w:p w14:paraId="7111563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17.1 不可抗力的确认</w:t>
      </w:r>
    </w:p>
    <w:p w14:paraId="0E050DEC">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除通用合同条款约定的不可抗力事件之外，视为不可抗力的其他情形：</w:t>
      </w:r>
      <w:r>
        <w:rPr>
          <w:rFonts w:hint="eastAsia" w:ascii="Times New Roman"/>
          <w:color w:val="000000"/>
          <w:sz w:val="24"/>
          <w:szCs w:val="24"/>
          <w:u w:val="single"/>
        </w:rPr>
        <w:t>执行通用条款</w:t>
      </w:r>
      <w:r>
        <w:rPr>
          <w:rFonts w:ascii="Times New Roman"/>
          <w:color w:val="000000"/>
          <w:sz w:val="24"/>
          <w:szCs w:val="24"/>
        </w:rPr>
        <w:t>。</w:t>
      </w:r>
    </w:p>
    <w:p w14:paraId="794CA1D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17.4 因不可抗力解除合同</w:t>
      </w:r>
    </w:p>
    <w:p w14:paraId="4C36C68C">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合同解除后，发包人应在商定或确定发包人应支付款项后</w:t>
      </w:r>
      <w:r>
        <w:rPr>
          <w:rFonts w:hint="eastAsia" w:ascii="Times New Roman"/>
          <w:color w:val="000000"/>
          <w:sz w:val="24"/>
          <w:szCs w:val="24"/>
          <w:u w:val="single"/>
        </w:rPr>
        <w:t>28</w:t>
      </w:r>
      <w:r>
        <w:rPr>
          <w:rFonts w:ascii="Times New Roman"/>
          <w:color w:val="000000"/>
          <w:sz w:val="24"/>
          <w:szCs w:val="24"/>
        </w:rPr>
        <w:t>天内完成款项的支付。</w:t>
      </w:r>
    </w:p>
    <w:p w14:paraId="2A51CF2E">
      <w:pPr>
        <w:spacing w:before="240" w:beforeLines="100" w:after="240" w:afterLines="100"/>
        <w:outlineLvl w:val="2"/>
        <w:rPr>
          <w:rFonts w:ascii="Times New Roman" w:eastAsia="黑体"/>
          <w:color w:val="000000"/>
          <w:sz w:val="24"/>
          <w:szCs w:val="24"/>
        </w:rPr>
      </w:pPr>
      <w:bookmarkStart w:id="582" w:name="_Toc351203650"/>
      <w:r>
        <w:rPr>
          <w:rFonts w:ascii="Times New Roman" w:eastAsia="黑体"/>
          <w:color w:val="000000"/>
          <w:sz w:val="24"/>
          <w:szCs w:val="24"/>
        </w:rPr>
        <w:t>18. 保险</w:t>
      </w:r>
      <w:bookmarkEnd w:id="582"/>
    </w:p>
    <w:bookmarkEnd w:id="580"/>
    <w:p w14:paraId="6ED5401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18.1 工程保险</w:t>
      </w:r>
    </w:p>
    <w:p w14:paraId="7B87E15F">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关于工程保险的特别约定：</w:t>
      </w:r>
      <w:r>
        <w:rPr>
          <w:rFonts w:hint="eastAsia" w:ascii="Times New Roman"/>
          <w:b/>
          <w:color w:val="000000"/>
          <w:sz w:val="24"/>
          <w:szCs w:val="24"/>
          <w:u w:val="single"/>
        </w:rPr>
        <w:t xml:space="preserve">        </w:t>
      </w:r>
      <w:r>
        <w:rPr>
          <w:rFonts w:ascii="Times New Roman"/>
          <w:b/>
          <w:color w:val="000000"/>
          <w:sz w:val="24"/>
          <w:szCs w:val="24"/>
        </w:rPr>
        <w:t>。</w:t>
      </w:r>
    </w:p>
    <w:p w14:paraId="32B5135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18.3 其他保险</w:t>
      </w:r>
    </w:p>
    <w:p w14:paraId="76A2617D">
      <w:pPr>
        <w:adjustRightInd w:val="0"/>
        <w:spacing w:line="360" w:lineRule="auto"/>
        <w:ind w:firstLine="480" w:firstLineChars="200"/>
        <w:rPr>
          <w:rFonts w:ascii="Times New Roman"/>
          <w:color w:val="000000"/>
          <w:sz w:val="24"/>
          <w:szCs w:val="24"/>
        </w:rPr>
      </w:pPr>
      <w:r>
        <w:rPr>
          <w:rFonts w:ascii="Times New Roman"/>
          <w:color w:val="000000"/>
          <w:sz w:val="24"/>
          <w:szCs w:val="24"/>
        </w:rPr>
        <w:t>关于其他保险的约定：</w:t>
      </w:r>
      <w:r>
        <w:rPr>
          <w:rFonts w:hint="eastAsia" w:ascii="Times New Roman"/>
          <w:color w:val="000000"/>
          <w:sz w:val="24"/>
          <w:szCs w:val="24"/>
          <w:u w:val="single"/>
        </w:rPr>
        <w:t>承包人须为其施工现场的全部人员办理意外伤害保险并支付保险费，包括其员工及为履行合同聘请的第三方的人员</w:t>
      </w:r>
      <w:r>
        <w:rPr>
          <w:rFonts w:ascii="Times New Roman"/>
          <w:color w:val="000000"/>
          <w:sz w:val="24"/>
          <w:szCs w:val="24"/>
        </w:rPr>
        <w:t>。</w:t>
      </w:r>
    </w:p>
    <w:p w14:paraId="2FBAA3E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承包人是否应为其施工设备等办理财产保险：</w:t>
      </w:r>
      <w:r>
        <w:rPr>
          <w:rFonts w:hint="eastAsia" w:ascii="Times New Roman"/>
          <w:color w:val="000000"/>
          <w:sz w:val="24"/>
          <w:szCs w:val="24"/>
          <w:u w:val="single"/>
        </w:rPr>
        <w:t>执行通用条款</w:t>
      </w:r>
      <w:r>
        <w:rPr>
          <w:rFonts w:ascii="Times New Roman"/>
          <w:color w:val="000000"/>
          <w:sz w:val="24"/>
          <w:szCs w:val="24"/>
        </w:rPr>
        <w:t>。</w:t>
      </w:r>
    </w:p>
    <w:p w14:paraId="2308601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18.7 通知义务</w:t>
      </w:r>
    </w:p>
    <w:p w14:paraId="3F8EC22A">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关于变更保险合同时的通知义务的约定：</w:t>
      </w:r>
      <w:r>
        <w:rPr>
          <w:rFonts w:hint="eastAsia" w:ascii="Times New Roman"/>
          <w:color w:val="000000"/>
          <w:sz w:val="24"/>
          <w:szCs w:val="24"/>
          <w:u w:val="single"/>
        </w:rPr>
        <w:t>执行通用条款</w:t>
      </w:r>
      <w:r>
        <w:rPr>
          <w:rFonts w:ascii="Times New Roman"/>
          <w:color w:val="000000"/>
          <w:sz w:val="24"/>
          <w:szCs w:val="24"/>
        </w:rPr>
        <w:t>。</w:t>
      </w:r>
    </w:p>
    <w:bookmarkEnd w:id="556"/>
    <w:bookmarkEnd w:id="557"/>
    <w:bookmarkEnd w:id="558"/>
    <w:bookmarkEnd w:id="559"/>
    <w:bookmarkEnd w:id="560"/>
    <w:bookmarkEnd w:id="561"/>
    <w:bookmarkEnd w:id="562"/>
    <w:bookmarkEnd w:id="563"/>
    <w:bookmarkEnd w:id="564"/>
    <w:bookmarkEnd w:id="565"/>
    <w:bookmarkEnd w:id="566"/>
    <w:bookmarkEnd w:id="567"/>
    <w:p w14:paraId="275BCF48">
      <w:pPr>
        <w:spacing w:before="240" w:beforeLines="100" w:after="240" w:afterLines="100"/>
        <w:outlineLvl w:val="2"/>
        <w:rPr>
          <w:rFonts w:ascii="Times New Roman" w:eastAsia="黑体"/>
          <w:color w:val="000000"/>
          <w:sz w:val="24"/>
          <w:szCs w:val="24"/>
        </w:rPr>
      </w:pPr>
      <w:bookmarkStart w:id="583" w:name="_Toc351203651"/>
      <w:r>
        <w:rPr>
          <w:rFonts w:ascii="Times New Roman" w:eastAsia="黑体"/>
          <w:color w:val="000000"/>
          <w:sz w:val="24"/>
          <w:szCs w:val="24"/>
        </w:rPr>
        <w:t>20. 争议解决</w:t>
      </w:r>
      <w:bookmarkEnd w:id="583"/>
    </w:p>
    <w:bookmarkEnd w:id="568"/>
    <w:bookmarkEnd w:id="569"/>
    <w:p w14:paraId="659C430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20.3 争</w:t>
      </w:r>
      <w:bookmarkEnd w:id="570"/>
      <w:r>
        <w:rPr>
          <w:rFonts w:ascii="Times New Roman" w:eastAsia="黑体"/>
          <w:bCs/>
          <w:color w:val="000000"/>
          <w:sz w:val="24"/>
          <w:szCs w:val="24"/>
        </w:rPr>
        <w:t>议评审</w:t>
      </w:r>
    </w:p>
    <w:p w14:paraId="6397179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合同当事人是否同意将工程争议提交争议评审小组决</w:t>
      </w:r>
      <w:r>
        <w:rPr>
          <w:rFonts w:hint="eastAsia" w:ascii="Times New Roman"/>
          <w:color w:val="000000"/>
          <w:sz w:val="24"/>
          <w:szCs w:val="24"/>
        </w:rPr>
        <w:t>定：</w:t>
      </w:r>
      <w:r>
        <w:rPr>
          <w:rFonts w:hint="eastAsia" w:ascii="Times New Roman"/>
          <w:color w:val="000000"/>
          <w:sz w:val="24"/>
          <w:szCs w:val="24"/>
          <w:u w:val="single"/>
        </w:rPr>
        <w:t xml:space="preserve">                   </w:t>
      </w:r>
      <w:r>
        <w:rPr>
          <w:rFonts w:hint="eastAsia" w:ascii="Times New Roman"/>
          <w:color w:val="000000"/>
          <w:sz w:val="24"/>
          <w:szCs w:val="24"/>
        </w:rPr>
        <w:t>。</w:t>
      </w:r>
    </w:p>
    <w:p w14:paraId="4AF7140D">
      <w:pPr>
        <w:adjustRightInd w:val="0"/>
        <w:spacing w:line="360" w:lineRule="auto"/>
        <w:ind w:firstLine="480" w:firstLineChars="200"/>
        <w:rPr>
          <w:rFonts w:ascii="Times New Roman"/>
          <w:color w:val="000000"/>
          <w:sz w:val="24"/>
          <w:szCs w:val="24"/>
        </w:rPr>
      </w:pPr>
      <w:r>
        <w:rPr>
          <w:rFonts w:ascii="Times New Roman"/>
          <w:color w:val="000000"/>
          <w:sz w:val="24"/>
          <w:szCs w:val="24"/>
        </w:rPr>
        <w:t>20.3.1 争议评审小组的确定</w:t>
      </w:r>
    </w:p>
    <w:p w14:paraId="5EC904E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争议评审小组成员的确定：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4E15F2F">
      <w:pPr>
        <w:adjustRightInd w:val="0"/>
        <w:spacing w:line="360" w:lineRule="auto"/>
        <w:ind w:firstLine="480" w:firstLineChars="200"/>
        <w:rPr>
          <w:rFonts w:ascii="Times New Roman"/>
          <w:color w:val="000000"/>
          <w:sz w:val="24"/>
          <w:szCs w:val="24"/>
        </w:rPr>
      </w:pPr>
      <w:r>
        <w:rPr>
          <w:rFonts w:ascii="Times New Roman"/>
          <w:color w:val="000000"/>
          <w:sz w:val="24"/>
          <w:szCs w:val="24"/>
        </w:rPr>
        <w:t>选定争议评审员的期限：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688755C">
      <w:pPr>
        <w:adjustRightInd w:val="0"/>
        <w:spacing w:line="360" w:lineRule="auto"/>
        <w:ind w:firstLine="480" w:firstLineChars="200"/>
        <w:rPr>
          <w:rFonts w:ascii="Times New Roman"/>
          <w:color w:val="000000"/>
          <w:sz w:val="24"/>
          <w:szCs w:val="24"/>
        </w:rPr>
      </w:pPr>
      <w:r>
        <w:rPr>
          <w:rFonts w:ascii="Times New Roman"/>
          <w:color w:val="000000"/>
          <w:sz w:val="24"/>
          <w:szCs w:val="24"/>
        </w:rPr>
        <w:t>争议评审小组成员的报酬承担方式：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6393F25">
      <w:pPr>
        <w:adjustRightInd w:val="0"/>
        <w:spacing w:line="360" w:lineRule="auto"/>
        <w:ind w:firstLine="480" w:firstLineChars="200"/>
        <w:rPr>
          <w:rFonts w:ascii="Times New Roman"/>
          <w:color w:val="000000"/>
          <w:sz w:val="24"/>
          <w:szCs w:val="24"/>
        </w:rPr>
      </w:pPr>
      <w:r>
        <w:rPr>
          <w:rFonts w:ascii="Times New Roman"/>
          <w:color w:val="000000"/>
          <w:sz w:val="24"/>
          <w:szCs w:val="24"/>
        </w:rPr>
        <w:t>其他事项的约定：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9138692">
      <w:pPr>
        <w:adjustRightInd w:val="0"/>
        <w:spacing w:line="360" w:lineRule="auto"/>
        <w:ind w:firstLine="480" w:firstLineChars="200"/>
        <w:rPr>
          <w:rFonts w:ascii="Times New Roman"/>
          <w:color w:val="000000"/>
          <w:sz w:val="24"/>
          <w:szCs w:val="24"/>
        </w:rPr>
      </w:pPr>
      <w:r>
        <w:rPr>
          <w:rFonts w:ascii="Times New Roman"/>
          <w:color w:val="000000"/>
          <w:sz w:val="24"/>
          <w:szCs w:val="24"/>
        </w:rPr>
        <w:t>20.3.2 争议评审小组的决定</w:t>
      </w:r>
    </w:p>
    <w:p w14:paraId="55176EBA">
      <w:pPr>
        <w:adjustRightInd w:val="0"/>
        <w:spacing w:line="360" w:lineRule="auto"/>
        <w:ind w:firstLine="480" w:firstLineChars="200"/>
        <w:rPr>
          <w:rFonts w:ascii="Times New Roman"/>
          <w:color w:val="000000"/>
          <w:sz w:val="24"/>
          <w:szCs w:val="24"/>
        </w:rPr>
      </w:pPr>
      <w:r>
        <w:rPr>
          <w:rFonts w:ascii="Times New Roman"/>
          <w:color w:val="000000"/>
          <w:sz w:val="24"/>
          <w:szCs w:val="24"/>
        </w:rPr>
        <w:t>合同当事人关于本项的约定：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DFCD3E1">
      <w:pPr>
        <w:keepNext/>
        <w:keepLines/>
        <w:spacing w:before="120" w:after="120" w:line="360" w:lineRule="auto"/>
        <w:ind w:firstLine="480" w:firstLineChars="200"/>
        <w:outlineLvl w:val="3"/>
        <w:rPr>
          <w:rFonts w:hint="eastAsia" w:ascii="Times New Roman" w:eastAsia="黑体"/>
          <w:bCs/>
          <w:color w:val="000000"/>
          <w:sz w:val="24"/>
          <w:szCs w:val="24"/>
        </w:rPr>
      </w:pPr>
      <w:r>
        <w:rPr>
          <w:rFonts w:ascii="Times New Roman" w:eastAsia="黑体"/>
          <w:bCs/>
          <w:color w:val="000000"/>
          <w:sz w:val="24"/>
          <w:szCs w:val="24"/>
        </w:rPr>
        <w:t>20.4</w:t>
      </w:r>
      <w:r>
        <w:rPr>
          <w:rFonts w:hint="eastAsia" w:ascii="Times New Roman" w:eastAsia="黑体"/>
          <w:bCs/>
          <w:color w:val="000000"/>
          <w:sz w:val="24"/>
          <w:szCs w:val="24"/>
        </w:rPr>
        <w:t xml:space="preserve"> </w:t>
      </w:r>
      <w:r>
        <w:rPr>
          <w:rFonts w:ascii="Times New Roman" w:eastAsia="黑体"/>
          <w:bCs/>
          <w:color w:val="000000"/>
          <w:sz w:val="24"/>
          <w:szCs w:val="24"/>
        </w:rPr>
        <w:t>仲裁或诉讼</w:t>
      </w:r>
      <w:bookmarkEnd w:id="571"/>
    </w:p>
    <w:p w14:paraId="4BAA81B7">
      <w:pPr>
        <w:adjustRightInd w:val="0"/>
        <w:spacing w:line="360" w:lineRule="auto"/>
        <w:ind w:firstLine="480" w:firstLineChars="200"/>
        <w:rPr>
          <w:rFonts w:ascii="Times New Roman"/>
          <w:color w:val="000000"/>
          <w:sz w:val="24"/>
          <w:szCs w:val="24"/>
        </w:rPr>
      </w:pPr>
      <w:r>
        <w:rPr>
          <w:rFonts w:ascii="Times New Roman"/>
          <w:color w:val="000000"/>
          <w:sz w:val="24"/>
          <w:szCs w:val="24"/>
        </w:rPr>
        <w:t>因合同及合同有关事项发生的争议，按下列第</w:t>
      </w:r>
      <w:r>
        <w:rPr>
          <w:rFonts w:hint="eastAsia" w:ascii="Times New Roman"/>
          <w:color w:val="000000"/>
          <w:sz w:val="24"/>
          <w:szCs w:val="24"/>
          <w:u w:val="single"/>
        </w:rPr>
        <w:t xml:space="preserve">      </w:t>
      </w:r>
      <w:r>
        <w:rPr>
          <w:rFonts w:ascii="Times New Roman"/>
          <w:color w:val="000000"/>
          <w:sz w:val="24"/>
          <w:szCs w:val="24"/>
        </w:rPr>
        <w:t>种方式</w:t>
      </w:r>
      <w:r>
        <w:rPr>
          <w:rFonts w:hint="eastAsia" w:ascii="Times New Roman"/>
          <w:color w:val="000000"/>
          <w:sz w:val="24"/>
          <w:szCs w:val="24"/>
        </w:rPr>
        <w:t>解</w:t>
      </w:r>
      <w:r>
        <w:rPr>
          <w:rFonts w:ascii="Times New Roman"/>
          <w:color w:val="000000"/>
          <w:sz w:val="24"/>
          <w:szCs w:val="24"/>
        </w:rPr>
        <w:t>决：</w:t>
      </w:r>
    </w:p>
    <w:p w14:paraId="2FCA7463">
      <w:pPr>
        <w:adjustRightInd w:val="0"/>
        <w:spacing w:line="360" w:lineRule="auto"/>
        <w:ind w:firstLine="480" w:firstLineChars="200"/>
        <w:rPr>
          <w:rFonts w:ascii="Times New Roman"/>
          <w:color w:val="000000"/>
          <w:sz w:val="24"/>
          <w:szCs w:val="24"/>
        </w:rPr>
      </w:pPr>
      <w:r>
        <w:rPr>
          <w:rFonts w:ascii="Times New Roman"/>
          <w:color w:val="000000"/>
          <w:sz w:val="24"/>
          <w:szCs w:val="24"/>
        </w:rPr>
        <w:t>（1）向</w:t>
      </w:r>
      <w:r>
        <w:rPr>
          <w:rFonts w:hint="eastAsia" w:ascii="Times New Roman"/>
          <w:color w:val="000000"/>
          <w:sz w:val="24"/>
          <w:szCs w:val="24"/>
          <w:u w:val="single"/>
        </w:rPr>
        <w:t xml:space="preserve">        </w:t>
      </w:r>
      <w:r>
        <w:rPr>
          <w:rFonts w:ascii="Times New Roman"/>
          <w:color w:val="000000"/>
          <w:sz w:val="24"/>
          <w:szCs w:val="24"/>
        </w:rPr>
        <w:t>仲裁委员会申请仲裁；</w:t>
      </w:r>
    </w:p>
    <w:p w14:paraId="13CE79C9">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（2）向</w:t>
      </w:r>
      <w:r>
        <w:rPr>
          <w:rFonts w:hint="eastAsia" w:ascii="Times New Roman"/>
          <w:color w:val="000000"/>
          <w:sz w:val="24"/>
          <w:szCs w:val="24"/>
          <w:u w:val="single"/>
        </w:rPr>
        <w:t xml:space="preserve">        </w:t>
      </w:r>
      <w:r>
        <w:rPr>
          <w:rFonts w:ascii="Times New Roman"/>
          <w:color w:val="000000"/>
          <w:sz w:val="24"/>
          <w:szCs w:val="24"/>
        </w:rPr>
        <w:t>人民法院起诉。</w:t>
      </w:r>
      <w:bookmarkEnd w:id="572"/>
      <w:bookmarkEnd w:id="573"/>
      <w:bookmarkEnd w:id="574"/>
      <w:bookmarkEnd w:id="575"/>
      <w:bookmarkEnd w:id="576"/>
      <w:bookmarkEnd w:id="577"/>
    </w:p>
    <w:p w14:paraId="018C00BB">
      <w:pPr>
        <w:spacing w:before="240" w:beforeLines="100" w:after="240" w:afterLines="100"/>
        <w:outlineLvl w:val="2"/>
        <w:rPr>
          <w:rFonts w:ascii="Times New Roman" w:eastAsia="黑体"/>
          <w:color w:val="000000"/>
          <w:sz w:val="24"/>
          <w:szCs w:val="24"/>
        </w:rPr>
      </w:pPr>
      <w:r>
        <w:rPr>
          <w:rFonts w:hint="eastAsia" w:ascii="Times New Roman" w:eastAsia="黑体"/>
          <w:color w:val="000000"/>
          <w:sz w:val="24"/>
          <w:szCs w:val="24"/>
        </w:rPr>
        <w:t>21. 补充条款</w:t>
      </w:r>
      <w:r>
        <w:rPr>
          <w:rFonts w:ascii="Times New Roman" w:eastAsia="黑体"/>
          <w:color w:val="000000"/>
          <w:sz w:val="24"/>
          <w:szCs w:val="24"/>
        </w:rPr>
        <w:t xml:space="preserve"> </w:t>
      </w:r>
    </w:p>
    <w:p w14:paraId="41042DC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本补充条款是专用条款的一部分，其解释顺序优先于专用条款内的其他条款。</w:t>
      </w:r>
    </w:p>
    <w:p w14:paraId="2FE3123B">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1.1</w:t>
      </w:r>
      <w:r>
        <w:rPr>
          <w:rFonts w:hint="eastAsia" w:ascii="Times New Roman" w:eastAsia="黑体"/>
          <w:bCs/>
          <w:color w:val="000000"/>
          <w:sz w:val="24"/>
          <w:szCs w:val="24"/>
        </w:rPr>
        <w:t xml:space="preserve"> 人员及职责</w:t>
      </w:r>
    </w:p>
    <w:p w14:paraId="1DC4086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 xml:space="preserve"> 发包人委派的发包人代表或监理工程师（以下简称“工程师”）无权更改合同，也无权解除发包人和承包人的义务和责任。</w:t>
      </w:r>
    </w:p>
    <w:p w14:paraId="1C3E4B4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1.1.2</w:t>
      </w:r>
      <w:r>
        <w:rPr>
          <w:rFonts w:hint="eastAsia" w:ascii="Times New Roman"/>
          <w:color w:val="000000"/>
          <w:sz w:val="24"/>
          <w:szCs w:val="24"/>
        </w:rPr>
        <w:t xml:space="preserve"> 发包人代表的任何批准、检查、证书、同意、通知、建议、检验、指令和要求等不解除承包人在合同中的责任。</w:t>
      </w:r>
    </w:p>
    <w:p w14:paraId="57C97B6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1.1.3</w:t>
      </w:r>
      <w:r>
        <w:rPr>
          <w:rFonts w:hint="eastAsia" w:ascii="Times New Roman"/>
          <w:color w:val="000000"/>
          <w:sz w:val="24"/>
          <w:szCs w:val="24"/>
        </w:rPr>
        <w:t xml:space="preserve"> 承包人只能从发包人代表或其授权代表处接受指令。</w:t>
      </w:r>
    </w:p>
    <w:p w14:paraId="6C5D3F3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1.1.4</w:t>
      </w:r>
      <w:r>
        <w:rPr>
          <w:rFonts w:hint="eastAsia" w:ascii="Times New Roman"/>
          <w:color w:val="000000"/>
          <w:sz w:val="24"/>
          <w:szCs w:val="24"/>
        </w:rPr>
        <w:t xml:space="preserve"> 发包人如需更换发包人代表须提前</w:t>
      </w:r>
      <w:r>
        <w:rPr>
          <w:rFonts w:ascii="Times New Roman"/>
          <w:color w:val="000000"/>
          <w:sz w:val="24"/>
          <w:szCs w:val="24"/>
        </w:rPr>
        <w:t>7</w:t>
      </w:r>
      <w:r>
        <w:rPr>
          <w:rFonts w:hint="eastAsia" w:ascii="Times New Roman"/>
          <w:color w:val="000000"/>
          <w:sz w:val="24"/>
          <w:szCs w:val="24"/>
        </w:rPr>
        <w:t>天通知承包人。</w:t>
      </w:r>
    </w:p>
    <w:p w14:paraId="429D432E">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1.1.5</w:t>
      </w:r>
      <w:r>
        <w:rPr>
          <w:rFonts w:hint="eastAsia" w:ascii="Times New Roman"/>
          <w:color w:val="000000"/>
          <w:sz w:val="24"/>
          <w:szCs w:val="24"/>
        </w:rPr>
        <w:t xml:space="preserve"> 承包人委任的项目经理、项目技术负责人、各专业负责人（其他主要管理人员和技术人员）及施工机械等在整个项目施工期内必须在位。</w:t>
      </w:r>
    </w:p>
    <w:p w14:paraId="012FD01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承包人的项目经理离开现场的，须经发包人代表同意，并书面指定临时代表，代为行使项目经理的权力；该临时代表的一切行为，甲方均认为是项目经理的行为。</w:t>
      </w:r>
    </w:p>
    <w:p w14:paraId="7C37411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6 承包人提交发包人的任何文件，发包人都认为该文件已经承包人内部程序批准；承包人提交的文件发生修改的，应及时将最新版本提交发包人代表。</w:t>
      </w:r>
    </w:p>
    <w:p w14:paraId="7C08DE3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7 承包人应始终采取一切合理防范措施来避免在项目人员内部发生违法、动乱或妨碍治安的行为，保持项目的安定；并保护好现场和周围的人员和财产安全。</w:t>
      </w:r>
    </w:p>
    <w:p w14:paraId="643C969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8 承包人雇佣职员或工人应遵守相关法律法规的规定。</w:t>
      </w:r>
    </w:p>
    <w:p w14:paraId="2D4CA58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9 参与本项目的承包人代表或其雇员不遵守合同规定或一贯行为不轨或不能胜任工作或危害安全，发包人代表有权要求更换；原人选未经发包人许可不得再进入本项目（包括项目经理在内）。</w:t>
      </w:r>
    </w:p>
    <w:p w14:paraId="54A0C9A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0 承包人更换项目经理的，须提前</w:t>
      </w:r>
      <w:r>
        <w:rPr>
          <w:rFonts w:ascii="Times New Roman"/>
          <w:color w:val="000000"/>
          <w:sz w:val="24"/>
          <w:szCs w:val="24"/>
        </w:rPr>
        <w:t>14</w:t>
      </w:r>
      <w:r>
        <w:rPr>
          <w:rFonts w:hint="eastAsia" w:ascii="Times New Roman"/>
          <w:color w:val="000000"/>
          <w:sz w:val="24"/>
          <w:szCs w:val="24"/>
        </w:rPr>
        <w:t>天通知发包人，并征得发包人同意；该行为视为违约，承包人须支付发包人</w:t>
      </w:r>
      <w:r>
        <w:rPr>
          <w:rFonts w:ascii="Times New Roman"/>
          <w:color w:val="000000"/>
          <w:sz w:val="24"/>
          <w:szCs w:val="24"/>
          <w:u w:val="single"/>
        </w:rPr>
        <w:t xml:space="preserve">     </w:t>
      </w:r>
      <w:r>
        <w:rPr>
          <w:rFonts w:hint="eastAsia" w:ascii="Times New Roman"/>
          <w:color w:val="000000"/>
          <w:sz w:val="24"/>
          <w:szCs w:val="24"/>
        </w:rPr>
        <w:t>万元违约金。更换后的项目经理资历、水平不得降低。</w:t>
      </w:r>
    </w:p>
    <w:p w14:paraId="5DA89E36">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1.2</w:t>
      </w:r>
      <w:r>
        <w:rPr>
          <w:rFonts w:hint="eastAsia" w:ascii="Times New Roman" w:eastAsia="黑体"/>
          <w:bCs/>
          <w:color w:val="000000"/>
          <w:sz w:val="24"/>
          <w:szCs w:val="24"/>
        </w:rPr>
        <w:t xml:space="preserve"> 变更与调整</w:t>
      </w:r>
    </w:p>
    <w:p w14:paraId="0604948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1.2.1</w:t>
      </w:r>
      <w:r>
        <w:rPr>
          <w:rFonts w:hint="eastAsia" w:ascii="Times New Roman"/>
          <w:color w:val="000000"/>
          <w:sz w:val="24"/>
          <w:szCs w:val="24"/>
        </w:rPr>
        <w:t xml:space="preserve"> 在工程移交前，发包人代表有权签发变更指令，承包人应按照指令来实施变更，并进行工期和费用的估算，提交发包人代表。</w:t>
      </w:r>
    </w:p>
    <w:p w14:paraId="4DFD785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1.2.2</w:t>
      </w:r>
      <w:r>
        <w:rPr>
          <w:rFonts w:hint="eastAsia" w:ascii="Times New Roman"/>
          <w:color w:val="000000"/>
          <w:sz w:val="24"/>
          <w:szCs w:val="24"/>
        </w:rPr>
        <w:t xml:space="preserve"> 发包人代表收到承包人的估算后，可以决定撤销、修改或确认实施该项变更。</w:t>
      </w:r>
    </w:p>
    <w:p w14:paraId="24712A4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1.2.3</w:t>
      </w:r>
      <w:r>
        <w:rPr>
          <w:rFonts w:hint="eastAsia" w:ascii="Times New Roman"/>
          <w:color w:val="000000"/>
          <w:sz w:val="24"/>
          <w:szCs w:val="24"/>
        </w:rPr>
        <w:t xml:space="preserve"> 如果承包人认为自己的建议能缩短工期、降低工程实施或运营成本，或对业主产生其他利益，可以向发包人代表提交建议书；建议书的编制费用自理。</w:t>
      </w:r>
    </w:p>
    <w:p w14:paraId="78AF37E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1.2.4</w:t>
      </w:r>
      <w:r>
        <w:rPr>
          <w:rFonts w:hint="eastAsia" w:ascii="Times New Roman"/>
          <w:color w:val="000000"/>
          <w:sz w:val="24"/>
          <w:szCs w:val="24"/>
        </w:rPr>
        <w:t xml:space="preserve"> 如果发包人采纳承包人的建议节省了工程费用，将给予承包人节约费用适当比例的奖励。</w:t>
      </w:r>
    </w:p>
    <w:p w14:paraId="4D34909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1.2.5</w:t>
      </w:r>
      <w:r>
        <w:rPr>
          <w:rFonts w:hint="eastAsia" w:ascii="Times New Roman"/>
          <w:color w:val="000000"/>
          <w:sz w:val="24"/>
          <w:szCs w:val="24"/>
        </w:rPr>
        <w:t xml:space="preserve"> 上一款中节省费用的计算方法为：降低的合同额度减去因变更而引起在工程质量、寿命、以及运营效率等方面为发包人带来的潜在损失。</w:t>
      </w:r>
    </w:p>
    <w:p w14:paraId="3B01869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1.2.6</w:t>
      </w:r>
      <w:r>
        <w:rPr>
          <w:rFonts w:hint="eastAsia" w:ascii="Times New Roman"/>
          <w:color w:val="000000"/>
          <w:sz w:val="24"/>
          <w:szCs w:val="24"/>
        </w:rPr>
        <w:t xml:space="preserve"> 任何变更指令都应由发包人代表签发给承包人，承包人收到后应回函说明；涉及费用调整的，按照相关条款执行。</w:t>
      </w:r>
    </w:p>
    <w:p w14:paraId="6980167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1.2.7</w:t>
      </w:r>
      <w:r>
        <w:rPr>
          <w:rFonts w:hint="eastAsia" w:ascii="Times New Roman"/>
          <w:color w:val="000000"/>
          <w:sz w:val="24"/>
          <w:szCs w:val="24"/>
        </w:rPr>
        <w:t xml:space="preserve"> 设计文件示意内容的尺寸做法、要求等标注有错误、有遗漏，或理解不一致，发包人或其委托的勘察设计单位根据工程施工需要而对其进行更正和补充的，称为技术核定；技术核定不调整合同价款，也不调整工期。</w:t>
      </w:r>
    </w:p>
    <w:p w14:paraId="1D6474F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1.2.8</w:t>
      </w:r>
      <w:r>
        <w:rPr>
          <w:rFonts w:hint="eastAsia" w:ascii="Times New Roman"/>
          <w:color w:val="000000"/>
          <w:sz w:val="24"/>
          <w:szCs w:val="24"/>
        </w:rPr>
        <w:t xml:space="preserve"> 未经发包人代表批准，承包人不得对工程进行任何变更。</w:t>
      </w:r>
    </w:p>
    <w:p w14:paraId="119BD38D">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1.3</w:t>
      </w:r>
      <w:r>
        <w:rPr>
          <w:rFonts w:hint="eastAsia" w:ascii="Times New Roman" w:eastAsia="黑体"/>
          <w:bCs/>
          <w:color w:val="000000"/>
          <w:sz w:val="24"/>
          <w:szCs w:val="24"/>
        </w:rPr>
        <w:t xml:space="preserve"> 分包与配合</w:t>
      </w:r>
    </w:p>
    <w:p w14:paraId="71F58ED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1.3.1</w:t>
      </w:r>
      <w:r>
        <w:rPr>
          <w:rFonts w:hint="eastAsia" w:ascii="Times New Roman"/>
          <w:color w:val="000000"/>
          <w:sz w:val="24"/>
          <w:szCs w:val="24"/>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07020FE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1.3.2</w:t>
      </w:r>
      <w:r>
        <w:rPr>
          <w:rFonts w:hint="eastAsia" w:ascii="Times New Roman"/>
          <w:color w:val="000000"/>
          <w:sz w:val="24"/>
          <w:szCs w:val="24"/>
        </w:rPr>
        <w:t xml:space="preserve"> 发包人分包的专业工程范围如下：</w:t>
      </w:r>
      <w:r>
        <w:rPr>
          <w:rFonts w:ascii="Times New Roman"/>
          <w:color w:val="000000"/>
          <w:sz w:val="24"/>
          <w:szCs w:val="24"/>
        </w:rPr>
        <w:t xml:space="preserve"> </w:t>
      </w:r>
    </w:p>
    <w:p w14:paraId="6888068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6CA9442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2C78F05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1.3.3</w:t>
      </w:r>
      <w:r>
        <w:rPr>
          <w:rFonts w:hint="eastAsia" w:ascii="Times New Roman"/>
          <w:color w:val="000000"/>
          <w:sz w:val="24"/>
          <w:szCs w:val="24"/>
        </w:rPr>
        <w:t xml:space="preserve"> 发包人通过招标方式选择专业工程分包施工单位，承包人参与分包工程的招标，认可招标结果，并作为总包单位与分包工程的中标人（以下简称“分包人”）签订工程分包施工合同。</w:t>
      </w:r>
    </w:p>
    <w:p w14:paraId="09B358A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1.3.4</w:t>
      </w:r>
      <w:r>
        <w:rPr>
          <w:rFonts w:hint="eastAsia" w:ascii="Times New Roman"/>
          <w:color w:val="000000"/>
          <w:sz w:val="24"/>
          <w:szCs w:val="24"/>
        </w:rPr>
        <w:t xml:space="preserve"> 发包人支付给承包人专业分包工程合同价款（不含设备价格）的</w:t>
      </w:r>
      <w:r>
        <w:rPr>
          <w:rFonts w:ascii="Times New Roman"/>
          <w:color w:val="000000"/>
          <w:sz w:val="24"/>
          <w:szCs w:val="24"/>
          <w:u w:val="single"/>
        </w:rPr>
        <w:t xml:space="preserve">   %</w:t>
      </w:r>
      <w:r>
        <w:rPr>
          <w:rFonts w:hint="eastAsia" w:ascii="Times New Roman"/>
          <w:color w:val="000000"/>
          <w:sz w:val="24"/>
          <w:szCs w:val="24"/>
        </w:rPr>
        <w:t>作为总承包服务配合费用，承包人不得向分包人收取其他费用；该项费用包括但不限于以下内容：</w:t>
      </w:r>
    </w:p>
    <w:p w14:paraId="5A8D6EC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）乙方承担总包责任所发生的费用。</w:t>
      </w:r>
    </w:p>
    <w:p w14:paraId="79C31A51">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）“分包工程”施工完毕、土建工程的收尾和修复以及使用承包人的施工所用水电管线等费用（水电费用装表计量，按照实际用量结算）。</w:t>
      </w:r>
    </w:p>
    <w:p w14:paraId="4F8880F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）分包人使用承包人现场临时工程及在用的脚手架、塔吊、施工电梯等费用。</w:t>
      </w:r>
    </w:p>
    <w:p w14:paraId="29543F4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4</w:t>
      </w:r>
      <w:r>
        <w:rPr>
          <w:rFonts w:hint="eastAsia" w:ascii="Times New Roman"/>
          <w:color w:val="000000"/>
          <w:sz w:val="24"/>
          <w:szCs w:val="24"/>
        </w:rPr>
        <w:t>）分包人使用工程的施工道路，到总包单位搭伙，使用总包单位的卫生间等。</w:t>
      </w:r>
    </w:p>
    <w:p w14:paraId="22DBCA7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5</w:t>
      </w:r>
      <w:r>
        <w:rPr>
          <w:rFonts w:hint="eastAsia" w:ascii="Times New Roman"/>
          <w:color w:val="000000"/>
          <w:sz w:val="24"/>
          <w:szCs w:val="24"/>
        </w:rPr>
        <w:t>）门窗洞口、安装工程管道口、楼地面墙面凿洞、槽等的后塞及修补等，以及整个工程的安全保卫等。</w:t>
      </w:r>
    </w:p>
    <w:p w14:paraId="0C05E20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6</w:t>
      </w:r>
      <w:r>
        <w:rPr>
          <w:rFonts w:hint="eastAsia" w:ascii="Times New Roman"/>
          <w:color w:val="000000"/>
          <w:sz w:val="24"/>
          <w:szCs w:val="24"/>
        </w:rPr>
        <w:t>）为分包人提供标高、轴线、定位，隐蔽工程指引等。</w:t>
      </w:r>
    </w:p>
    <w:p w14:paraId="4CFEB57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7</w:t>
      </w:r>
      <w:r>
        <w:rPr>
          <w:rFonts w:hint="eastAsia" w:ascii="Times New Roman"/>
          <w:color w:val="000000"/>
          <w:sz w:val="24"/>
          <w:szCs w:val="24"/>
        </w:rPr>
        <w:t>）分包人的工程资料收集整理和移交；工程质量的检验和验收。</w:t>
      </w:r>
    </w:p>
    <w:p w14:paraId="0EA73C5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8</w:t>
      </w:r>
      <w:r>
        <w:rPr>
          <w:rFonts w:hint="eastAsia" w:ascii="Times New Roman"/>
          <w:color w:val="000000"/>
          <w:sz w:val="24"/>
          <w:szCs w:val="24"/>
        </w:rPr>
        <w:t>）保证分包工程在施工期间有足够的工作面，保证其按时开工和连续施工，并承担因乙方原因使分包工程不能按时开工和配合不及时造成的工期延误责任。</w:t>
      </w:r>
    </w:p>
    <w:p w14:paraId="5D6800F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1.3.5</w:t>
      </w:r>
      <w:r>
        <w:rPr>
          <w:rFonts w:hint="eastAsia" w:ascii="Times New Roman"/>
          <w:color w:val="000000"/>
          <w:sz w:val="24"/>
          <w:szCs w:val="24"/>
        </w:rPr>
        <w:t xml:space="preserve"> 配合工程：是指某一位于施工现场内或现场外的工程，并非由承包人施工或总包，但与承包人的工程有一定联系，需要承包人配合的工程；配合工程如下：</w:t>
      </w:r>
    </w:p>
    <w:p w14:paraId="55DC5421">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7AB0F38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0590638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1.3.6</w:t>
      </w:r>
      <w:r>
        <w:rPr>
          <w:rFonts w:hint="eastAsia" w:ascii="Times New Roman"/>
          <w:color w:val="000000"/>
          <w:sz w:val="24"/>
          <w:szCs w:val="24"/>
        </w:rPr>
        <w:t xml:space="preserve"> 对于配合工程，承包人除不需要承办总包责任外，其他责任和义务同分包工程；发包人给予承包人</w:t>
      </w:r>
      <w:r>
        <w:rPr>
          <w:rFonts w:ascii="Times New Roman"/>
          <w:color w:val="000000"/>
          <w:sz w:val="24"/>
          <w:szCs w:val="24"/>
          <w:u w:val="single"/>
        </w:rPr>
        <w:t xml:space="preserve">    </w:t>
      </w:r>
      <w:r>
        <w:rPr>
          <w:rFonts w:hint="eastAsia" w:ascii="Times New Roman"/>
          <w:color w:val="000000"/>
          <w:sz w:val="24"/>
          <w:szCs w:val="24"/>
        </w:rPr>
        <w:t>万元作为承包人承担配合工作的配合费用。</w:t>
      </w:r>
    </w:p>
    <w:p w14:paraId="4B3BDB9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1.3.7</w:t>
      </w:r>
      <w:r>
        <w:rPr>
          <w:rFonts w:hint="eastAsia" w:ascii="Times New Roman"/>
          <w:color w:val="000000"/>
          <w:sz w:val="24"/>
          <w:szCs w:val="24"/>
        </w:rPr>
        <w:t xml:space="preserve"> 凡在与已交工工程有关联的部位施工时，必须提前向甲方提出书面联系单，经甲方同意，并签字后方可施工。</w:t>
      </w:r>
    </w:p>
    <w:p w14:paraId="14CAD228">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1.4</w:t>
      </w:r>
      <w:r>
        <w:rPr>
          <w:rFonts w:hint="eastAsia" w:ascii="Times New Roman" w:eastAsia="黑体"/>
          <w:bCs/>
          <w:color w:val="000000"/>
          <w:sz w:val="24"/>
          <w:szCs w:val="24"/>
        </w:rPr>
        <w:t xml:space="preserve"> 结算</w:t>
      </w:r>
    </w:p>
    <w:p w14:paraId="4F7716E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1.4.1</w:t>
      </w:r>
      <w:r>
        <w:rPr>
          <w:rFonts w:hint="eastAsia" w:ascii="Times New Roman"/>
          <w:color w:val="000000"/>
          <w:sz w:val="24"/>
          <w:szCs w:val="24"/>
        </w:rPr>
        <w:t xml:space="preserve"> 承包人的投标报价（合同价款）是承包人基于业主提供的资料和现场数据及承包人的解释和现场考察计算出来的，覆盖了完成合同义务所包括的一切工作，不得以漏项或考虑不周提出索赔。</w:t>
      </w:r>
    </w:p>
    <w:p w14:paraId="365EE3F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1.4.2</w:t>
      </w:r>
      <w:r>
        <w:rPr>
          <w:rFonts w:hint="eastAsia" w:ascii="Times New Roman"/>
          <w:color w:val="000000"/>
          <w:sz w:val="24"/>
          <w:szCs w:val="24"/>
        </w:rPr>
        <w:t xml:space="preserve"> 水电费的结算：</w:t>
      </w:r>
    </w:p>
    <w:p w14:paraId="3FD0B3F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）发包人在现场安装计量装置，承包人负责施工期间的保护，并在工程移交的同时完好地移交给发包人。</w:t>
      </w:r>
    </w:p>
    <w:p w14:paraId="1C4FC3C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）承包人投标报价已经包含水电费用，工程结算时按照发包人实际缴纳的水电费在结算价（税前）中扣除。</w:t>
      </w:r>
    </w:p>
    <w:p w14:paraId="63EF5BA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）因承包人保护不善造成计量装置损坏，承包人负责修复，并承担由此造成的增加费用（包括修复费用和水电损失费用以及可能发生的罚款或其他费用）。</w:t>
      </w:r>
    </w:p>
    <w:p w14:paraId="114AA268">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21.4.3 发包人供应材料设备的结算：材料按照总价的</w:t>
      </w:r>
      <w:r>
        <w:rPr>
          <w:rFonts w:hint="eastAsia" w:ascii="Times New Roman"/>
          <w:color w:val="000000"/>
          <w:sz w:val="24"/>
          <w:szCs w:val="24"/>
          <w:u w:val="single"/>
        </w:rPr>
        <w:t xml:space="preserve">     </w:t>
      </w:r>
      <w:r>
        <w:rPr>
          <w:rFonts w:hint="eastAsia" w:ascii="Times New Roman"/>
          <w:color w:val="000000"/>
          <w:sz w:val="24"/>
          <w:szCs w:val="24"/>
        </w:rPr>
        <w:t>%计取保管费（材料数量最多不超过设计文件的用量（可以计算定额损耗））；设备按照总价的</w:t>
      </w:r>
      <w:r>
        <w:rPr>
          <w:rFonts w:hint="eastAsia" w:ascii="Times New Roman"/>
          <w:color w:val="000000"/>
          <w:sz w:val="24"/>
          <w:szCs w:val="24"/>
          <w:u w:val="single"/>
        </w:rPr>
        <w:t xml:space="preserve">     </w:t>
      </w:r>
      <w:r>
        <w:rPr>
          <w:rFonts w:hint="eastAsia" w:ascii="Times New Roman"/>
          <w:color w:val="000000"/>
          <w:sz w:val="24"/>
          <w:szCs w:val="24"/>
        </w:rPr>
        <w:t>%计取保管费；此费用仅计取税金。</w:t>
      </w:r>
    </w:p>
    <w:p w14:paraId="1A13944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1.4.4</w:t>
      </w:r>
      <w:r>
        <w:rPr>
          <w:rFonts w:hint="eastAsia" w:ascii="Times New Roman"/>
          <w:color w:val="000000"/>
          <w:sz w:val="24"/>
          <w:szCs w:val="24"/>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4F965A3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5 对于发包人提供的工程量清单中工程量的错误，承包人未在招标文件规定的异议截止日期前提出异议并附计算书的，工程结算时不再调整。</w:t>
      </w:r>
    </w:p>
    <w:p w14:paraId="338F150F">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6 若工程量清单遗漏项目或清单多项或清单项目工程量误差超过±3%且招标人未在规定的时间前进行修正并重新发布，且工程量清单遗漏项目、清单多项和清单项目（工程量误差超过±3%）的合计金额增减幅度超过签约合同价3%，招标人仅对超过的部分予以调整，其中工程量清单遗漏项目、清单多项按照合同约定的变更估价规定执行，清单项目（工程量误差超过±3%）按照中标（成交）单价执行</w:t>
      </w:r>
      <w:r>
        <w:rPr>
          <w:rStyle w:val="35"/>
          <w:rFonts w:ascii="Times New Roman"/>
          <w:color w:val="000000"/>
          <w:sz w:val="24"/>
          <w:szCs w:val="24"/>
        </w:rPr>
        <w:footnoteReference w:id="0"/>
      </w:r>
      <w:r>
        <w:rPr>
          <w:rFonts w:hint="eastAsia" w:ascii="Times New Roman"/>
          <w:color w:val="000000"/>
          <w:sz w:val="24"/>
          <w:szCs w:val="24"/>
        </w:rPr>
        <w:t>。</w:t>
      </w:r>
    </w:p>
    <w:p w14:paraId="0A9A0DF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7 对于发包人提供的工程量清单中的清单项目，承包人没有报价的，发包人认为视同该项价格已经包括在其他项目中。</w:t>
      </w:r>
    </w:p>
    <w:p w14:paraId="45ABF08B">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21.5 其他</w:t>
      </w:r>
    </w:p>
    <w:p w14:paraId="267B190A">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21.5.1 注册地不在合肥市行政区域范围（含四县一市）的中标人，应按照《纳税人跨县（市、区）提供建筑服务增值税征收管理暂行办法》（国家税务总局公告2016年第17号）规定，在建筑服务发生地及时足额预缴增值税。</w:t>
      </w:r>
    </w:p>
    <w:p w14:paraId="378E8F6B">
      <w:pPr>
        <w:adjustRightInd w:val="0"/>
        <w:spacing w:line="360" w:lineRule="auto"/>
        <w:ind w:firstLine="480" w:firstLineChars="200"/>
        <w:rPr>
          <w:rFonts w:ascii="Times New Roman"/>
          <w:bCs/>
          <w:color w:val="000000"/>
          <w:sz w:val="24"/>
          <w:szCs w:val="24"/>
        </w:rPr>
      </w:pPr>
      <w:r>
        <w:rPr>
          <w:rFonts w:hint="eastAsia" w:ascii="Times New Roman"/>
          <w:bCs/>
          <w:color w:val="000000"/>
          <w:sz w:val="24"/>
          <w:szCs w:val="24"/>
        </w:rPr>
        <w:t>21.5.2 工程结算审核核减额超过报审金额10%的，其超过10%部分的造价咨询费用由施工单位（合同乙方）承担，建设单位在支付工程结算款时予以代扣，并支付给工程造价咨询单位。</w:t>
      </w:r>
    </w:p>
    <w:p w14:paraId="3AE680A1">
      <w:pPr>
        <w:spacing w:line="360" w:lineRule="auto"/>
        <w:rPr>
          <w:rFonts w:hint="eastAsia" w:ascii="Times New Roman"/>
          <w:b/>
          <w:color w:val="000000"/>
          <w:sz w:val="24"/>
          <w:szCs w:val="24"/>
        </w:rPr>
      </w:pPr>
    </w:p>
    <w:p w14:paraId="4C0872B9">
      <w:pPr>
        <w:spacing w:line="360" w:lineRule="auto"/>
        <w:rPr>
          <w:rFonts w:ascii="Times New Roman"/>
          <w:color w:val="000000"/>
          <w:sz w:val="24"/>
          <w:szCs w:val="24"/>
        </w:rPr>
      </w:pPr>
      <w:r>
        <w:rPr>
          <w:rFonts w:hint="eastAsia" w:ascii="Times New Roman"/>
          <w:color w:val="000000"/>
          <w:sz w:val="24"/>
          <w:szCs w:val="24"/>
        </w:rPr>
        <w:t>发包人：</w:t>
      </w:r>
      <w:r>
        <w:rPr>
          <w:rFonts w:ascii="Times New Roman"/>
          <w:color w:val="000000"/>
          <w:sz w:val="24"/>
          <w:szCs w:val="24"/>
        </w:rPr>
        <w:t xml:space="preserve">  </w:t>
      </w:r>
      <w:r>
        <w:rPr>
          <w:rFonts w:hint="eastAsia" w:ascii="Times New Roman"/>
          <w:color w:val="000000"/>
          <w:sz w:val="24"/>
          <w:szCs w:val="24"/>
        </w:rPr>
        <w:t>（公章）</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承包人：</w:t>
      </w:r>
      <w:r>
        <w:rPr>
          <w:rFonts w:ascii="Times New Roman"/>
          <w:color w:val="000000"/>
          <w:sz w:val="24"/>
          <w:szCs w:val="24"/>
        </w:rPr>
        <w:t xml:space="preserve">  </w:t>
      </w:r>
      <w:r>
        <w:rPr>
          <w:rFonts w:hint="eastAsia" w:ascii="Times New Roman"/>
          <w:color w:val="000000"/>
          <w:sz w:val="24"/>
          <w:szCs w:val="24"/>
        </w:rPr>
        <w:t>（公章）</w:t>
      </w:r>
    </w:p>
    <w:p w14:paraId="1286E955">
      <w:pPr>
        <w:spacing w:line="360" w:lineRule="auto"/>
        <w:rPr>
          <w:rFonts w:ascii="Times New Roman"/>
          <w:color w:val="000000"/>
          <w:sz w:val="24"/>
          <w:szCs w:val="24"/>
        </w:rPr>
      </w:pPr>
      <w:r>
        <w:rPr>
          <w:rFonts w:hint="eastAsia" w:ascii="Times New Roman"/>
          <w:color w:val="000000"/>
          <w:sz w:val="24"/>
          <w:szCs w:val="24"/>
        </w:rPr>
        <w:t>法定代表人或其委托代理人：</w:t>
      </w:r>
      <w:r>
        <w:rPr>
          <w:rFonts w:ascii="Times New Roman"/>
          <w:color w:val="000000"/>
          <w:sz w:val="24"/>
          <w:szCs w:val="24"/>
        </w:rPr>
        <w:t xml:space="preserve">  </w:t>
      </w:r>
      <w:r>
        <w:rPr>
          <w:rFonts w:hint="eastAsia" w:ascii="Times New Roman"/>
          <w:color w:val="000000"/>
          <w:sz w:val="24"/>
          <w:szCs w:val="24"/>
        </w:rPr>
        <w:t xml:space="preserve">               法定代表人或其委托代理人：</w:t>
      </w:r>
    </w:p>
    <w:p w14:paraId="2735B48F">
      <w:pPr>
        <w:spacing w:line="360" w:lineRule="auto"/>
        <w:rPr>
          <w:rFonts w:ascii="Times New Roman"/>
          <w:color w:val="000000"/>
          <w:sz w:val="24"/>
          <w:szCs w:val="24"/>
        </w:rPr>
      </w:pPr>
      <w:r>
        <w:rPr>
          <w:rFonts w:hint="eastAsia" w:ascii="Times New Roman"/>
          <w:color w:val="000000"/>
          <w:sz w:val="24"/>
          <w:szCs w:val="24"/>
        </w:rPr>
        <w:t>（签字）</w:t>
      </w:r>
      <w:r>
        <w:rPr>
          <w:rFonts w:ascii="Times New Roman"/>
          <w:color w:val="000000"/>
          <w:sz w:val="24"/>
          <w:szCs w:val="24"/>
        </w:rPr>
        <w:t xml:space="preserve">                    </w:t>
      </w:r>
      <w:r>
        <w:rPr>
          <w:rFonts w:hint="eastAsia" w:ascii="Times New Roman"/>
          <w:color w:val="000000"/>
          <w:sz w:val="24"/>
          <w:szCs w:val="24"/>
        </w:rPr>
        <w:t xml:space="preserve">              （签字）</w:t>
      </w:r>
    </w:p>
    <w:p w14:paraId="18E3CAFC">
      <w:pPr>
        <w:spacing w:line="360" w:lineRule="auto"/>
        <w:rPr>
          <w:rFonts w:ascii="Times New Roman"/>
          <w:color w:val="000000"/>
          <w:sz w:val="24"/>
          <w:szCs w:val="24"/>
        </w:rPr>
      </w:pPr>
      <w:r>
        <w:rPr>
          <w:rFonts w:hint="eastAsia" w:ascii="Times New Roman"/>
          <w:color w:val="000000"/>
          <w:sz w:val="24"/>
          <w:szCs w:val="24"/>
        </w:rPr>
        <w:t>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p>
    <w:p w14:paraId="73AF8AFE">
      <w:pPr>
        <w:spacing w:line="360" w:lineRule="auto"/>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w:t>
      </w:r>
      <w:r>
        <w:rPr>
          <w:rFonts w:hint="eastAsia" w:ascii="Times New Roman"/>
          <w:color w:val="000000"/>
          <w:sz w:val="24"/>
          <w:szCs w:val="24"/>
        </w:rPr>
        <w:t>址：</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地</w:t>
      </w:r>
      <w:r>
        <w:rPr>
          <w:rFonts w:ascii="Times New Roman"/>
          <w:color w:val="000000"/>
          <w:sz w:val="24"/>
          <w:szCs w:val="24"/>
        </w:rPr>
        <w:t xml:space="preserve">  </w:t>
      </w:r>
      <w:r>
        <w:rPr>
          <w:rFonts w:hint="eastAsia" w:ascii="Times New Roman"/>
          <w:color w:val="000000"/>
          <w:sz w:val="24"/>
          <w:szCs w:val="24"/>
        </w:rPr>
        <w:t>址：</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54BAF124">
      <w:pPr>
        <w:spacing w:line="360" w:lineRule="auto"/>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ascii="Times New Roman"/>
          <w:color w:val="000000"/>
          <w:sz w:val="24"/>
          <w:szCs w:val="24"/>
          <w:u w:val="single"/>
        </w:rPr>
        <w:t xml:space="preserve">   </w:t>
      </w:r>
    </w:p>
    <w:p w14:paraId="32DCC562">
      <w:pPr>
        <w:spacing w:line="360" w:lineRule="auto"/>
        <w:rPr>
          <w:rFonts w:ascii="Times New Roman"/>
          <w:color w:val="000000"/>
          <w:sz w:val="24"/>
          <w:szCs w:val="24"/>
        </w:rPr>
      </w:pPr>
      <w:r>
        <w:rPr>
          <w:rFonts w:hint="eastAsia" w:ascii="Times New Roman"/>
          <w:color w:val="000000"/>
          <w:sz w:val="24"/>
          <w:szCs w:val="24"/>
        </w:rPr>
        <w:t>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5D0C4FE1">
      <w:pPr>
        <w:spacing w:line="360" w:lineRule="auto"/>
        <w:rPr>
          <w:rFonts w:ascii="Times New Roman"/>
          <w:color w:val="000000"/>
          <w:sz w:val="24"/>
          <w:szCs w:val="24"/>
        </w:rPr>
      </w:pPr>
      <w:r>
        <w:rPr>
          <w:rFonts w:hint="eastAsia" w:ascii="Times New Roman"/>
          <w:color w:val="000000"/>
          <w:sz w:val="24"/>
          <w:szCs w:val="24"/>
        </w:rPr>
        <w:t>委托代理人：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委托代理人：</w:t>
      </w:r>
      <w:r>
        <w:rPr>
          <w:rFonts w:hint="eastAsia" w:ascii="Times New Roman" w:cs="宋体"/>
          <w:color w:val="000000"/>
          <w:sz w:val="24"/>
          <w:szCs w:val="24"/>
          <w:u w:val="single"/>
        </w:rPr>
        <w:t></w:t>
      </w:r>
      <w:r>
        <w:rPr>
          <w:rFonts w:ascii="Times New Roman"/>
          <w:color w:val="000000"/>
          <w:sz w:val="24"/>
          <w:szCs w:val="24"/>
          <w:u w:val="single"/>
        </w:rPr>
        <w:t xml:space="preserve">             </w:t>
      </w:r>
    </w:p>
    <w:p w14:paraId="0192C836">
      <w:pPr>
        <w:spacing w:line="360" w:lineRule="auto"/>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p>
    <w:p w14:paraId="2F308A4D">
      <w:pPr>
        <w:spacing w:line="360" w:lineRule="auto"/>
        <w:rPr>
          <w:rFonts w:ascii="Times New Roman"/>
          <w:color w:val="000000"/>
          <w:sz w:val="24"/>
          <w:szCs w:val="24"/>
        </w:rPr>
      </w:pPr>
      <w:r>
        <w:rPr>
          <w:rFonts w:hint="eastAsia" w:ascii="Times New Roman"/>
          <w:color w:val="000000"/>
          <w:sz w:val="24"/>
          <w:szCs w:val="24"/>
        </w:rPr>
        <w:t>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0FEDC273">
      <w:pPr>
        <w:spacing w:line="360" w:lineRule="auto"/>
        <w:rPr>
          <w:rFonts w:ascii="Times New Roman"/>
          <w:color w:val="000000"/>
          <w:sz w:val="24"/>
          <w:szCs w:val="24"/>
        </w:rPr>
      </w:pPr>
      <w:r>
        <w:rPr>
          <w:rFonts w:hint="eastAsia"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电子信箱：</w:t>
      </w:r>
      <w:r>
        <w:rPr>
          <w:rFonts w:hint="eastAsia" w:ascii="Times New Roman" w:cs="宋体"/>
          <w:color w:val="000000"/>
          <w:sz w:val="24"/>
          <w:szCs w:val="24"/>
          <w:u w:val="single"/>
        </w:rPr>
        <w:t></w:t>
      </w:r>
      <w:r>
        <w:rPr>
          <w:rFonts w:ascii="Times New Roman"/>
          <w:color w:val="000000"/>
          <w:sz w:val="24"/>
          <w:szCs w:val="24"/>
          <w:u w:val="single"/>
        </w:rPr>
        <w:t xml:space="preserve">   </w:t>
      </w:r>
    </w:p>
    <w:p w14:paraId="547D8D76">
      <w:pPr>
        <w:spacing w:line="360" w:lineRule="auto"/>
        <w:rPr>
          <w:rFonts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ascii="Times New Roman"/>
          <w:color w:val="000000"/>
          <w:sz w:val="24"/>
          <w:szCs w:val="24"/>
          <w:u w:val="single"/>
        </w:rPr>
        <w:t xml:space="preserve">   </w:t>
      </w:r>
    </w:p>
    <w:p w14:paraId="42EAD386">
      <w:pPr>
        <w:spacing w:line="360" w:lineRule="auto"/>
        <w:rPr>
          <w:rFonts w:ascii="Times New Roman"/>
          <w:color w:val="000000"/>
          <w:sz w:val="24"/>
          <w:szCs w:val="24"/>
        </w:rPr>
      </w:pPr>
      <w:r>
        <w:rPr>
          <w:rFonts w:hint="eastAsia" w:ascii="Times New Roman"/>
          <w:color w:val="000000"/>
          <w:sz w:val="24"/>
          <w:szCs w:val="24"/>
        </w:rPr>
        <w:t>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p>
    <w:bookmarkEnd w:id="50"/>
    <w:p w14:paraId="51210059">
      <w:pPr>
        <w:spacing w:line="360" w:lineRule="auto"/>
        <w:rPr>
          <w:rFonts w:ascii="Times New Roman"/>
          <w:b/>
          <w:color w:val="000000"/>
          <w:sz w:val="24"/>
          <w:szCs w:val="24"/>
        </w:rPr>
      </w:pPr>
      <w:r>
        <w:rPr>
          <w:rFonts w:hint="eastAsia" w:ascii="Times New Roman"/>
          <w:b/>
          <w:color w:val="000000"/>
          <w:sz w:val="24"/>
          <w:szCs w:val="24"/>
        </w:rPr>
        <w:t>附件</w:t>
      </w:r>
    </w:p>
    <w:p w14:paraId="2CB4EF62">
      <w:pPr>
        <w:spacing w:line="360" w:lineRule="auto"/>
        <w:rPr>
          <w:rFonts w:ascii="Times New Roman"/>
          <w:color w:val="000000"/>
          <w:sz w:val="24"/>
          <w:szCs w:val="24"/>
        </w:rPr>
      </w:pPr>
      <w:r>
        <w:rPr>
          <w:rFonts w:hint="eastAsia" w:ascii="Times New Roman"/>
          <w:color w:val="000000"/>
          <w:sz w:val="24"/>
          <w:szCs w:val="24"/>
        </w:rPr>
        <w:t>协议书附件：</w:t>
      </w:r>
    </w:p>
    <w:p w14:paraId="7C604731">
      <w:pPr>
        <w:spacing w:line="360" w:lineRule="auto"/>
        <w:rPr>
          <w:rFonts w:hint="eastAsia" w:ascii="Times New Roman"/>
          <w:color w:val="000000"/>
          <w:sz w:val="24"/>
          <w:szCs w:val="24"/>
        </w:rPr>
      </w:pPr>
      <w:bookmarkStart w:id="584" w:name="_Toc128950221"/>
      <w:r>
        <w:rPr>
          <w:rFonts w:hint="eastAsia" w:ascii="Times New Roman"/>
          <w:color w:val="000000"/>
          <w:sz w:val="24"/>
          <w:szCs w:val="24"/>
        </w:rPr>
        <w:t>附件1：承包人承揽工程项目一览表</w:t>
      </w:r>
      <w:bookmarkEnd w:id="584"/>
    </w:p>
    <w:p w14:paraId="3111BC8C">
      <w:pPr>
        <w:spacing w:line="360" w:lineRule="auto"/>
        <w:rPr>
          <w:rFonts w:hint="eastAsia" w:ascii="Times New Roman"/>
          <w:color w:val="000000"/>
          <w:sz w:val="24"/>
          <w:szCs w:val="24"/>
        </w:rPr>
      </w:pPr>
    </w:p>
    <w:p w14:paraId="1B4179DC">
      <w:pPr>
        <w:spacing w:line="360" w:lineRule="auto"/>
        <w:rPr>
          <w:rFonts w:hint="eastAsia" w:ascii="Times New Roman"/>
          <w:color w:val="000000"/>
          <w:sz w:val="24"/>
          <w:szCs w:val="24"/>
        </w:rPr>
      </w:pPr>
      <w:r>
        <w:rPr>
          <w:rFonts w:hint="eastAsia" w:ascii="Times New Roman"/>
          <w:color w:val="000000"/>
          <w:sz w:val="24"/>
          <w:szCs w:val="24"/>
        </w:rPr>
        <w:t>专用合同条款附件：</w:t>
      </w:r>
    </w:p>
    <w:p w14:paraId="182A63AE">
      <w:pPr>
        <w:spacing w:line="360" w:lineRule="auto"/>
        <w:rPr>
          <w:rFonts w:hint="eastAsia" w:ascii="Times New Roman"/>
          <w:color w:val="000000"/>
          <w:sz w:val="24"/>
          <w:szCs w:val="24"/>
        </w:rPr>
      </w:pPr>
      <w:bookmarkStart w:id="585" w:name="_Toc128950222"/>
      <w:r>
        <w:rPr>
          <w:rFonts w:hint="eastAsia" w:ascii="Times New Roman"/>
          <w:color w:val="000000"/>
          <w:sz w:val="24"/>
          <w:szCs w:val="24"/>
        </w:rPr>
        <w:t>附件2：发包人供应材料设备一览表</w:t>
      </w:r>
      <w:bookmarkEnd w:id="585"/>
    </w:p>
    <w:p w14:paraId="709C947B">
      <w:pPr>
        <w:spacing w:line="360" w:lineRule="auto"/>
        <w:rPr>
          <w:rFonts w:hint="eastAsia" w:ascii="Times New Roman"/>
          <w:color w:val="000000"/>
          <w:sz w:val="24"/>
          <w:szCs w:val="24"/>
        </w:rPr>
      </w:pPr>
      <w:bookmarkStart w:id="586" w:name="_Toc128950223"/>
      <w:r>
        <w:rPr>
          <w:rFonts w:hint="eastAsia" w:ascii="Times New Roman"/>
          <w:color w:val="000000"/>
          <w:sz w:val="24"/>
          <w:szCs w:val="24"/>
        </w:rPr>
        <w:t>附件3：工程质量保修书</w:t>
      </w:r>
      <w:bookmarkEnd w:id="586"/>
    </w:p>
    <w:p w14:paraId="71E30153">
      <w:pPr>
        <w:spacing w:line="360" w:lineRule="auto"/>
        <w:rPr>
          <w:rFonts w:hint="eastAsia" w:ascii="Times New Roman"/>
          <w:color w:val="000000"/>
          <w:sz w:val="24"/>
          <w:szCs w:val="24"/>
        </w:rPr>
      </w:pPr>
      <w:bookmarkStart w:id="587" w:name="_Toc128950224"/>
      <w:r>
        <w:rPr>
          <w:rFonts w:hint="eastAsia" w:ascii="Times New Roman"/>
          <w:color w:val="000000"/>
          <w:sz w:val="24"/>
          <w:szCs w:val="24"/>
        </w:rPr>
        <w:t>附件4：主要建设工程文件目录</w:t>
      </w:r>
      <w:bookmarkEnd w:id="587"/>
    </w:p>
    <w:p w14:paraId="60856B90">
      <w:pPr>
        <w:spacing w:line="360" w:lineRule="auto"/>
        <w:rPr>
          <w:rFonts w:hint="eastAsia" w:ascii="Times New Roman"/>
          <w:color w:val="000000"/>
          <w:sz w:val="24"/>
          <w:szCs w:val="24"/>
        </w:rPr>
      </w:pPr>
      <w:bookmarkStart w:id="588" w:name="_Toc128950225"/>
      <w:r>
        <w:rPr>
          <w:rFonts w:hint="eastAsia" w:ascii="Times New Roman"/>
          <w:color w:val="000000"/>
          <w:sz w:val="24"/>
          <w:szCs w:val="24"/>
        </w:rPr>
        <w:t>附件5：承包人用于本工程施工的机械设备表</w:t>
      </w:r>
      <w:bookmarkEnd w:id="588"/>
    </w:p>
    <w:p w14:paraId="5FC90B01">
      <w:pPr>
        <w:spacing w:line="360" w:lineRule="auto"/>
        <w:rPr>
          <w:rFonts w:hint="eastAsia" w:ascii="Times New Roman"/>
          <w:color w:val="000000"/>
          <w:sz w:val="24"/>
          <w:szCs w:val="24"/>
        </w:rPr>
      </w:pPr>
      <w:bookmarkStart w:id="589" w:name="_Toc128950226"/>
      <w:r>
        <w:rPr>
          <w:rFonts w:hint="eastAsia" w:ascii="Times New Roman"/>
          <w:color w:val="000000"/>
          <w:sz w:val="24"/>
          <w:szCs w:val="24"/>
        </w:rPr>
        <w:t>附件6：承包人主要施工管理人员表</w:t>
      </w:r>
      <w:bookmarkEnd w:id="589"/>
    </w:p>
    <w:p w14:paraId="3EF8DC62">
      <w:pPr>
        <w:spacing w:line="360" w:lineRule="auto"/>
        <w:rPr>
          <w:rFonts w:hint="eastAsia" w:ascii="Times New Roman"/>
          <w:color w:val="000000"/>
          <w:sz w:val="24"/>
          <w:szCs w:val="24"/>
        </w:rPr>
      </w:pPr>
      <w:bookmarkStart w:id="590" w:name="_Toc128950227"/>
      <w:r>
        <w:rPr>
          <w:rFonts w:hint="eastAsia" w:ascii="Times New Roman"/>
          <w:color w:val="000000"/>
          <w:sz w:val="24"/>
          <w:szCs w:val="24"/>
        </w:rPr>
        <w:t>附件7：分包人主要施工管理人员表</w:t>
      </w:r>
      <w:bookmarkEnd w:id="590"/>
    </w:p>
    <w:p w14:paraId="5962F4B9">
      <w:pPr>
        <w:spacing w:line="360" w:lineRule="auto"/>
        <w:rPr>
          <w:rFonts w:hint="eastAsia" w:ascii="Times New Roman"/>
          <w:color w:val="000000"/>
          <w:sz w:val="24"/>
          <w:szCs w:val="24"/>
        </w:rPr>
      </w:pPr>
      <w:bookmarkStart w:id="591" w:name="_Toc128950228"/>
      <w:r>
        <w:rPr>
          <w:rFonts w:hint="eastAsia" w:ascii="Times New Roman"/>
          <w:color w:val="000000"/>
          <w:sz w:val="24"/>
          <w:szCs w:val="24"/>
        </w:rPr>
        <w:t>附件8：廉政协议</w:t>
      </w:r>
      <w:bookmarkEnd w:id="591"/>
    </w:p>
    <w:p w14:paraId="4733A547">
      <w:pPr>
        <w:spacing w:line="360" w:lineRule="auto"/>
        <w:rPr>
          <w:rFonts w:hint="eastAsia" w:ascii="Times New Roman"/>
          <w:color w:val="000000"/>
          <w:sz w:val="24"/>
          <w:szCs w:val="24"/>
        </w:rPr>
      </w:pPr>
      <w:bookmarkStart w:id="592" w:name="_Toc128950229"/>
      <w:r>
        <w:rPr>
          <w:rFonts w:hint="eastAsia" w:ascii="Times New Roman"/>
          <w:color w:val="000000"/>
          <w:sz w:val="24"/>
          <w:szCs w:val="24"/>
        </w:rPr>
        <w:t>附件9：履约保证金格式</w:t>
      </w:r>
      <w:bookmarkEnd w:id="592"/>
    </w:p>
    <w:p w14:paraId="31A9DEA8">
      <w:pPr>
        <w:spacing w:line="360" w:lineRule="auto"/>
        <w:rPr>
          <w:rFonts w:hint="eastAsia" w:ascii="Times New Roman"/>
          <w:color w:val="000000"/>
          <w:sz w:val="24"/>
          <w:szCs w:val="24"/>
        </w:rPr>
      </w:pPr>
      <w:bookmarkStart w:id="593" w:name="_Toc128950230"/>
      <w:r>
        <w:rPr>
          <w:rFonts w:hint="eastAsia" w:ascii="Times New Roman"/>
          <w:color w:val="000000"/>
          <w:sz w:val="24"/>
          <w:szCs w:val="24"/>
        </w:rPr>
        <w:t>附件10：预付款担保格式</w:t>
      </w:r>
      <w:bookmarkEnd w:id="593"/>
    </w:p>
    <w:p w14:paraId="692D54BD">
      <w:pPr>
        <w:spacing w:line="360" w:lineRule="auto"/>
        <w:rPr>
          <w:rFonts w:hint="eastAsia" w:ascii="Times New Roman"/>
          <w:color w:val="000000"/>
          <w:sz w:val="24"/>
          <w:szCs w:val="24"/>
        </w:rPr>
      </w:pPr>
      <w:bookmarkStart w:id="594" w:name="_Toc128950231"/>
      <w:r>
        <w:rPr>
          <w:rFonts w:hint="eastAsia" w:ascii="Times New Roman"/>
          <w:color w:val="000000"/>
          <w:sz w:val="24"/>
          <w:szCs w:val="24"/>
        </w:rPr>
        <w:t>附件11：支付担保格式</w:t>
      </w:r>
      <w:bookmarkEnd w:id="594"/>
    </w:p>
    <w:p w14:paraId="2035A186">
      <w:pPr>
        <w:spacing w:line="360" w:lineRule="auto"/>
        <w:rPr>
          <w:rFonts w:hint="eastAsia" w:ascii="Times New Roman"/>
          <w:color w:val="000000"/>
          <w:sz w:val="24"/>
          <w:szCs w:val="24"/>
        </w:rPr>
      </w:pPr>
      <w:bookmarkStart w:id="595" w:name="_Toc128950232"/>
      <w:r>
        <w:rPr>
          <w:rFonts w:hint="eastAsia" w:ascii="Times New Roman"/>
          <w:color w:val="000000"/>
          <w:sz w:val="24"/>
          <w:szCs w:val="24"/>
        </w:rPr>
        <w:t>附件12：暂估价一览表</w:t>
      </w:r>
      <w:bookmarkEnd w:id="595"/>
    </w:p>
    <w:p w14:paraId="4F18ABCB">
      <w:pPr>
        <w:spacing w:line="360" w:lineRule="auto"/>
        <w:rPr>
          <w:rFonts w:hint="eastAsia" w:ascii="Times New Roman"/>
          <w:color w:val="000000"/>
          <w:sz w:val="24"/>
          <w:szCs w:val="24"/>
        </w:rPr>
      </w:pPr>
      <w:bookmarkStart w:id="596" w:name="_Toc128950233"/>
      <w:r>
        <w:rPr>
          <w:rFonts w:hint="eastAsia" w:ascii="Times New Roman"/>
          <w:color w:val="000000"/>
          <w:sz w:val="24"/>
          <w:szCs w:val="24"/>
        </w:rPr>
        <w:t>附件13：安全生产合同</w:t>
      </w:r>
      <w:bookmarkEnd w:id="596"/>
    </w:p>
    <w:p w14:paraId="0C09553A">
      <w:pPr>
        <w:spacing w:line="360" w:lineRule="auto"/>
        <w:rPr>
          <w:rFonts w:hint="eastAsia" w:ascii="Times New Roman"/>
          <w:color w:val="000000"/>
          <w:sz w:val="24"/>
          <w:szCs w:val="24"/>
        </w:rPr>
      </w:pPr>
      <w:bookmarkStart w:id="597" w:name="_Toc128950234"/>
      <w:r>
        <w:rPr>
          <w:rFonts w:hint="eastAsia" w:ascii="Times New Roman"/>
          <w:color w:val="000000"/>
          <w:sz w:val="24"/>
          <w:szCs w:val="24"/>
        </w:rPr>
        <w:t>附件14：项目经理质量终身责任制承诺</w:t>
      </w:r>
      <w:bookmarkEnd w:id="597"/>
    </w:p>
    <w:p w14:paraId="3E16EB37">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598" w:name="_Toc128950235"/>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：承包人承揽工程项目一览表</w:t>
      </w:r>
      <w:bookmarkEnd w:id="598"/>
    </w:p>
    <w:p w14:paraId="7CD7519F">
      <w:pPr>
        <w:spacing w:line="360" w:lineRule="auto"/>
        <w:jc w:val="center"/>
        <w:rPr>
          <w:rFonts w:ascii="Times New Roman"/>
          <w:color w:val="000000"/>
          <w:sz w:val="24"/>
          <w:szCs w:val="24"/>
        </w:rPr>
      </w:pPr>
      <w:r>
        <w:rPr>
          <w:rFonts w:hint="eastAsia" w:ascii="Times New Roman"/>
          <w:color w:val="000000"/>
          <w:sz w:val="24"/>
          <w:szCs w:val="24"/>
        </w:rPr>
        <w:t>承包人承揽工程项目一览表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1EC21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noWrap w:val="0"/>
            <w:vAlign w:val="center"/>
          </w:tcPr>
          <w:p w14:paraId="5BF4F968">
            <w:pPr>
              <w:keepNext/>
              <w:snapToGrid w:val="0"/>
              <w:spacing w:line="360" w:lineRule="auto"/>
              <w:jc w:val="center"/>
              <w:rPr>
                <w:rFonts w:ascii="Times New Roman"/>
                <w:color w:val="000000"/>
                <w:sz w:val="24"/>
                <w:szCs w:val="24"/>
              </w:rPr>
            </w:pPr>
            <w:r>
              <w:rPr>
                <w:rFonts w:hint="eastAsia" w:ascii="Times New Roman"/>
                <w:color w:val="000000"/>
                <w:sz w:val="24"/>
                <w:szCs w:val="24"/>
              </w:rPr>
              <w:t>单位工程名称</w:t>
            </w:r>
          </w:p>
        </w:tc>
        <w:tc>
          <w:tcPr>
            <w:tcW w:w="413" w:type="pct"/>
            <w:tcBorders>
              <w:top w:val="single" w:color="auto" w:sz="12" w:space="0"/>
              <w:bottom w:val="double" w:color="auto" w:sz="6" w:space="0"/>
            </w:tcBorders>
            <w:noWrap w:val="0"/>
            <w:vAlign w:val="center"/>
          </w:tcPr>
          <w:p w14:paraId="03436AC7">
            <w:pPr>
              <w:keepNext/>
              <w:snapToGrid w:val="0"/>
              <w:spacing w:line="360" w:lineRule="auto"/>
              <w:jc w:val="center"/>
              <w:rPr>
                <w:rFonts w:ascii="Times New Roman"/>
                <w:color w:val="000000"/>
                <w:sz w:val="24"/>
                <w:szCs w:val="24"/>
              </w:rPr>
            </w:pPr>
            <w:r>
              <w:rPr>
                <w:rFonts w:hint="eastAsia" w:ascii="Times New Roman"/>
                <w:color w:val="000000"/>
                <w:sz w:val="24"/>
                <w:szCs w:val="24"/>
              </w:rPr>
              <w:t>建设规模</w:t>
            </w:r>
          </w:p>
        </w:tc>
        <w:tc>
          <w:tcPr>
            <w:tcW w:w="778" w:type="pct"/>
            <w:tcBorders>
              <w:top w:val="single" w:color="auto" w:sz="12" w:space="0"/>
              <w:bottom w:val="double" w:color="auto" w:sz="6" w:space="0"/>
            </w:tcBorders>
            <w:noWrap w:val="0"/>
            <w:vAlign w:val="center"/>
          </w:tcPr>
          <w:p w14:paraId="3B2E2FF5">
            <w:pPr>
              <w:keepNext/>
              <w:snapToGrid w:val="0"/>
              <w:spacing w:line="360" w:lineRule="auto"/>
              <w:jc w:val="center"/>
              <w:rPr>
                <w:rFonts w:ascii="Times New Roman"/>
                <w:color w:val="000000"/>
                <w:sz w:val="24"/>
                <w:szCs w:val="24"/>
              </w:rPr>
            </w:pPr>
            <w:r>
              <w:rPr>
                <w:rFonts w:hint="eastAsia" w:ascii="Times New Roman"/>
                <w:color w:val="000000"/>
                <w:sz w:val="24"/>
                <w:szCs w:val="24"/>
              </w:rPr>
              <w:t>建筑面积（平方米）</w:t>
            </w:r>
          </w:p>
        </w:tc>
        <w:tc>
          <w:tcPr>
            <w:tcW w:w="413" w:type="pct"/>
            <w:tcBorders>
              <w:top w:val="single" w:color="auto" w:sz="12" w:space="0"/>
              <w:bottom w:val="double" w:color="auto" w:sz="6" w:space="0"/>
            </w:tcBorders>
            <w:noWrap w:val="0"/>
            <w:vAlign w:val="center"/>
          </w:tcPr>
          <w:p w14:paraId="17819CB9">
            <w:pPr>
              <w:keepNext/>
              <w:snapToGrid w:val="0"/>
              <w:spacing w:line="360" w:lineRule="auto"/>
              <w:jc w:val="center"/>
              <w:rPr>
                <w:rFonts w:ascii="Times New Roman"/>
                <w:color w:val="000000"/>
                <w:sz w:val="24"/>
                <w:szCs w:val="24"/>
              </w:rPr>
            </w:pPr>
            <w:r>
              <w:rPr>
                <w:rFonts w:hint="eastAsia" w:ascii="Times New Roman"/>
                <w:color w:val="000000"/>
                <w:sz w:val="24"/>
                <w:szCs w:val="24"/>
              </w:rPr>
              <w:t>结构形式</w:t>
            </w:r>
          </w:p>
        </w:tc>
        <w:tc>
          <w:tcPr>
            <w:tcW w:w="240" w:type="pct"/>
            <w:tcBorders>
              <w:top w:val="single" w:color="auto" w:sz="12" w:space="0"/>
              <w:bottom w:val="double" w:color="auto" w:sz="6" w:space="0"/>
            </w:tcBorders>
            <w:noWrap w:val="0"/>
            <w:vAlign w:val="center"/>
          </w:tcPr>
          <w:p w14:paraId="3FE4F42F">
            <w:pPr>
              <w:keepNext/>
              <w:snapToGrid w:val="0"/>
              <w:spacing w:line="360" w:lineRule="auto"/>
              <w:jc w:val="center"/>
              <w:rPr>
                <w:rFonts w:ascii="Times New Roman"/>
                <w:color w:val="000000"/>
                <w:sz w:val="24"/>
                <w:szCs w:val="24"/>
              </w:rPr>
            </w:pPr>
            <w:r>
              <w:rPr>
                <w:rFonts w:hint="eastAsia" w:ascii="Times New Roman"/>
                <w:color w:val="000000"/>
                <w:sz w:val="24"/>
                <w:szCs w:val="24"/>
              </w:rPr>
              <w:t>层数</w:t>
            </w:r>
          </w:p>
        </w:tc>
        <w:tc>
          <w:tcPr>
            <w:tcW w:w="413" w:type="pct"/>
            <w:tcBorders>
              <w:top w:val="single" w:color="auto" w:sz="12" w:space="0"/>
              <w:bottom w:val="double" w:color="auto" w:sz="6" w:space="0"/>
            </w:tcBorders>
            <w:noWrap w:val="0"/>
            <w:vAlign w:val="center"/>
          </w:tcPr>
          <w:p w14:paraId="11CE1E1E">
            <w:pPr>
              <w:keepNext/>
              <w:snapToGrid w:val="0"/>
              <w:spacing w:line="360" w:lineRule="auto"/>
              <w:jc w:val="center"/>
              <w:rPr>
                <w:rFonts w:ascii="Times New Roman"/>
                <w:color w:val="000000"/>
                <w:sz w:val="24"/>
                <w:szCs w:val="24"/>
              </w:rPr>
            </w:pPr>
            <w:r>
              <w:rPr>
                <w:rFonts w:hint="eastAsia" w:ascii="Times New Roman"/>
                <w:color w:val="000000"/>
                <w:sz w:val="24"/>
                <w:szCs w:val="24"/>
              </w:rPr>
              <w:t>生产能力</w:t>
            </w:r>
          </w:p>
        </w:tc>
        <w:tc>
          <w:tcPr>
            <w:tcW w:w="587" w:type="pct"/>
            <w:tcBorders>
              <w:top w:val="single" w:color="auto" w:sz="12" w:space="0"/>
              <w:bottom w:val="double" w:color="auto" w:sz="6" w:space="0"/>
            </w:tcBorders>
            <w:noWrap w:val="0"/>
            <w:vAlign w:val="center"/>
          </w:tcPr>
          <w:p w14:paraId="1033024D">
            <w:pPr>
              <w:keepNext/>
              <w:snapToGrid w:val="0"/>
              <w:spacing w:line="360" w:lineRule="auto"/>
              <w:jc w:val="center"/>
              <w:rPr>
                <w:rFonts w:ascii="Times New Roman"/>
                <w:color w:val="000000"/>
                <w:sz w:val="24"/>
                <w:szCs w:val="24"/>
              </w:rPr>
            </w:pPr>
            <w:r>
              <w:rPr>
                <w:rFonts w:hint="eastAsia" w:ascii="Times New Roman"/>
                <w:color w:val="000000"/>
                <w:sz w:val="24"/>
                <w:szCs w:val="24"/>
              </w:rPr>
              <w:t>设备安装内容</w:t>
            </w:r>
          </w:p>
        </w:tc>
        <w:tc>
          <w:tcPr>
            <w:tcW w:w="744" w:type="pct"/>
            <w:tcBorders>
              <w:top w:val="single" w:color="auto" w:sz="12" w:space="0"/>
              <w:bottom w:val="double" w:color="auto" w:sz="6" w:space="0"/>
            </w:tcBorders>
            <w:noWrap w:val="0"/>
            <w:vAlign w:val="center"/>
          </w:tcPr>
          <w:p w14:paraId="5D9E8E0C">
            <w:pPr>
              <w:keepNext/>
              <w:snapToGrid w:val="0"/>
              <w:spacing w:line="360" w:lineRule="auto"/>
              <w:jc w:val="center"/>
              <w:rPr>
                <w:rFonts w:ascii="Times New Roman"/>
                <w:color w:val="000000"/>
                <w:sz w:val="24"/>
                <w:szCs w:val="24"/>
              </w:rPr>
            </w:pPr>
            <w:r>
              <w:rPr>
                <w:rFonts w:hint="eastAsia" w:ascii="Times New Roman"/>
                <w:color w:val="000000"/>
                <w:sz w:val="24"/>
                <w:szCs w:val="24"/>
              </w:rPr>
              <w:t>合同价格（元）</w:t>
            </w:r>
          </w:p>
        </w:tc>
        <w:tc>
          <w:tcPr>
            <w:tcW w:w="413" w:type="pct"/>
            <w:tcBorders>
              <w:top w:val="single" w:color="auto" w:sz="12" w:space="0"/>
              <w:bottom w:val="double" w:color="auto" w:sz="6" w:space="0"/>
            </w:tcBorders>
            <w:noWrap w:val="0"/>
            <w:vAlign w:val="center"/>
          </w:tcPr>
          <w:p w14:paraId="4157F9B3">
            <w:pPr>
              <w:keepNext/>
              <w:snapToGrid w:val="0"/>
              <w:spacing w:line="360" w:lineRule="auto"/>
              <w:jc w:val="center"/>
              <w:rPr>
                <w:rFonts w:ascii="Times New Roman"/>
                <w:color w:val="000000"/>
                <w:sz w:val="24"/>
                <w:szCs w:val="24"/>
              </w:rPr>
            </w:pPr>
            <w:r>
              <w:rPr>
                <w:rFonts w:hint="eastAsia" w:ascii="Times New Roman"/>
                <w:color w:val="000000"/>
                <w:sz w:val="24"/>
                <w:szCs w:val="24"/>
              </w:rPr>
              <w:t>开工日期</w:t>
            </w:r>
          </w:p>
        </w:tc>
        <w:tc>
          <w:tcPr>
            <w:tcW w:w="413" w:type="pct"/>
            <w:tcBorders>
              <w:top w:val="single" w:color="auto" w:sz="12" w:space="0"/>
              <w:bottom w:val="double" w:color="auto" w:sz="6" w:space="0"/>
            </w:tcBorders>
            <w:noWrap w:val="0"/>
            <w:vAlign w:val="center"/>
          </w:tcPr>
          <w:p w14:paraId="49913339">
            <w:pPr>
              <w:keepNext/>
              <w:snapToGrid w:val="0"/>
              <w:spacing w:line="360" w:lineRule="auto"/>
              <w:jc w:val="center"/>
              <w:rPr>
                <w:rFonts w:ascii="Times New Roman"/>
                <w:color w:val="000000"/>
                <w:sz w:val="24"/>
                <w:szCs w:val="24"/>
              </w:rPr>
            </w:pPr>
            <w:r>
              <w:rPr>
                <w:rFonts w:hint="eastAsia" w:ascii="Times New Roman"/>
                <w:color w:val="000000"/>
                <w:sz w:val="24"/>
                <w:szCs w:val="24"/>
              </w:rPr>
              <w:t>竣工日期</w:t>
            </w:r>
          </w:p>
        </w:tc>
      </w:tr>
      <w:tr w14:paraId="3027D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noWrap w:val="0"/>
            <w:vAlign w:val="center"/>
          </w:tcPr>
          <w:p w14:paraId="52DC8B25">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65BF89B3">
            <w:pPr>
              <w:keepNext/>
              <w:snapToGrid w:val="0"/>
              <w:spacing w:line="360" w:lineRule="auto"/>
              <w:jc w:val="center"/>
              <w:rPr>
                <w:rFonts w:ascii="Times New Roman"/>
                <w:color w:val="000000"/>
                <w:sz w:val="24"/>
                <w:szCs w:val="24"/>
              </w:rPr>
            </w:pPr>
          </w:p>
        </w:tc>
        <w:tc>
          <w:tcPr>
            <w:tcW w:w="778" w:type="pct"/>
            <w:tcBorders>
              <w:top w:val="double" w:color="auto" w:sz="6" w:space="0"/>
            </w:tcBorders>
            <w:noWrap w:val="0"/>
            <w:vAlign w:val="center"/>
          </w:tcPr>
          <w:p w14:paraId="6445EA2F">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14FE8A17">
            <w:pPr>
              <w:keepNext/>
              <w:snapToGrid w:val="0"/>
              <w:spacing w:line="360" w:lineRule="auto"/>
              <w:jc w:val="center"/>
              <w:rPr>
                <w:rFonts w:ascii="Times New Roman"/>
                <w:color w:val="000000"/>
                <w:sz w:val="24"/>
                <w:szCs w:val="24"/>
              </w:rPr>
            </w:pPr>
          </w:p>
        </w:tc>
        <w:tc>
          <w:tcPr>
            <w:tcW w:w="240" w:type="pct"/>
            <w:tcBorders>
              <w:top w:val="double" w:color="auto" w:sz="6" w:space="0"/>
            </w:tcBorders>
            <w:noWrap w:val="0"/>
            <w:vAlign w:val="center"/>
          </w:tcPr>
          <w:p w14:paraId="50D01EA5">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163A46FB">
            <w:pPr>
              <w:keepNext/>
              <w:snapToGrid w:val="0"/>
              <w:spacing w:line="360" w:lineRule="auto"/>
              <w:jc w:val="center"/>
              <w:rPr>
                <w:rFonts w:ascii="Times New Roman"/>
                <w:color w:val="000000"/>
                <w:sz w:val="24"/>
                <w:szCs w:val="24"/>
              </w:rPr>
            </w:pPr>
          </w:p>
        </w:tc>
        <w:tc>
          <w:tcPr>
            <w:tcW w:w="587" w:type="pct"/>
            <w:tcBorders>
              <w:top w:val="double" w:color="auto" w:sz="6" w:space="0"/>
            </w:tcBorders>
            <w:noWrap w:val="0"/>
            <w:vAlign w:val="center"/>
          </w:tcPr>
          <w:p w14:paraId="5D07915B">
            <w:pPr>
              <w:keepNext/>
              <w:snapToGrid w:val="0"/>
              <w:spacing w:line="360" w:lineRule="auto"/>
              <w:jc w:val="center"/>
              <w:rPr>
                <w:rFonts w:ascii="Times New Roman"/>
                <w:color w:val="000000"/>
                <w:sz w:val="24"/>
                <w:szCs w:val="24"/>
              </w:rPr>
            </w:pPr>
          </w:p>
        </w:tc>
        <w:tc>
          <w:tcPr>
            <w:tcW w:w="744" w:type="pct"/>
            <w:tcBorders>
              <w:top w:val="double" w:color="auto" w:sz="6" w:space="0"/>
            </w:tcBorders>
            <w:noWrap w:val="0"/>
            <w:vAlign w:val="center"/>
          </w:tcPr>
          <w:p w14:paraId="652DBBD3">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0BFC2EDC">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409706AD">
            <w:pPr>
              <w:keepNext/>
              <w:snapToGrid w:val="0"/>
              <w:spacing w:line="360" w:lineRule="auto"/>
              <w:jc w:val="center"/>
              <w:rPr>
                <w:rFonts w:ascii="Times New Roman"/>
                <w:color w:val="000000"/>
                <w:sz w:val="24"/>
                <w:szCs w:val="24"/>
              </w:rPr>
            </w:pPr>
          </w:p>
        </w:tc>
      </w:tr>
      <w:tr w14:paraId="65348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noWrap w:val="0"/>
            <w:vAlign w:val="center"/>
          </w:tcPr>
          <w:p w14:paraId="75AF74B5">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3566FB70">
            <w:pPr>
              <w:keepNext/>
              <w:snapToGrid w:val="0"/>
              <w:spacing w:line="360" w:lineRule="auto"/>
              <w:jc w:val="center"/>
              <w:rPr>
                <w:rFonts w:ascii="Times New Roman"/>
                <w:color w:val="000000"/>
                <w:sz w:val="24"/>
                <w:szCs w:val="24"/>
              </w:rPr>
            </w:pPr>
          </w:p>
        </w:tc>
        <w:tc>
          <w:tcPr>
            <w:tcW w:w="778" w:type="pct"/>
            <w:tcBorders>
              <w:top w:val="nil"/>
            </w:tcBorders>
            <w:noWrap w:val="0"/>
            <w:vAlign w:val="center"/>
          </w:tcPr>
          <w:p w14:paraId="1345A3FA">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76F60347">
            <w:pPr>
              <w:keepNext/>
              <w:snapToGrid w:val="0"/>
              <w:spacing w:line="360" w:lineRule="auto"/>
              <w:jc w:val="center"/>
              <w:rPr>
                <w:rFonts w:ascii="Times New Roman"/>
                <w:color w:val="000000"/>
                <w:sz w:val="24"/>
                <w:szCs w:val="24"/>
              </w:rPr>
            </w:pPr>
          </w:p>
        </w:tc>
        <w:tc>
          <w:tcPr>
            <w:tcW w:w="240" w:type="pct"/>
            <w:tcBorders>
              <w:top w:val="nil"/>
            </w:tcBorders>
            <w:noWrap w:val="0"/>
            <w:vAlign w:val="center"/>
          </w:tcPr>
          <w:p w14:paraId="4BCE70C5">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31579F2D">
            <w:pPr>
              <w:keepNext/>
              <w:snapToGrid w:val="0"/>
              <w:spacing w:line="360" w:lineRule="auto"/>
              <w:jc w:val="center"/>
              <w:rPr>
                <w:rFonts w:ascii="Times New Roman"/>
                <w:color w:val="000000"/>
                <w:sz w:val="24"/>
                <w:szCs w:val="24"/>
              </w:rPr>
            </w:pPr>
          </w:p>
        </w:tc>
        <w:tc>
          <w:tcPr>
            <w:tcW w:w="587" w:type="pct"/>
            <w:tcBorders>
              <w:top w:val="nil"/>
            </w:tcBorders>
            <w:noWrap w:val="0"/>
            <w:vAlign w:val="center"/>
          </w:tcPr>
          <w:p w14:paraId="5C8B05EA">
            <w:pPr>
              <w:keepNext/>
              <w:snapToGrid w:val="0"/>
              <w:spacing w:line="360" w:lineRule="auto"/>
              <w:jc w:val="center"/>
              <w:rPr>
                <w:rFonts w:ascii="Times New Roman"/>
                <w:color w:val="000000"/>
                <w:sz w:val="24"/>
                <w:szCs w:val="24"/>
              </w:rPr>
            </w:pPr>
          </w:p>
        </w:tc>
        <w:tc>
          <w:tcPr>
            <w:tcW w:w="744" w:type="pct"/>
            <w:tcBorders>
              <w:top w:val="nil"/>
            </w:tcBorders>
            <w:noWrap w:val="0"/>
            <w:vAlign w:val="center"/>
          </w:tcPr>
          <w:p w14:paraId="023384DD">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35EBAC06">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69CE5895">
            <w:pPr>
              <w:keepNext/>
              <w:snapToGrid w:val="0"/>
              <w:spacing w:line="360" w:lineRule="auto"/>
              <w:jc w:val="center"/>
              <w:rPr>
                <w:rFonts w:ascii="Times New Roman"/>
                <w:color w:val="000000"/>
                <w:sz w:val="24"/>
                <w:szCs w:val="24"/>
              </w:rPr>
            </w:pPr>
          </w:p>
        </w:tc>
      </w:tr>
      <w:tr w14:paraId="2C059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noWrap w:val="0"/>
            <w:vAlign w:val="center"/>
          </w:tcPr>
          <w:p w14:paraId="5C98A220">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137CA946">
            <w:pPr>
              <w:keepNext/>
              <w:snapToGrid w:val="0"/>
              <w:spacing w:line="360" w:lineRule="auto"/>
              <w:jc w:val="center"/>
              <w:rPr>
                <w:rFonts w:ascii="Times New Roman"/>
                <w:color w:val="000000"/>
                <w:sz w:val="24"/>
                <w:szCs w:val="24"/>
              </w:rPr>
            </w:pPr>
          </w:p>
        </w:tc>
        <w:tc>
          <w:tcPr>
            <w:tcW w:w="778" w:type="pct"/>
            <w:tcBorders>
              <w:top w:val="nil"/>
            </w:tcBorders>
            <w:noWrap w:val="0"/>
            <w:vAlign w:val="center"/>
          </w:tcPr>
          <w:p w14:paraId="0588BB0D">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598CBA83">
            <w:pPr>
              <w:keepNext/>
              <w:snapToGrid w:val="0"/>
              <w:spacing w:line="360" w:lineRule="auto"/>
              <w:jc w:val="center"/>
              <w:rPr>
                <w:rFonts w:ascii="Times New Roman"/>
                <w:color w:val="000000"/>
                <w:sz w:val="24"/>
                <w:szCs w:val="24"/>
              </w:rPr>
            </w:pPr>
          </w:p>
        </w:tc>
        <w:tc>
          <w:tcPr>
            <w:tcW w:w="240" w:type="pct"/>
            <w:tcBorders>
              <w:top w:val="nil"/>
            </w:tcBorders>
            <w:noWrap w:val="0"/>
            <w:vAlign w:val="center"/>
          </w:tcPr>
          <w:p w14:paraId="5E07F87E">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00DDAEFD">
            <w:pPr>
              <w:keepNext/>
              <w:snapToGrid w:val="0"/>
              <w:spacing w:line="360" w:lineRule="auto"/>
              <w:jc w:val="center"/>
              <w:rPr>
                <w:rFonts w:ascii="Times New Roman"/>
                <w:color w:val="000000"/>
                <w:sz w:val="24"/>
                <w:szCs w:val="24"/>
              </w:rPr>
            </w:pPr>
          </w:p>
        </w:tc>
        <w:tc>
          <w:tcPr>
            <w:tcW w:w="587" w:type="pct"/>
            <w:tcBorders>
              <w:top w:val="nil"/>
            </w:tcBorders>
            <w:noWrap w:val="0"/>
            <w:vAlign w:val="center"/>
          </w:tcPr>
          <w:p w14:paraId="64B9DAE7">
            <w:pPr>
              <w:keepNext/>
              <w:snapToGrid w:val="0"/>
              <w:spacing w:line="360" w:lineRule="auto"/>
              <w:jc w:val="center"/>
              <w:rPr>
                <w:rFonts w:ascii="Times New Roman"/>
                <w:color w:val="000000"/>
                <w:sz w:val="24"/>
                <w:szCs w:val="24"/>
              </w:rPr>
            </w:pPr>
          </w:p>
        </w:tc>
        <w:tc>
          <w:tcPr>
            <w:tcW w:w="744" w:type="pct"/>
            <w:tcBorders>
              <w:top w:val="nil"/>
            </w:tcBorders>
            <w:noWrap w:val="0"/>
            <w:vAlign w:val="center"/>
          </w:tcPr>
          <w:p w14:paraId="76FF1928">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1B5E41AB">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54CE38F2">
            <w:pPr>
              <w:keepNext/>
              <w:snapToGrid w:val="0"/>
              <w:spacing w:line="360" w:lineRule="auto"/>
              <w:jc w:val="center"/>
              <w:rPr>
                <w:rFonts w:ascii="Times New Roman"/>
                <w:color w:val="000000"/>
                <w:sz w:val="24"/>
                <w:szCs w:val="24"/>
              </w:rPr>
            </w:pPr>
          </w:p>
        </w:tc>
      </w:tr>
      <w:tr w14:paraId="32233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noWrap w:val="0"/>
            <w:vAlign w:val="center"/>
          </w:tcPr>
          <w:p w14:paraId="71E39E6B">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37CB777F">
            <w:pPr>
              <w:keepNext/>
              <w:snapToGrid w:val="0"/>
              <w:spacing w:line="360" w:lineRule="auto"/>
              <w:jc w:val="center"/>
              <w:rPr>
                <w:rFonts w:ascii="Times New Roman"/>
                <w:color w:val="000000"/>
                <w:sz w:val="24"/>
                <w:szCs w:val="24"/>
              </w:rPr>
            </w:pPr>
          </w:p>
        </w:tc>
        <w:tc>
          <w:tcPr>
            <w:tcW w:w="778" w:type="pct"/>
            <w:tcBorders>
              <w:bottom w:val="single" w:color="auto" w:sz="12" w:space="0"/>
            </w:tcBorders>
            <w:noWrap w:val="0"/>
            <w:vAlign w:val="center"/>
          </w:tcPr>
          <w:p w14:paraId="08878BB1">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27FCAA9F">
            <w:pPr>
              <w:keepNext/>
              <w:snapToGrid w:val="0"/>
              <w:spacing w:line="360" w:lineRule="auto"/>
              <w:jc w:val="center"/>
              <w:rPr>
                <w:rFonts w:ascii="Times New Roman"/>
                <w:color w:val="000000"/>
                <w:sz w:val="24"/>
                <w:szCs w:val="24"/>
              </w:rPr>
            </w:pPr>
          </w:p>
        </w:tc>
        <w:tc>
          <w:tcPr>
            <w:tcW w:w="240" w:type="pct"/>
            <w:tcBorders>
              <w:bottom w:val="single" w:color="auto" w:sz="12" w:space="0"/>
            </w:tcBorders>
            <w:noWrap w:val="0"/>
            <w:vAlign w:val="center"/>
          </w:tcPr>
          <w:p w14:paraId="66C422EB">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2F95576C">
            <w:pPr>
              <w:keepNext/>
              <w:snapToGrid w:val="0"/>
              <w:spacing w:line="360" w:lineRule="auto"/>
              <w:jc w:val="center"/>
              <w:rPr>
                <w:rFonts w:ascii="Times New Roman"/>
                <w:color w:val="000000"/>
                <w:sz w:val="24"/>
                <w:szCs w:val="24"/>
              </w:rPr>
            </w:pPr>
          </w:p>
        </w:tc>
        <w:tc>
          <w:tcPr>
            <w:tcW w:w="587" w:type="pct"/>
            <w:tcBorders>
              <w:bottom w:val="single" w:color="auto" w:sz="12" w:space="0"/>
            </w:tcBorders>
            <w:noWrap w:val="0"/>
            <w:vAlign w:val="center"/>
          </w:tcPr>
          <w:p w14:paraId="3B137F87">
            <w:pPr>
              <w:keepNext/>
              <w:snapToGrid w:val="0"/>
              <w:spacing w:line="360" w:lineRule="auto"/>
              <w:jc w:val="center"/>
              <w:rPr>
                <w:rFonts w:ascii="Times New Roman"/>
                <w:color w:val="000000"/>
                <w:sz w:val="24"/>
                <w:szCs w:val="24"/>
              </w:rPr>
            </w:pPr>
          </w:p>
        </w:tc>
        <w:tc>
          <w:tcPr>
            <w:tcW w:w="744" w:type="pct"/>
            <w:tcBorders>
              <w:bottom w:val="single" w:color="auto" w:sz="12" w:space="0"/>
            </w:tcBorders>
            <w:noWrap w:val="0"/>
            <w:vAlign w:val="center"/>
          </w:tcPr>
          <w:p w14:paraId="21FE3D0B">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3E02FB73">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725AA4F4">
            <w:pPr>
              <w:keepNext/>
              <w:snapToGrid w:val="0"/>
              <w:spacing w:line="360" w:lineRule="auto"/>
              <w:jc w:val="center"/>
              <w:rPr>
                <w:rFonts w:ascii="Times New Roman"/>
                <w:color w:val="000000"/>
                <w:sz w:val="24"/>
                <w:szCs w:val="24"/>
              </w:rPr>
            </w:pPr>
          </w:p>
        </w:tc>
      </w:tr>
    </w:tbl>
    <w:p w14:paraId="01EA0B56">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599" w:name="_Toc128950236"/>
      <w:r>
        <w:rPr>
          <w:rFonts w:hint="eastAsia" w:ascii="Times New Roman" w:eastAsia="黑体"/>
          <w:color w:val="000000"/>
          <w:sz w:val="24"/>
          <w:szCs w:val="24"/>
        </w:rPr>
        <w:t>附</w:t>
      </w:r>
      <w:bookmarkStart w:id="600" w:name="_Toc296347224"/>
      <w:bookmarkStart w:id="601" w:name="_Toc296503225"/>
      <w:bookmarkStart w:id="602" w:name="_Toc296944564"/>
      <w:bookmarkStart w:id="603" w:name="_Toc296891053"/>
      <w:bookmarkStart w:id="604" w:name="_Toc296346726"/>
      <w:bookmarkStart w:id="605" w:name="_Toc296891265"/>
      <w:bookmarkStart w:id="606" w:name="_Toc267261692"/>
      <w:r>
        <w:rPr>
          <w:rFonts w:hint="eastAsia" w:ascii="Times New Roman" w:eastAsia="黑体"/>
          <w:color w:val="000000"/>
          <w:sz w:val="24"/>
          <w:szCs w:val="24"/>
        </w:rPr>
        <w:t>件</w:t>
      </w:r>
      <w:r>
        <w:rPr>
          <w:rFonts w:ascii="Times New Roman" w:eastAsia="黑体"/>
          <w:color w:val="000000"/>
          <w:sz w:val="24"/>
          <w:szCs w:val="24"/>
        </w:rPr>
        <w:t>2</w:t>
      </w:r>
      <w:r>
        <w:rPr>
          <w:rFonts w:hint="eastAsia" w:ascii="Times New Roman" w:eastAsia="黑体"/>
          <w:color w:val="000000"/>
          <w:sz w:val="24"/>
          <w:szCs w:val="24"/>
        </w:rPr>
        <w:t>：发包人供应材料设备一览表</w:t>
      </w:r>
      <w:bookmarkEnd w:id="599"/>
    </w:p>
    <w:bookmarkEnd w:id="600"/>
    <w:bookmarkEnd w:id="601"/>
    <w:bookmarkEnd w:id="602"/>
    <w:bookmarkEnd w:id="603"/>
    <w:bookmarkEnd w:id="604"/>
    <w:bookmarkEnd w:id="605"/>
    <w:bookmarkEnd w:id="606"/>
    <w:p w14:paraId="4DB79B96">
      <w:pPr>
        <w:spacing w:line="360" w:lineRule="auto"/>
        <w:jc w:val="center"/>
        <w:rPr>
          <w:rFonts w:ascii="Times New Roman"/>
          <w:color w:val="000000"/>
          <w:sz w:val="24"/>
          <w:szCs w:val="24"/>
        </w:rPr>
      </w:pPr>
      <w:r>
        <w:rPr>
          <w:rFonts w:hint="eastAsia" w:ascii="Times New Roman"/>
          <w:color w:val="000000"/>
          <w:sz w:val="24"/>
          <w:szCs w:val="24"/>
        </w:rPr>
        <w:t>发包人供应材料设备一览表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26445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noWrap w:val="0"/>
            <w:vAlign w:val="center"/>
          </w:tcPr>
          <w:p w14:paraId="5921E3F1">
            <w:pPr>
              <w:keepNext/>
              <w:snapToGrid w:val="0"/>
              <w:spacing w:line="360" w:lineRule="auto"/>
              <w:jc w:val="center"/>
              <w:rPr>
                <w:rFonts w:ascii="Times New Roman"/>
                <w:color w:val="000000"/>
                <w:sz w:val="24"/>
                <w:szCs w:val="24"/>
              </w:rPr>
            </w:pPr>
            <w:r>
              <w:rPr>
                <w:rFonts w:hint="eastAsia" w:ascii="Times New Roman"/>
                <w:color w:val="000000"/>
                <w:sz w:val="24"/>
                <w:szCs w:val="24"/>
              </w:rPr>
              <w:t>序号</w:t>
            </w:r>
          </w:p>
        </w:tc>
        <w:tc>
          <w:tcPr>
            <w:tcW w:w="941" w:type="pct"/>
            <w:tcBorders>
              <w:top w:val="single" w:color="auto" w:sz="12" w:space="0"/>
              <w:bottom w:val="double" w:color="auto" w:sz="6" w:space="0"/>
            </w:tcBorders>
            <w:noWrap w:val="0"/>
            <w:vAlign w:val="center"/>
          </w:tcPr>
          <w:p w14:paraId="04117DCB">
            <w:pPr>
              <w:keepNext/>
              <w:snapToGrid w:val="0"/>
              <w:spacing w:line="360" w:lineRule="auto"/>
              <w:jc w:val="center"/>
              <w:rPr>
                <w:rFonts w:ascii="Times New Roman"/>
                <w:color w:val="000000"/>
                <w:sz w:val="24"/>
                <w:szCs w:val="24"/>
              </w:rPr>
            </w:pPr>
            <w:r>
              <w:rPr>
                <w:rFonts w:hint="eastAsia" w:ascii="Times New Roman"/>
                <w:color w:val="000000"/>
                <w:sz w:val="24"/>
                <w:szCs w:val="24"/>
              </w:rPr>
              <w:t>材料、设备品种</w:t>
            </w:r>
          </w:p>
        </w:tc>
        <w:tc>
          <w:tcPr>
            <w:tcW w:w="552" w:type="pct"/>
            <w:tcBorders>
              <w:top w:val="single" w:color="auto" w:sz="12" w:space="0"/>
              <w:bottom w:val="double" w:color="auto" w:sz="6" w:space="0"/>
            </w:tcBorders>
            <w:noWrap w:val="0"/>
            <w:vAlign w:val="center"/>
          </w:tcPr>
          <w:p w14:paraId="52050C0C">
            <w:pPr>
              <w:keepNext/>
              <w:snapToGrid w:val="0"/>
              <w:spacing w:line="360" w:lineRule="auto"/>
              <w:jc w:val="center"/>
              <w:rPr>
                <w:rFonts w:ascii="Times New Roman"/>
                <w:color w:val="000000"/>
                <w:sz w:val="24"/>
                <w:szCs w:val="24"/>
              </w:rPr>
            </w:pPr>
            <w:r>
              <w:rPr>
                <w:rFonts w:hint="eastAsia" w:ascii="Times New Roman"/>
                <w:color w:val="000000"/>
                <w:sz w:val="24"/>
                <w:szCs w:val="24"/>
              </w:rPr>
              <w:t>规格型号</w:t>
            </w:r>
          </w:p>
        </w:tc>
        <w:tc>
          <w:tcPr>
            <w:tcW w:w="292" w:type="pct"/>
            <w:tcBorders>
              <w:top w:val="single" w:color="auto" w:sz="12" w:space="0"/>
              <w:bottom w:val="double" w:color="auto" w:sz="6" w:space="0"/>
            </w:tcBorders>
            <w:noWrap w:val="0"/>
            <w:vAlign w:val="center"/>
          </w:tcPr>
          <w:p w14:paraId="74AE690E">
            <w:pPr>
              <w:keepNext/>
              <w:snapToGrid w:val="0"/>
              <w:spacing w:line="360" w:lineRule="auto"/>
              <w:jc w:val="center"/>
              <w:rPr>
                <w:rFonts w:ascii="Times New Roman"/>
                <w:color w:val="000000"/>
                <w:sz w:val="24"/>
                <w:szCs w:val="24"/>
              </w:rPr>
            </w:pPr>
            <w:r>
              <w:rPr>
                <w:rFonts w:hint="eastAsia" w:ascii="Times New Roman"/>
                <w:color w:val="000000"/>
                <w:sz w:val="24"/>
                <w:szCs w:val="24"/>
              </w:rPr>
              <w:t>单位</w:t>
            </w:r>
          </w:p>
        </w:tc>
        <w:tc>
          <w:tcPr>
            <w:tcW w:w="292" w:type="pct"/>
            <w:tcBorders>
              <w:top w:val="single" w:color="auto" w:sz="12" w:space="0"/>
              <w:bottom w:val="double" w:color="auto" w:sz="6" w:space="0"/>
            </w:tcBorders>
            <w:noWrap w:val="0"/>
            <w:vAlign w:val="center"/>
          </w:tcPr>
          <w:p w14:paraId="02FF0B0D">
            <w:pPr>
              <w:keepNext/>
              <w:snapToGrid w:val="0"/>
              <w:spacing w:line="360" w:lineRule="auto"/>
              <w:jc w:val="center"/>
              <w:rPr>
                <w:rFonts w:ascii="Times New Roman"/>
                <w:color w:val="000000"/>
                <w:sz w:val="24"/>
                <w:szCs w:val="24"/>
              </w:rPr>
            </w:pPr>
            <w:r>
              <w:rPr>
                <w:rFonts w:hint="eastAsia" w:ascii="Times New Roman"/>
                <w:color w:val="000000"/>
                <w:sz w:val="24"/>
                <w:szCs w:val="24"/>
              </w:rPr>
              <w:t>数量</w:t>
            </w:r>
          </w:p>
        </w:tc>
        <w:tc>
          <w:tcPr>
            <w:tcW w:w="682" w:type="pct"/>
            <w:tcBorders>
              <w:top w:val="single" w:color="auto" w:sz="12" w:space="0"/>
              <w:bottom w:val="double" w:color="auto" w:sz="6" w:space="0"/>
            </w:tcBorders>
            <w:noWrap w:val="0"/>
            <w:vAlign w:val="center"/>
          </w:tcPr>
          <w:p w14:paraId="577551A9">
            <w:pPr>
              <w:keepNext/>
              <w:snapToGrid w:val="0"/>
              <w:spacing w:line="360" w:lineRule="auto"/>
              <w:jc w:val="center"/>
              <w:rPr>
                <w:rFonts w:ascii="Times New Roman"/>
                <w:color w:val="000000"/>
                <w:sz w:val="24"/>
                <w:szCs w:val="24"/>
              </w:rPr>
            </w:pPr>
            <w:r>
              <w:rPr>
                <w:rFonts w:hint="eastAsia" w:ascii="Times New Roman"/>
                <w:color w:val="000000"/>
                <w:sz w:val="24"/>
                <w:szCs w:val="24"/>
              </w:rPr>
              <w:t>单价（元）</w:t>
            </w:r>
          </w:p>
        </w:tc>
        <w:tc>
          <w:tcPr>
            <w:tcW w:w="552" w:type="pct"/>
            <w:tcBorders>
              <w:top w:val="single" w:color="auto" w:sz="12" w:space="0"/>
              <w:bottom w:val="double" w:color="auto" w:sz="6" w:space="0"/>
            </w:tcBorders>
            <w:noWrap w:val="0"/>
            <w:vAlign w:val="center"/>
          </w:tcPr>
          <w:p w14:paraId="0FC6FE98">
            <w:pPr>
              <w:keepNext/>
              <w:snapToGrid w:val="0"/>
              <w:spacing w:line="360" w:lineRule="auto"/>
              <w:jc w:val="center"/>
              <w:rPr>
                <w:rFonts w:ascii="Times New Roman"/>
                <w:color w:val="000000"/>
                <w:sz w:val="24"/>
                <w:szCs w:val="24"/>
              </w:rPr>
            </w:pPr>
            <w:r>
              <w:rPr>
                <w:rFonts w:hint="eastAsia" w:ascii="Times New Roman"/>
                <w:color w:val="000000"/>
                <w:sz w:val="24"/>
                <w:szCs w:val="24"/>
              </w:rPr>
              <w:t>质量等级</w:t>
            </w:r>
          </w:p>
        </w:tc>
        <w:tc>
          <w:tcPr>
            <w:tcW w:w="552" w:type="pct"/>
            <w:tcBorders>
              <w:top w:val="single" w:color="auto" w:sz="12" w:space="0"/>
              <w:bottom w:val="double" w:color="auto" w:sz="6" w:space="0"/>
            </w:tcBorders>
            <w:noWrap w:val="0"/>
            <w:vAlign w:val="center"/>
          </w:tcPr>
          <w:p w14:paraId="113ADDD7">
            <w:pPr>
              <w:keepNext/>
              <w:snapToGrid w:val="0"/>
              <w:spacing w:line="360" w:lineRule="auto"/>
              <w:jc w:val="center"/>
              <w:rPr>
                <w:rFonts w:ascii="Times New Roman"/>
                <w:color w:val="000000"/>
                <w:sz w:val="24"/>
                <w:szCs w:val="24"/>
              </w:rPr>
            </w:pPr>
            <w:r>
              <w:rPr>
                <w:rFonts w:hint="eastAsia" w:ascii="Times New Roman"/>
                <w:color w:val="000000"/>
                <w:sz w:val="24"/>
                <w:szCs w:val="24"/>
              </w:rPr>
              <w:t>供应时间</w:t>
            </w:r>
          </w:p>
        </w:tc>
        <w:tc>
          <w:tcPr>
            <w:tcW w:w="552" w:type="pct"/>
            <w:tcBorders>
              <w:top w:val="single" w:color="auto" w:sz="12" w:space="0"/>
              <w:bottom w:val="double" w:color="auto" w:sz="6" w:space="0"/>
            </w:tcBorders>
            <w:noWrap w:val="0"/>
            <w:vAlign w:val="center"/>
          </w:tcPr>
          <w:p w14:paraId="49B33F98">
            <w:pPr>
              <w:keepNext/>
              <w:snapToGrid w:val="0"/>
              <w:spacing w:line="360" w:lineRule="auto"/>
              <w:jc w:val="center"/>
              <w:rPr>
                <w:rFonts w:ascii="Times New Roman"/>
                <w:color w:val="000000"/>
                <w:sz w:val="24"/>
                <w:szCs w:val="24"/>
              </w:rPr>
            </w:pPr>
            <w:r>
              <w:rPr>
                <w:rFonts w:hint="eastAsia" w:ascii="Times New Roman"/>
                <w:color w:val="000000"/>
                <w:sz w:val="24"/>
                <w:szCs w:val="24"/>
              </w:rPr>
              <w:t>送达地点</w:t>
            </w:r>
          </w:p>
        </w:tc>
        <w:tc>
          <w:tcPr>
            <w:tcW w:w="292" w:type="pct"/>
            <w:tcBorders>
              <w:top w:val="single" w:color="auto" w:sz="12" w:space="0"/>
              <w:bottom w:val="double" w:color="auto" w:sz="6" w:space="0"/>
            </w:tcBorders>
            <w:noWrap w:val="0"/>
            <w:vAlign w:val="center"/>
          </w:tcPr>
          <w:p w14:paraId="6D2AEB5B">
            <w:pPr>
              <w:keepNext/>
              <w:snapToGrid w:val="0"/>
              <w:spacing w:line="360" w:lineRule="auto"/>
              <w:jc w:val="center"/>
              <w:rPr>
                <w:rFonts w:ascii="Times New Roman"/>
                <w:color w:val="000000"/>
                <w:sz w:val="24"/>
                <w:szCs w:val="24"/>
              </w:rPr>
            </w:pPr>
            <w:r>
              <w:rPr>
                <w:rFonts w:hint="eastAsia" w:ascii="Times New Roman"/>
                <w:color w:val="000000"/>
                <w:sz w:val="24"/>
                <w:szCs w:val="24"/>
              </w:rPr>
              <w:t>备注</w:t>
            </w:r>
          </w:p>
        </w:tc>
      </w:tr>
      <w:tr w14:paraId="6C894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noWrap w:val="0"/>
            <w:vAlign w:val="center"/>
          </w:tcPr>
          <w:p w14:paraId="5FF8A7E0">
            <w:pPr>
              <w:keepNext/>
              <w:snapToGrid w:val="0"/>
              <w:spacing w:line="360" w:lineRule="auto"/>
              <w:jc w:val="center"/>
              <w:rPr>
                <w:rFonts w:ascii="Times New Roman"/>
                <w:color w:val="000000"/>
                <w:sz w:val="24"/>
                <w:szCs w:val="24"/>
              </w:rPr>
            </w:pPr>
          </w:p>
        </w:tc>
        <w:tc>
          <w:tcPr>
            <w:tcW w:w="941" w:type="pct"/>
            <w:tcBorders>
              <w:top w:val="double" w:color="auto" w:sz="6" w:space="0"/>
            </w:tcBorders>
            <w:noWrap w:val="0"/>
            <w:vAlign w:val="center"/>
          </w:tcPr>
          <w:p w14:paraId="165EFB75">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7037D3EA">
            <w:pPr>
              <w:keepNext/>
              <w:snapToGrid w:val="0"/>
              <w:spacing w:line="360" w:lineRule="auto"/>
              <w:jc w:val="center"/>
              <w:rPr>
                <w:rFonts w:ascii="Times New Roman"/>
                <w:color w:val="000000"/>
                <w:sz w:val="24"/>
                <w:szCs w:val="24"/>
              </w:rPr>
            </w:pPr>
          </w:p>
        </w:tc>
        <w:tc>
          <w:tcPr>
            <w:tcW w:w="292" w:type="pct"/>
            <w:tcBorders>
              <w:top w:val="double" w:color="auto" w:sz="6" w:space="0"/>
            </w:tcBorders>
            <w:noWrap w:val="0"/>
            <w:vAlign w:val="center"/>
          </w:tcPr>
          <w:p w14:paraId="085AD6E6">
            <w:pPr>
              <w:keepNext/>
              <w:snapToGrid w:val="0"/>
              <w:spacing w:line="360" w:lineRule="auto"/>
              <w:jc w:val="center"/>
              <w:rPr>
                <w:rFonts w:ascii="Times New Roman"/>
                <w:color w:val="000000"/>
                <w:sz w:val="24"/>
                <w:szCs w:val="24"/>
              </w:rPr>
            </w:pPr>
          </w:p>
        </w:tc>
        <w:tc>
          <w:tcPr>
            <w:tcW w:w="292" w:type="pct"/>
            <w:tcBorders>
              <w:top w:val="double" w:color="auto" w:sz="6" w:space="0"/>
            </w:tcBorders>
            <w:noWrap w:val="0"/>
            <w:vAlign w:val="center"/>
          </w:tcPr>
          <w:p w14:paraId="3148719A">
            <w:pPr>
              <w:keepNext/>
              <w:snapToGrid w:val="0"/>
              <w:spacing w:line="360" w:lineRule="auto"/>
              <w:jc w:val="center"/>
              <w:rPr>
                <w:rFonts w:ascii="Times New Roman"/>
                <w:color w:val="000000"/>
                <w:sz w:val="24"/>
                <w:szCs w:val="24"/>
              </w:rPr>
            </w:pPr>
          </w:p>
        </w:tc>
        <w:tc>
          <w:tcPr>
            <w:tcW w:w="682" w:type="pct"/>
            <w:tcBorders>
              <w:top w:val="double" w:color="auto" w:sz="6" w:space="0"/>
            </w:tcBorders>
            <w:noWrap w:val="0"/>
            <w:vAlign w:val="center"/>
          </w:tcPr>
          <w:p w14:paraId="204C2066">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06EEAE31">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3494A413">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17C52BBE">
            <w:pPr>
              <w:keepNext/>
              <w:snapToGrid w:val="0"/>
              <w:spacing w:line="360" w:lineRule="auto"/>
              <w:jc w:val="center"/>
              <w:rPr>
                <w:rFonts w:ascii="Times New Roman"/>
                <w:color w:val="000000"/>
                <w:sz w:val="24"/>
                <w:szCs w:val="24"/>
              </w:rPr>
            </w:pPr>
          </w:p>
        </w:tc>
        <w:tc>
          <w:tcPr>
            <w:tcW w:w="292" w:type="pct"/>
            <w:tcBorders>
              <w:top w:val="double" w:color="auto" w:sz="6" w:space="0"/>
            </w:tcBorders>
            <w:noWrap w:val="0"/>
            <w:vAlign w:val="center"/>
          </w:tcPr>
          <w:p w14:paraId="4D149A63">
            <w:pPr>
              <w:keepNext/>
              <w:snapToGrid w:val="0"/>
              <w:spacing w:line="360" w:lineRule="auto"/>
              <w:jc w:val="center"/>
              <w:rPr>
                <w:rFonts w:ascii="Times New Roman"/>
                <w:color w:val="000000"/>
                <w:sz w:val="24"/>
                <w:szCs w:val="24"/>
              </w:rPr>
            </w:pPr>
          </w:p>
        </w:tc>
      </w:tr>
      <w:tr w14:paraId="2E786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noWrap w:val="0"/>
            <w:vAlign w:val="center"/>
          </w:tcPr>
          <w:p w14:paraId="508D67CA">
            <w:pPr>
              <w:snapToGrid w:val="0"/>
              <w:spacing w:line="360" w:lineRule="auto"/>
              <w:jc w:val="center"/>
              <w:rPr>
                <w:rFonts w:ascii="Times New Roman"/>
                <w:color w:val="000000"/>
                <w:sz w:val="24"/>
                <w:szCs w:val="24"/>
              </w:rPr>
            </w:pPr>
          </w:p>
        </w:tc>
        <w:tc>
          <w:tcPr>
            <w:tcW w:w="941" w:type="pct"/>
            <w:noWrap w:val="0"/>
            <w:vAlign w:val="center"/>
          </w:tcPr>
          <w:p w14:paraId="07620414">
            <w:pPr>
              <w:snapToGrid w:val="0"/>
              <w:spacing w:line="360" w:lineRule="auto"/>
              <w:jc w:val="center"/>
              <w:rPr>
                <w:rFonts w:ascii="Times New Roman"/>
                <w:color w:val="000000"/>
                <w:sz w:val="24"/>
                <w:szCs w:val="24"/>
              </w:rPr>
            </w:pPr>
          </w:p>
        </w:tc>
        <w:tc>
          <w:tcPr>
            <w:tcW w:w="552" w:type="pct"/>
            <w:noWrap w:val="0"/>
            <w:vAlign w:val="center"/>
          </w:tcPr>
          <w:p w14:paraId="1D1B291D">
            <w:pPr>
              <w:snapToGrid w:val="0"/>
              <w:spacing w:line="360" w:lineRule="auto"/>
              <w:jc w:val="center"/>
              <w:rPr>
                <w:rFonts w:ascii="Times New Roman"/>
                <w:color w:val="000000"/>
                <w:sz w:val="24"/>
                <w:szCs w:val="24"/>
              </w:rPr>
            </w:pPr>
          </w:p>
        </w:tc>
        <w:tc>
          <w:tcPr>
            <w:tcW w:w="292" w:type="pct"/>
            <w:noWrap w:val="0"/>
            <w:vAlign w:val="center"/>
          </w:tcPr>
          <w:p w14:paraId="0C9D3811">
            <w:pPr>
              <w:snapToGrid w:val="0"/>
              <w:spacing w:line="360" w:lineRule="auto"/>
              <w:jc w:val="center"/>
              <w:rPr>
                <w:rFonts w:ascii="Times New Roman"/>
                <w:color w:val="000000"/>
                <w:sz w:val="24"/>
                <w:szCs w:val="24"/>
              </w:rPr>
            </w:pPr>
          </w:p>
        </w:tc>
        <w:tc>
          <w:tcPr>
            <w:tcW w:w="292" w:type="pct"/>
            <w:noWrap w:val="0"/>
            <w:vAlign w:val="center"/>
          </w:tcPr>
          <w:p w14:paraId="50D704BF">
            <w:pPr>
              <w:snapToGrid w:val="0"/>
              <w:spacing w:line="360" w:lineRule="auto"/>
              <w:jc w:val="center"/>
              <w:rPr>
                <w:rFonts w:ascii="Times New Roman"/>
                <w:color w:val="000000"/>
                <w:sz w:val="24"/>
                <w:szCs w:val="24"/>
              </w:rPr>
            </w:pPr>
          </w:p>
        </w:tc>
        <w:tc>
          <w:tcPr>
            <w:tcW w:w="682" w:type="pct"/>
            <w:noWrap w:val="0"/>
            <w:vAlign w:val="center"/>
          </w:tcPr>
          <w:p w14:paraId="3F4666DB">
            <w:pPr>
              <w:snapToGrid w:val="0"/>
              <w:spacing w:line="360" w:lineRule="auto"/>
              <w:jc w:val="center"/>
              <w:rPr>
                <w:rFonts w:ascii="Times New Roman"/>
                <w:color w:val="000000"/>
                <w:sz w:val="24"/>
                <w:szCs w:val="24"/>
              </w:rPr>
            </w:pPr>
          </w:p>
        </w:tc>
        <w:tc>
          <w:tcPr>
            <w:tcW w:w="552" w:type="pct"/>
            <w:noWrap w:val="0"/>
            <w:vAlign w:val="center"/>
          </w:tcPr>
          <w:p w14:paraId="7D115205">
            <w:pPr>
              <w:snapToGrid w:val="0"/>
              <w:spacing w:line="360" w:lineRule="auto"/>
              <w:jc w:val="center"/>
              <w:rPr>
                <w:rFonts w:ascii="Times New Roman"/>
                <w:color w:val="000000"/>
                <w:sz w:val="24"/>
                <w:szCs w:val="24"/>
              </w:rPr>
            </w:pPr>
          </w:p>
        </w:tc>
        <w:tc>
          <w:tcPr>
            <w:tcW w:w="552" w:type="pct"/>
            <w:noWrap w:val="0"/>
            <w:vAlign w:val="center"/>
          </w:tcPr>
          <w:p w14:paraId="19CFA581">
            <w:pPr>
              <w:snapToGrid w:val="0"/>
              <w:spacing w:line="360" w:lineRule="auto"/>
              <w:jc w:val="center"/>
              <w:rPr>
                <w:rFonts w:ascii="Times New Roman"/>
                <w:color w:val="000000"/>
                <w:sz w:val="24"/>
                <w:szCs w:val="24"/>
              </w:rPr>
            </w:pPr>
          </w:p>
        </w:tc>
        <w:tc>
          <w:tcPr>
            <w:tcW w:w="552" w:type="pct"/>
            <w:noWrap w:val="0"/>
            <w:vAlign w:val="center"/>
          </w:tcPr>
          <w:p w14:paraId="6EF04165">
            <w:pPr>
              <w:snapToGrid w:val="0"/>
              <w:spacing w:line="360" w:lineRule="auto"/>
              <w:jc w:val="center"/>
              <w:rPr>
                <w:rFonts w:ascii="Times New Roman"/>
                <w:color w:val="000000"/>
                <w:sz w:val="24"/>
                <w:szCs w:val="24"/>
              </w:rPr>
            </w:pPr>
          </w:p>
        </w:tc>
        <w:tc>
          <w:tcPr>
            <w:tcW w:w="292" w:type="pct"/>
            <w:noWrap w:val="0"/>
            <w:vAlign w:val="center"/>
          </w:tcPr>
          <w:p w14:paraId="3010722A">
            <w:pPr>
              <w:snapToGrid w:val="0"/>
              <w:spacing w:line="360" w:lineRule="auto"/>
              <w:jc w:val="center"/>
              <w:rPr>
                <w:rFonts w:ascii="Times New Roman"/>
                <w:color w:val="000000"/>
                <w:sz w:val="24"/>
                <w:szCs w:val="24"/>
              </w:rPr>
            </w:pPr>
          </w:p>
        </w:tc>
      </w:tr>
      <w:tr w14:paraId="6D009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noWrap w:val="0"/>
            <w:vAlign w:val="center"/>
          </w:tcPr>
          <w:p w14:paraId="1F3A60CD">
            <w:pPr>
              <w:snapToGrid w:val="0"/>
              <w:spacing w:line="360" w:lineRule="auto"/>
              <w:jc w:val="center"/>
              <w:rPr>
                <w:rFonts w:ascii="Times New Roman"/>
                <w:color w:val="000000"/>
                <w:sz w:val="24"/>
                <w:szCs w:val="24"/>
              </w:rPr>
            </w:pPr>
          </w:p>
        </w:tc>
        <w:tc>
          <w:tcPr>
            <w:tcW w:w="941" w:type="pct"/>
            <w:tcBorders>
              <w:bottom w:val="single" w:color="auto" w:sz="12" w:space="0"/>
            </w:tcBorders>
            <w:noWrap w:val="0"/>
            <w:vAlign w:val="center"/>
          </w:tcPr>
          <w:p w14:paraId="378668A3">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45807A6B">
            <w:pPr>
              <w:snapToGrid w:val="0"/>
              <w:spacing w:line="360" w:lineRule="auto"/>
              <w:jc w:val="center"/>
              <w:rPr>
                <w:rFonts w:ascii="Times New Roman"/>
                <w:color w:val="000000"/>
                <w:sz w:val="24"/>
                <w:szCs w:val="24"/>
              </w:rPr>
            </w:pPr>
          </w:p>
        </w:tc>
        <w:tc>
          <w:tcPr>
            <w:tcW w:w="292" w:type="pct"/>
            <w:tcBorders>
              <w:bottom w:val="single" w:color="auto" w:sz="12" w:space="0"/>
            </w:tcBorders>
            <w:noWrap w:val="0"/>
            <w:vAlign w:val="center"/>
          </w:tcPr>
          <w:p w14:paraId="035A7541">
            <w:pPr>
              <w:snapToGrid w:val="0"/>
              <w:spacing w:line="360" w:lineRule="auto"/>
              <w:jc w:val="center"/>
              <w:rPr>
                <w:rFonts w:ascii="Times New Roman"/>
                <w:color w:val="000000"/>
                <w:sz w:val="24"/>
                <w:szCs w:val="24"/>
              </w:rPr>
            </w:pPr>
          </w:p>
        </w:tc>
        <w:tc>
          <w:tcPr>
            <w:tcW w:w="292" w:type="pct"/>
            <w:tcBorders>
              <w:bottom w:val="single" w:color="auto" w:sz="12" w:space="0"/>
            </w:tcBorders>
            <w:noWrap w:val="0"/>
            <w:vAlign w:val="center"/>
          </w:tcPr>
          <w:p w14:paraId="52AAF0F3">
            <w:pPr>
              <w:snapToGrid w:val="0"/>
              <w:spacing w:line="360" w:lineRule="auto"/>
              <w:jc w:val="center"/>
              <w:rPr>
                <w:rFonts w:ascii="Times New Roman"/>
                <w:color w:val="000000"/>
                <w:sz w:val="24"/>
                <w:szCs w:val="24"/>
              </w:rPr>
            </w:pPr>
          </w:p>
        </w:tc>
        <w:tc>
          <w:tcPr>
            <w:tcW w:w="682" w:type="pct"/>
            <w:tcBorders>
              <w:bottom w:val="single" w:color="auto" w:sz="12" w:space="0"/>
            </w:tcBorders>
            <w:noWrap w:val="0"/>
            <w:vAlign w:val="center"/>
          </w:tcPr>
          <w:p w14:paraId="15E1D4EC">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730FE928">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584B8D79">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73F4AB0B">
            <w:pPr>
              <w:snapToGrid w:val="0"/>
              <w:spacing w:line="360" w:lineRule="auto"/>
              <w:jc w:val="center"/>
              <w:rPr>
                <w:rFonts w:ascii="Times New Roman"/>
                <w:color w:val="000000"/>
                <w:sz w:val="24"/>
                <w:szCs w:val="24"/>
              </w:rPr>
            </w:pPr>
          </w:p>
        </w:tc>
        <w:tc>
          <w:tcPr>
            <w:tcW w:w="292" w:type="pct"/>
            <w:tcBorders>
              <w:bottom w:val="single" w:color="auto" w:sz="12" w:space="0"/>
            </w:tcBorders>
            <w:noWrap w:val="0"/>
            <w:vAlign w:val="center"/>
          </w:tcPr>
          <w:p w14:paraId="2C823454">
            <w:pPr>
              <w:snapToGrid w:val="0"/>
              <w:spacing w:line="360" w:lineRule="auto"/>
              <w:jc w:val="center"/>
              <w:rPr>
                <w:rFonts w:ascii="Times New Roman"/>
                <w:color w:val="000000"/>
                <w:sz w:val="24"/>
                <w:szCs w:val="24"/>
              </w:rPr>
            </w:pPr>
          </w:p>
        </w:tc>
      </w:tr>
    </w:tbl>
    <w:p w14:paraId="5D42AB09">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7" w:name="_Toc128950237"/>
      <w:r>
        <w:rPr>
          <w:rFonts w:hint="eastAsia" w:ascii="Times New Roman" w:eastAsia="黑体"/>
          <w:color w:val="000000"/>
          <w:sz w:val="24"/>
          <w:szCs w:val="24"/>
        </w:rPr>
        <w:t>附件3：工程质量保修书（房屋建筑工程）</w:t>
      </w:r>
      <w:bookmarkEnd w:id="607"/>
    </w:p>
    <w:p w14:paraId="3DDD8FE3">
      <w:pPr>
        <w:adjustRightInd w:val="0"/>
        <w:snapToGrid w:val="0"/>
        <w:spacing w:before="120" w:beforeLines="50" w:after="120" w:afterLines="50" w:line="360" w:lineRule="auto"/>
        <w:jc w:val="center"/>
        <w:rPr>
          <w:rFonts w:hint="eastAsia" w:ascii="Times New Roman"/>
          <w:b/>
          <w:color w:val="000000"/>
          <w:sz w:val="24"/>
          <w:szCs w:val="24"/>
        </w:rPr>
      </w:pPr>
      <w:r>
        <w:rPr>
          <w:rFonts w:hint="eastAsia" w:ascii="Times New Roman"/>
          <w:b/>
          <w:color w:val="000000"/>
          <w:sz w:val="24"/>
          <w:szCs w:val="24"/>
        </w:rPr>
        <w:t>工程质量保修书</w:t>
      </w:r>
    </w:p>
    <w:p w14:paraId="257361D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2B070F27">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401629E1">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发包人和承包人根据《中华人民共和国建筑法》和《建设工程质量管理条例》，经协商一致就_______________（工程全称）签订工程质量保修书。</w:t>
      </w:r>
    </w:p>
    <w:p w14:paraId="5AE215B5">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一、工程质量保修范围和内容</w:t>
      </w:r>
    </w:p>
    <w:p w14:paraId="2192E2C9">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承包人在质量保修期内，按照有关法律规定和合同约定，承担工程质量保修责任。</w:t>
      </w:r>
    </w:p>
    <w:p w14:paraId="3E43F429">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color w:val="000000"/>
          <w:sz w:val="24"/>
          <w:szCs w:val="24"/>
          <w:u w:val="single"/>
        </w:rPr>
        <w:t xml:space="preserve">                </w:t>
      </w:r>
      <w:r>
        <w:rPr>
          <w:rFonts w:hint="eastAsia" w:ascii="Times New Roman"/>
          <w:color w:val="000000"/>
          <w:sz w:val="24"/>
          <w:szCs w:val="24"/>
        </w:rPr>
        <w:t>。</w:t>
      </w:r>
    </w:p>
    <w:p w14:paraId="1CF59E24">
      <w:pPr>
        <w:adjustRightInd w:val="0"/>
        <w:snapToGrid w:val="0"/>
        <w:spacing w:line="360" w:lineRule="auto"/>
        <w:ind w:firstLine="472" w:firstLineChars="196"/>
        <w:rPr>
          <w:rFonts w:hint="eastAsia" w:ascii="Times New Roman"/>
          <w:b/>
          <w:color w:val="000000"/>
          <w:sz w:val="24"/>
          <w:szCs w:val="24"/>
        </w:rPr>
      </w:pPr>
      <w:r>
        <w:rPr>
          <w:rFonts w:hint="eastAsia" w:ascii="Times New Roman"/>
          <w:b/>
          <w:color w:val="000000"/>
          <w:sz w:val="24"/>
          <w:szCs w:val="24"/>
        </w:rPr>
        <w:t>二、质量保修期</w:t>
      </w:r>
    </w:p>
    <w:p w14:paraId="52A8CD9A">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根据《建设工程质量管理条例》及有关规定，工程的质量保修期如下：</w:t>
      </w:r>
    </w:p>
    <w:p w14:paraId="216CC319">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 地基基础工程和主体结构工程为设计文件规定的工程合理使用年限；</w:t>
      </w:r>
    </w:p>
    <w:p w14:paraId="0B3AA6C4">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 屋面防水工程、有防水要求的卫生间、房间和外墙面的防渗为</w:t>
      </w:r>
      <w:r>
        <w:rPr>
          <w:rFonts w:hint="eastAsia" w:ascii="Times New Roman"/>
          <w:color w:val="000000"/>
          <w:sz w:val="24"/>
          <w:szCs w:val="24"/>
          <w:u w:val="single"/>
        </w:rPr>
        <w:t>5</w:t>
      </w:r>
      <w:r>
        <w:rPr>
          <w:rFonts w:hint="eastAsia" w:ascii="Times New Roman"/>
          <w:color w:val="000000"/>
          <w:sz w:val="24"/>
          <w:szCs w:val="24"/>
        </w:rPr>
        <w:t>年；</w:t>
      </w:r>
    </w:p>
    <w:p w14:paraId="620F570F">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 装修工程为</w:t>
      </w:r>
      <w:r>
        <w:rPr>
          <w:rFonts w:hint="eastAsia" w:ascii="Times New Roman"/>
          <w:color w:val="000000"/>
          <w:sz w:val="24"/>
          <w:szCs w:val="24"/>
          <w:u w:val="single"/>
        </w:rPr>
        <w:t>2</w:t>
      </w:r>
      <w:r>
        <w:rPr>
          <w:rFonts w:hint="eastAsia" w:ascii="Times New Roman"/>
          <w:color w:val="000000"/>
          <w:sz w:val="24"/>
          <w:szCs w:val="24"/>
        </w:rPr>
        <w:t>年；</w:t>
      </w:r>
    </w:p>
    <w:p w14:paraId="29A0B31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4. 电气管线、给排水管道、设备安装工程为</w:t>
      </w:r>
      <w:r>
        <w:rPr>
          <w:rFonts w:hint="eastAsia" w:ascii="Times New Roman"/>
          <w:color w:val="000000"/>
          <w:sz w:val="24"/>
          <w:szCs w:val="24"/>
          <w:u w:val="single"/>
        </w:rPr>
        <w:t>2</w:t>
      </w:r>
      <w:r>
        <w:rPr>
          <w:rFonts w:hint="eastAsia" w:ascii="Times New Roman"/>
          <w:color w:val="000000"/>
          <w:sz w:val="24"/>
          <w:szCs w:val="24"/>
        </w:rPr>
        <w:t>年；</w:t>
      </w:r>
    </w:p>
    <w:p w14:paraId="787846AC">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5. 供热与供冷系统为</w:t>
      </w:r>
      <w:r>
        <w:rPr>
          <w:rFonts w:hint="eastAsia" w:ascii="Times New Roman"/>
          <w:color w:val="000000"/>
          <w:sz w:val="24"/>
          <w:szCs w:val="24"/>
          <w:u w:val="single"/>
        </w:rPr>
        <w:t>2</w:t>
      </w:r>
      <w:r>
        <w:rPr>
          <w:rFonts w:hint="eastAsia" w:ascii="Times New Roman"/>
          <w:color w:val="000000"/>
          <w:sz w:val="24"/>
          <w:szCs w:val="24"/>
        </w:rPr>
        <w:t>个采暖期、供冷期；</w:t>
      </w:r>
    </w:p>
    <w:p w14:paraId="6C3241E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 住宅小区内的给排水设施、道路等配套工程为</w:t>
      </w:r>
      <w:r>
        <w:rPr>
          <w:rFonts w:hint="eastAsia" w:ascii="Times New Roman"/>
          <w:color w:val="000000"/>
          <w:sz w:val="24"/>
          <w:szCs w:val="24"/>
          <w:u w:val="single"/>
        </w:rPr>
        <w:t>2</w:t>
      </w:r>
      <w:r>
        <w:rPr>
          <w:rFonts w:hint="eastAsia" w:ascii="Times New Roman"/>
          <w:color w:val="000000"/>
          <w:sz w:val="24"/>
          <w:szCs w:val="24"/>
        </w:rPr>
        <w:t>年；</w:t>
      </w:r>
    </w:p>
    <w:p w14:paraId="0348B70D">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7. 其他项目保修期限约定如下：</w:t>
      </w:r>
      <w:r>
        <w:rPr>
          <w:rFonts w:hint="eastAsia" w:ascii="Times New Roman"/>
          <w:color w:val="000000"/>
          <w:sz w:val="24"/>
          <w:szCs w:val="24"/>
          <w:u w:val="single"/>
        </w:rPr>
        <w:t>保温工程5年</w:t>
      </w:r>
      <w:r>
        <w:rPr>
          <w:rFonts w:hint="eastAsia" w:ascii="Times New Roman"/>
          <w:color w:val="000000"/>
          <w:sz w:val="24"/>
          <w:szCs w:val="24"/>
        </w:rPr>
        <w:t>。</w:t>
      </w:r>
    </w:p>
    <w:p w14:paraId="69E48C41">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质量保修期自工程竣工验收合格之日起计算。</w:t>
      </w:r>
    </w:p>
    <w:p w14:paraId="589425F4">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5C239817">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2ADD96EA">
      <w:pPr>
        <w:adjustRightInd w:val="0"/>
        <w:snapToGrid w:val="0"/>
        <w:spacing w:line="360" w:lineRule="auto"/>
        <w:ind w:firstLine="480" w:firstLineChars="200"/>
        <w:rPr>
          <w:rFonts w:hint="eastAsia" w:ascii="Times New Roman"/>
          <w:b/>
          <w:color w:val="000000"/>
          <w:sz w:val="24"/>
          <w:szCs w:val="24"/>
        </w:rPr>
      </w:pPr>
      <w:r>
        <w:rPr>
          <w:rFonts w:hint="eastAsia" w:ascii="Times New Roman"/>
          <w:color w:val="000000"/>
          <w:sz w:val="24"/>
          <w:szCs w:val="24"/>
        </w:rPr>
        <w:t>缺陷责任期终止后，发包人应退还剩余的质量保证金。</w:t>
      </w:r>
    </w:p>
    <w:p w14:paraId="25D1DEBF">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四、质量保修责任</w:t>
      </w:r>
    </w:p>
    <w:p w14:paraId="7160C38C">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1. 属于保修范围、内容的项目，承包人应当在接到保修通知之日起7天内派人保修。承包人不在约定期限内派人保修的，发包人可以委托他人修理。</w:t>
      </w:r>
    </w:p>
    <w:p w14:paraId="1DA970EA">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2. 发生紧急事故需抢修的，承包人在接到事故通知后，应当立即到达事故现场抢修。</w:t>
      </w:r>
    </w:p>
    <w:p w14:paraId="12084093">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F891BB">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4. 质量保修完成后，由发包人组织验收。</w:t>
      </w:r>
    </w:p>
    <w:p w14:paraId="413E5A4A">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五、保修费用</w:t>
      </w:r>
    </w:p>
    <w:p w14:paraId="449C471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保修费用由造成质量缺陷的责任方承担。</w:t>
      </w:r>
    </w:p>
    <w:p w14:paraId="01BCDAE9">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六、双方约定的其他工程质量保修事项：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54873825">
      <w:pPr>
        <w:adjustRightInd w:val="0"/>
        <w:snapToGrid w:val="0"/>
        <w:spacing w:line="360" w:lineRule="auto"/>
        <w:ind w:firstLine="456" w:firstLineChars="190"/>
        <w:rPr>
          <w:rFonts w:hint="eastAsia" w:ascii="Times New Roman"/>
          <w:color w:val="000000"/>
          <w:sz w:val="24"/>
          <w:szCs w:val="24"/>
        </w:rPr>
      </w:pPr>
      <w:r>
        <w:rPr>
          <w:rFonts w:hint="eastAsia" w:ascii="Times New Roman"/>
          <w:color w:val="000000"/>
          <w:sz w:val="24"/>
          <w:szCs w:val="24"/>
        </w:rPr>
        <w:t>工程质量保修书由发包人、承包人在工程竣工验收前共同签署，作为施工合同附件，其有效期限至保修期满。</w:t>
      </w:r>
    </w:p>
    <w:p w14:paraId="7E9E0496">
      <w:pPr>
        <w:adjustRightInd w:val="0"/>
        <w:snapToGrid w:val="0"/>
        <w:spacing w:line="360" w:lineRule="auto"/>
        <w:ind w:firstLine="420"/>
        <w:rPr>
          <w:rFonts w:hint="eastAsia" w:ascii="Times New Roman"/>
          <w:color w:val="000000"/>
          <w:sz w:val="24"/>
          <w:szCs w:val="24"/>
        </w:rPr>
      </w:pPr>
    </w:p>
    <w:p w14:paraId="46AF81D1">
      <w:pPr>
        <w:adjustRightInd w:val="0"/>
        <w:snapToGrid w:val="0"/>
        <w:spacing w:line="360" w:lineRule="auto"/>
        <w:ind w:firstLine="420"/>
        <w:rPr>
          <w:rFonts w:hint="eastAsia" w:ascii="Times New Roman"/>
          <w:color w:val="000000"/>
          <w:sz w:val="24"/>
          <w:szCs w:val="24"/>
        </w:rPr>
      </w:pPr>
    </w:p>
    <w:p w14:paraId="3CD13738">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4F0555B1">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B8E3DD1">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37E5169">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AD11447">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98E3E7A">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37EB6FF6">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p>
    <w:p w14:paraId="3426817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2345C52">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p>
    <w:p w14:paraId="6121EF74">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8" w:name="_Toc128950238"/>
      <w:r>
        <w:rPr>
          <w:rFonts w:hint="eastAsia" w:ascii="Times New Roman" w:eastAsia="黑体"/>
          <w:color w:val="000000"/>
          <w:sz w:val="24"/>
          <w:szCs w:val="24"/>
        </w:rPr>
        <w:t>附</w:t>
      </w:r>
      <w:bookmarkStart w:id="609" w:name="_Toc296346727"/>
      <w:bookmarkStart w:id="610" w:name="_Toc296891054"/>
      <w:bookmarkStart w:id="611" w:name="_Toc296347225"/>
      <w:bookmarkStart w:id="612" w:name="_Toc296944565"/>
      <w:bookmarkStart w:id="613" w:name="_Toc267261693"/>
      <w:bookmarkStart w:id="614" w:name="_Toc296891266"/>
      <w:bookmarkStart w:id="615" w:name="_Toc296503226"/>
      <w:r>
        <w:rPr>
          <w:rFonts w:hint="eastAsia" w:ascii="Times New Roman" w:eastAsia="黑体"/>
          <w:color w:val="000000"/>
          <w:sz w:val="24"/>
          <w:szCs w:val="24"/>
        </w:rPr>
        <w:t>件</w:t>
      </w:r>
      <w:r>
        <w:rPr>
          <w:rFonts w:ascii="Times New Roman" w:eastAsia="黑体"/>
          <w:color w:val="000000"/>
          <w:sz w:val="24"/>
          <w:szCs w:val="24"/>
        </w:rPr>
        <w:t>3</w:t>
      </w:r>
      <w:r>
        <w:rPr>
          <w:rFonts w:hint="eastAsia" w:ascii="Times New Roman" w:eastAsia="黑体"/>
          <w:color w:val="000000"/>
          <w:sz w:val="24"/>
          <w:szCs w:val="24"/>
        </w:rPr>
        <w:t>：</w:t>
      </w:r>
      <w:bookmarkEnd w:id="609"/>
      <w:bookmarkEnd w:id="610"/>
      <w:bookmarkEnd w:id="611"/>
      <w:bookmarkEnd w:id="612"/>
      <w:bookmarkEnd w:id="613"/>
      <w:bookmarkEnd w:id="614"/>
      <w:bookmarkEnd w:id="615"/>
      <w:r>
        <w:rPr>
          <w:rFonts w:hint="eastAsia" w:ascii="Times New Roman" w:eastAsia="黑体"/>
          <w:color w:val="000000"/>
          <w:sz w:val="24"/>
          <w:szCs w:val="24"/>
        </w:rPr>
        <w:t>工程质量保修书（市政公用工程）</w:t>
      </w:r>
      <w:bookmarkEnd w:id="608"/>
    </w:p>
    <w:p w14:paraId="5E219097">
      <w:pPr>
        <w:adjustRightInd w:val="0"/>
        <w:snapToGrid w:val="0"/>
        <w:spacing w:line="360" w:lineRule="auto"/>
        <w:jc w:val="center"/>
        <w:rPr>
          <w:rFonts w:hint="eastAsia" w:ascii="Times New Roman"/>
          <w:color w:val="000000"/>
          <w:sz w:val="24"/>
          <w:szCs w:val="24"/>
        </w:rPr>
      </w:pPr>
      <w:r>
        <w:rPr>
          <w:rFonts w:hint="eastAsia" w:ascii="Times New Roman"/>
          <w:color w:val="000000"/>
          <w:sz w:val="24"/>
          <w:szCs w:val="24"/>
        </w:rPr>
        <w:t>工程质量保修书</w:t>
      </w:r>
    </w:p>
    <w:p w14:paraId="5F6FEC9F">
      <w:pPr>
        <w:adjustRightInd w:val="0"/>
        <w:snapToGrid w:val="0"/>
        <w:spacing w:line="360" w:lineRule="auto"/>
        <w:ind w:firstLine="480" w:firstLineChars="200"/>
        <w:rPr>
          <w:rFonts w:hint="eastAsia" w:ascii="Times New Roman"/>
          <w:color w:val="000000"/>
          <w:position w:val="14"/>
          <w:sz w:val="24"/>
          <w:szCs w:val="24"/>
        </w:rPr>
      </w:pPr>
      <w:r>
        <w:rPr>
          <w:rFonts w:hint="eastAsia" w:ascii="Times New Roman"/>
          <w:bCs/>
          <w:color w:val="000000"/>
          <w:position w:val="14"/>
          <w:sz w:val="24"/>
          <w:szCs w:val="24"/>
        </w:rPr>
        <w:t>发包人</w:t>
      </w:r>
      <w:r>
        <w:rPr>
          <w:rFonts w:hint="eastAsia" w:ascii="Times New Roman"/>
          <w:color w:val="000000"/>
          <w:position w:val="14"/>
          <w:sz w:val="24"/>
          <w:szCs w:val="24"/>
        </w:rPr>
        <w:t>：_______________________________</w:t>
      </w:r>
    </w:p>
    <w:p w14:paraId="04FE871F">
      <w:pPr>
        <w:widowControl/>
        <w:adjustRightInd w:val="0"/>
        <w:snapToGrid w:val="0"/>
        <w:spacing w:line="360" w:lineRule="auto"/>
        <w:ind w:firstLine="480" w:firstLineChars="200"/>
        <w:jc w:val="left"/>
        <w:rPr>
          <w:rFonts w:hint="eastAsia" w:ascii="Times New Roman"/>
          <w:color w:val="000000"/>
          <w:position w:val="14"/>
          <w:sz w:val="24"/>
          <w:szCs w:val="24"/>
        </w:rPr>
      </w:pPr>
      <w:r>
        <w:rPr>
          <w:rFonts w:hint="eastAsia" w:ascii="Times New Roman"/>
          <w:bCs/>
          <w:color w:val="000000"/>
          <w:position w:val="14"/>
          <w:sz w:val="24"/>
          <w:szCs w:val="24"/>
        </w:rPr>
        <w:t>承包人</w:t>
      </w:r>
      <w:r>
        <w:rPr>
          <w:rFonts w:hint="eastAsia" w:ascii="Times New Roman"/>
          <w:color w:val="000000"/>
          <w:position w:val="14"/>
          <w:sz w:val="24"/>
          <w:szCs w:val="24"/>
        </w:rPr>
        <w:t>：_______________________________</w:t>
      </w:r>
    </w:p>
    <w:p w14:paraId="1F55E72B">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发包人、承包人根据《中华人民共和国建筑法》《建设工程质量管理条例》，参照《房屋建筑工程质量保修办法》，经协商一致，对______________________工程签订工程质量保修书。</w:t>
      </w:r>
    </w:p>
    <w:p w14:paraId="5E9CF105">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一、工程质量保修范围和内容</w:t>
      </w:r>
    </w:p>
    <w:p w14:paraId="18310021">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按照《建设工程质量管理条例》及有关法律、法规、规章的管理规定，双方约定由施工单位在质量保修期内，承担本工程的质量保修责任。</w:t>
      </w:r>
    </w:p>
    <w:p w14:paraId="108C45F3">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质量保修范围和内容：______________________。</w:t>
      </w:r>
      <w:r>
        <w:rPr>
          <w:rFonts w:hint="eastAsia" w:ascii="Times New Roman"/>
          <w:bCs/>
          <w:color w:val="000000"/>
          <w:position w:val="6"/>
          <w:sz w:val="24"/>
          <w:szCs w:val="24"/>
        </w:rPr>
        <w:t>因不可抗力或使用不当造成的质量缺陷，不属保修范围。</w:t>
      </w:r>
    </w:p>
    <w:p w14:paraId="193EB362">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二、质量保修期</w:t>
      </w:r>
    </w:p>
    <w:p w14:paraId="6DC750E8">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双方根据《建设工程质量管理条例》及有关规定，约定本工程的质量保修期如下：</w:t>
      </w:r>
    </w:p>
    <w:p w14:paraId="76F5B8D4">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1. 主体结构和基础工程，为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7ED3F284">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2.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5575C1BF">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3.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351F1B6B">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 xml:space="preserve">4. _____________工程，为 </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397276E0">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质量保修期自工程竣工验收合格之日起计算。</w:t>
      </w:r>
    </w:p>
    <w:p w14:paraId="694ACB16">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78CC8EF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2249A4AA">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缺陷责任期终止后，发包人应退还剩余的质量保证金。</w:t>
      </w:r>
    </w:p>
    <w:p w14:paraId="3E3519C3">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color w:val="000000"/>
          <w:sz w:val="24"/>
          <w:szCs w:val="24"/>
        </w:rPr>
        <w:t>四、质量保修责任</w:t>
      </w:r>
    </w:p>
    <w:p w14:paraId="38040875">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1. 属于保修范围、内容的项目，承包人应当在接到保修通知之日起7天内派人保修。承包人不在约定期限内派人保修的，发包人可以委托他人修理。</w:t>
      </w:r>
    </w:p>
    <w:p w14:paraId="56A237C9">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2. 发生紧急抢修事故的，承包人在接到事故通知后，应当立即到达事故现场抢修。</w:t>
      </w:r>
    </w:p>
    <w:p w14:paraId="20FE82F0">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3. 对于涉及结构安全的质量问题，应当立即向当地建设行政主管部门报告，采取安全防范措施；由原设计单位或者具有相应资质等级的设计单位提出保修方案，承包人实施保修。</w:t>
      </w:r>
    </w:p>
    <w:p w14:paraId="732BA452">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4. 质量保修完成后，由发包人组织验收。</w:t>
      </w:r>
    </w:p>
    <w:p w14:paraId="482700B3">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五、保修费用</w:t>
      </w:r>
    </w:p>
    <w:p w14:paraId="228237DF">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保修费用由造成质量缺陷的责任方承担。</w:t>
      </w:r>
    </w:p>
    <w:p w14:paraId="571723C9">
      <w:pPr>
        <w:widowControl/>
        <w:adjustRightInd w:val="0"/>
        <w:snapToGrid w:val="0"/>
        <w:spacing w:line="360" w:lineRule="auto"/>
        <w:ind w:firstLine="480" w:firstLineChars="200"/>
        <w:jc w:val="left"/>
        <w:rPr>
          <w:rFonts w:hint="eastAsia" w:ascii="Times New Roman"/>
          <w:b/>
          <w:color w:val="000000"/>
          <w:sz w:val="24"/>
          <w:szCs w:val="24"/>
        </w:rPr>
      </w:pPr>
      <w:r>
        <w:rPr>
          <w:rFonts w:hint="eastAsia" w:ascii="Times New Roman"/>
          <w:bCs/>
          <w:color w:val="000000"/>
          <w:position w:val="6"/>
          <w:sz w:val="24"/>
          <w:szCs w:val="24"/>
        </w:rPr>
        <w:t>六、</w:t>
      </w:r>
      <w:r>
        <w:rPr>
          <w:rFonts w:hint="eastAsia" w:ascii="Times New Roman"/>
          <w:b/>
          <w:color w:val="000000"/>
          <w:sz w:val="24"/>
          <w:szCs w:val="24"/>
        </w:rPr>
        <w:t>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74018FC9">
      <w:pPr>
        <w:widowControl/>
        <w:adjustRightInd w:val="0"/>
        <w:snapToGrid w:val="0"/>
        <w:spacing w:line="360" w:lineRule="auto"/>
        <w:ind w:firstLine="480" w:firstLineChars="200"/>
        <w:jc w:val="left"/>
        <w:rPr>
          <w:rFonts w:hint="eastAsia" w:ascii="Times New Roman"/>
          <w:bCs/>
          <w:color w:val="000000"/>
          <w:sz w:val="24"/>
          <w:szCs w:val="24"/>
        </w:rPr>
      </w:pPr>
      <w:r>
        <w:rPr>
          <w:rFonts w:hint="eastAsia" w:ascii="Times New Roman"/>
          <w:bCs/>
          <w:color w:val="000000"/>
          <w:position w:val="6"/>
          <w:sz w:val="24"/>
          <w:szCs w:val="24"/>
        </w:rPr>
        <w:t>本工程质量保修书，由施工合同发包人、承包人双方在竣工验收前共同签署，作为施工合同附件，其有效期限至保修期满。</w:t>
      </w:r>
    </w:p>
    <w:p w14:paraId="4B51654A">
      <w:pPr>
        <w:adjustRightInd w:val="0"/>
        <w:snapToGrid w:val="0"/>
        <w:spacing w:line="360" w:lineRule="auto"/>
        <w:ind w:firstLine="420"/>
        <w:rPr>
          <w:rFonts w:hint="eastAsia" w:ascii="Times New Roman"/>
          <w:color w:val="000000"/>
          <w:sz w:val="24"/>
          <w:szCs w:val="24"/>
        </w:rPr>
      </w:pPr>
    </w:p>
    <w:p w14:paraId="516CC6CD">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9A123CC">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141FDC1">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FB5D94D">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5EB664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D8B751D">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8476FCD">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71765C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A360E50">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6665AA7">
      <w:pPr>
        <w:spacing w:before="240" w:beforeLines="100" w:after="240" w:afterLines="100"/>
        <w:outlineLvl w:val="2"/>
        <w:rPr>
          <w:rFonts w:ascii="Times New Roman" w:eastAsia="黑体"/>
          <w:color w:val="000000"/>
          <w:sz w:val="24"/>
          <w:szCs w:val="24"/>
        </w:rPr>
      </w:pPr>
      <w:r>
        <w:rPr>
          <w:rFonts w:ascii="Times New Roman" w:eastAsia="黑体"/>
          <w:b/>
          <w:bCs/>
          <w:color w:val="000000"/>
          <w:sz w:val="24"/>
          <w:szCs w:val="24"/>
        </w:rPr>
        <w:br w:type="page"/>
      </w:r>
      <w:bookmarkStart w:id="616" w:name="_Toc128950239"/>
      <w:r>
        <w:rPr>
          <w:rFonts w:hint="eastAsia" w:ascii="Times New Roman" w:eastAsia="黑体"/>
          <w:color w:val="000000"/>
          <w:sz w:val="24"/>
          <w:szCs w:val="24"/>
        </w:rPr>
        <w:t>附件</w:t>
      </w:r>
      <w:r>
        <w:rPr>
          <w:rFonts w:ascii="Times New Roman" w:eastAsia="黑体"/>
          <w:color w:val="000000"/>
          <w:sz w:val="24"/>
          <w:szCs w:val="24"/>
        </w:rPr>
        <w:t>4</w:t>
      </w:r>
      <w:r>
        <w:rPr>
          <w:rFonts w:hint="eastAsia" w:ascii="Times New Roman" w:eastAsia="黑体"/>
          <w:color w:val="000000"/>
          <w:sz w:val="24"/>
          <w:szCs w:val="24"/>
        </w:rPr>
        <w:t>：主要建设工程文件目录</w:t>
      </w:r>
      <w:bookmarkEnd w:id="616"/>
    </w:p>
    <w:p w14:paraId="28A565A1">
      <w:pPr>
        <w:spacing w:before="120" w:beforeLines="50" w:after="120" w:afterLines="50"/>
        <w:jc w:val="center"/>
        <w:rPr>
          <w:rFonts w:ascii="Times New Roman"/>
          <w:color w:val="000000"/>
          <w:sz w:val="24"/>
          <w:szCs w:val="24"/>
        </w:rPr>
      </w:pPr>
      <w:r>
        <w:rPr>
          <w:rFonts w:hint="eastAsia" w:ascii="Times New Roman"/>
          <w:color w:val="000000"/>
          <w:sz w:val="24"/>
          <w:szCs w:val="24"/>
        </w:rPr>
        <w:t>主要建设工程文件目录</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448EC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noWrap w:val="0"/>
            <w:vAlign w:val="center"/>
          </w:tcPr>
          <w:p w14:paraId="2159EEC3">
            <w:pPr>
              <w:keepNext/>
              <w:jc w:val="center"/>
              <w:rPr>
                <w:rFonts w:ascii="Times New Roman"/>
                <w:color w:val="000000"/>
                <w:sz w:val="24"/>
                <w:szCs w:val="24"/>
              </w:rPr>
            </w:pPr>
            <w:r>
              <w:rPr>
                <w:rFonts w:hint="eastAsia" w:ascii="Times New Roman"/>
                <w:color w:val="000000"/>
                <w:sz w:val="24"/>
                <w:szCs w:val="24"/>
              </w:rPr>
              <w:t>文件名称</w:t>
            </w:r>
          </w:p>
        </w:tc>
        <w:tc>
          <w:tcPr>
            <w:tcW w:w="706" w:type="pct"/>
            <w:tcBorders>
              <w:top w:val="single" w:color="auto" w:sz="12" w:space="0"/>
              <w:bottom w:val="double" w:color="auto" w:sz="6" w:space="0"/>
            </w:tcBorders>
            <w:noWrap w:val="0"/>
            <w:vAlign w:val="center"/>
          </w:tcPr>
          <w:p w14:paraId="77590DE7">
            <w:pPr>
              <w:keepNext/>
              <w:jc w:val="center"/>
              <w:rPr>
                <w:rFonts w:ascii="Times New Roman"/>
                <w:color w:val="000000"/>
                <w:sz w:val="24"/>
                <w:szCs w:val="24"/>
              </w:rPr>
            </w:pPr>
            <w:r>
              <w:rPr>
                <w:rFonts w:hint="eastAsia" w:ascii="Times New Roman"/>
                <w:color w:val="000000"/>
                <w:sz w:val="24"/>
                <w:szCs w:val="24"/>
              </w:rPr>
              <w:t>套数</w:t>
            </w:r>
          </w:p>
        </w:tc>
        <w:tc>
          <w:tcPr>
            <w:tcW w:w="802" w:type="pct"/>
            <w:tcBorders>
              <w:top w:val="single" w:color="auto" w:sz="12" w:space="0"/>
              <w:bottom w:val="double" w:color="auto" w:sz="6" w:space="0"/>
            </w:tcBorders>
            <w:noWrap w:val="0"/>
            <w:vAlign w:val="center"/>
          </w:tcPr>
          <w:p w14:paraId="551F27EB">
            <w:pPr>
              <w:keepNext/>
              <w:jc w:val="center"/>
              <w:rPr>
                <w:rFonts w:ascii="Times New Roman"/>
                <w:color w:val="000000"/>
                <w:sz w:val="24"/>
                <w:szCs w:val="24"/>
              </w:rPr>
            </w:pPr>
            <w:r>
              <w:rPr>
                <w:rFonts w:hint="eastAsia" w:ascii="Times New Roman"/>
                <w:color w:val="000000"/>
                <w:sz w:val="24"/>
                <w:szCs w:val="24"/>
              </w:rPr>
              <w:t>费用（元）</w:t>
            </w:r>
          </w:p>
        </w:tc>
        <w:tc>
          <w:tcPr>
            <w:tcW w:w="687" w:type="pct"/>
            <w:tcBorders>
              <w:top w:val="single" w:color="auto" w:sz="12" w:space="0"/>
              <w:bottom w:val="double" w:color="auto" w:sz="6" w:space="0"/>
            </w:tcBorders>
            <w:noWrap w:val="0"/>
            <w:vAlign w:val="center"/>
          </w:tcPr>
          <w:p w14:paraId="448AED54">
            <w:pPr>
              <w:keepNext/>
              <w:jc w:val="center"/>
              <w:rPr>
                <w:rFonts w:ascii="Times New Roman"/>
                <w:color w:val="000000"/>
                <w:sz w:val="24"/>
                <w:szCs w:val="24"/>
              </w:rPr>
            </w:pPr>
            <w:r>
              <w:rPr>
                <w:rFonts w:hint="eastAsia" w:ascii="Times New Roman"/>
                <w:color w:val="000000"/>
                <w:sz w:val="24"/>
                <w:szCs w:val="24"/>
              </w:rPr>
              <w:t>质量</w:t>
            </w:r>
          </w:p>
        </w:tc>
        <w:tc>
          <w:tcPr>
            <w:tcW w:w="802" w:type="pct"/>
            <w:tcBorders>
              <w:top w:val="single" w:color="auto" w:sz="12" w:space="0"/>
              <w:bottom w:val="double" w:color="auto" w:sz="6" w:space="0"/>
            </w:tcBorders>
            <w:noWrap w:val="0"/>
            <w:vAlign w:val="center"/>
          </w:tcPr>
          <w:p w14:paraId="0F135EE6">
            <w:pPr>
              <w:jc w:val="center"/>
              <w:rPr>
                <w:rFonts w:ascii="Times New Roman"/>
                <w:color w:val="000000"/>
                <w:sz w:val="24"/>
                <w:szCs w:val="24"/>
              </w:rPr>
            </w:pPr>
            <w:r>
              <w:rPr>
                <w:rFonts w:hint="eastAsia" w:ascii="Times New Roman"/>
                <w:color w:val="000000"/>
                <w:sz w:val="24"/>
                <w:szCs w:val="24"/>
              </w:rPr>
              <w:t>移交时间</w:t>
            </w:r>
          </w:p>
        </w:tc>
        <w:tc>
          <w:tcPr>
            <w:tcW w:w="922" w:type="pct"/>
            <w:tcBorders>
              <w:top w:val="single" w:color="auto" w:sz="12" w:space="0"/>
              <w:bottom w:val="double" w:color="auto" w:sz="6" w:space="0"/>
            </w:tcBorders>
            <w:noWrap w:val="0"/>
            <w:vAlign w:val="center"/>
          </w:tcPr>
          <w:p w14:paraId="4ED774BB">
            <w:pPr>
              <w:jc w:val="center"/>
              <w:rPr>
                <w:rFonts w:ascii="Times New Roman"/>
                <w:color w:val="000000"/>
                <w:sz w:val="24"/>
                <w:szCs w:val="24"/>
              </w:rPr>
            </w:pPr>
            <w:r>
              <w:rPr>
                <w:rFonts w:hint="eastAsia" w:ascii="Times New Roman"/>
                <w:color w:val="000000"/>
                <w:sz w:val="24"/>
                <w:szCs w:val="24"/>
              </w:rPr>
              <w:t>责任人</w:t>
            </w:r>
          </w:p>
        </w:tc>
      </w:tr>
      <w:tr w14:paraId="5A65C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noWrap w:val="0"/>
            <w:vAlign w:val="center"/>
          </w:tcPr>
          <w:p w14:paraId="5D8F60F0">
            <w:pPr>
              <w:keepNext/>
              <w:jc w:val="center"/>
              <w:rPr>
                <w:rFonts w:ascii="Times New Roman"/>
                <w:color w:val="000000"/>
                <w:sz w:val="24"/>
                <w:szCs w:val="24"/>
              </w:rPr>
            </w:pPr>
          </w:p>
        </w:tc>
        <w:tc>
          <w:tcPr>
            <w:tcW w:w="706" w:type="pct"/>
            <w:tcBorders>
              <w:top w:val="double" w:color="auto" w:sz="6" w:space="0"/>
            </w:tcBorders>
            <w:noWrap w:val="0"/>
            <w:vAlign w:val="center"/>
          </w:tcPr>
          <w:p w14:paraId="6C081522">
            <w:pPr>
              <w:keepNext/>
              <w:jc w:val="center"/>
              <w:rPr>
                <w:rFonts w:ascii="Times New Roman"/>
                <w:color w:val="000000"/>
                <w:sz w:val="24"/>
                <w:szCs w:val="24"/>
              </w:rPr>
            </w:pPr>
          </w:p>
        </w:tc>
        <w:tc>
          <w:tcPr>
            <w:tcW w:w="802" w:type="pct"/>
            <w:tcBorders>
              <w:top w:val="double" w:color="auto" w:sz="6" w:space="0"/>
            </w:tcBorders>
            <w:noWrap w:val="0"/>
            <w:vAlign w:val="center"/>
          </w:tcPr>
          <w:p w14:paraId="31D1B888">
            <w:pPr>
              <w:keepNext/>
              <w:jc w:val="center"/>
              <w:rPr>
                <w:rFonts w:ascii="Times New Roman"/>
                <w:color w:val="000000"/>
                <w:sz w:val="24"/>
                <w:szCs w:val="24"/>
              </w:rPr>
            </w:pPr>
          </w:p>
        </w:tc>
        <w:tc>
          <w:tcPr>
            <w:tcW w:w="687" w:type="pct"/>
            <w:tcBorders>
              <w:top w:val="double" w:color="auto" w:sz="6" w:space="0"/>
            </w:tcBorders>
            <w:noWrap w:val="0"/>
            <w:vAlign w:val="center"/>
          </w:tcPr>
          <w:p w14:paraId="678BDB29">
            <w:pPr>
              <w:keepNext/>
              <w:jc w:val="center"/>
              <w:rPr>
                <w:rFonts w:ascii="Times New Roman"/>
                <w:color w:val="000000"/>
                <w:sz w:val="24"/>
                <w:szCs w:val="24"/>
              </w:rPr>
            </w:pPr>
          </w:p>
        </w:tc>
        <w:tc>
          <w:tcPr>
            <w:tcW w:w="802" w:type="pct"/>
            <w:tcBorders>
              <w:top w:val="double" w:color="auto" w:sz="6" w:space="0"/>
            </w:tcBorders>
            <w:noWrap w:val="0"/>
            <w:vAlign w:val="center"/>
          </w:tcPr>
          <w:p w14:paraId="6C79CF43">
            <w:pPr>
              <w:keepNext/>
              <w:jc w:val="center"/>
              <w:rPr>
                <w:rFonts w:ascii="Times New Roman"/>
                <w:color w:val="000000"/>
                <w:sz w:val="24"/>
                <w:szCs w:val="24"/>
              </w:rPr>
            </w:pPr>
          </w:p>
        </w:tc>
        <w:tc>
          <w:tcPr>
            <w:tcW w:w="922" w:type="pct"/>
            <w:tcBorders>
              <w:top w:val="double" w:color="auto" w:sz="6" w:space="0"/>
            </w:tcBorders>
            <w:noWrap w:val="0"/>
            <w:vAlign w:val="center"/>
          </w:tcPr>
          <w:p w14:paraId="268B02B8">
            <w:pPr>
              <w:keepNext/>
              <w:jc w:val="center"/>
              <w:rPr>
                <w:rFonts w:ascii="Times New Roman"/>
                <w:color w:val="000000"/>
                <w:sz w:val="24"/>
                <w:szCs w:val="24"/>
              </w:rPr>
            </w:pPr>
          </w:p>
        </w:tc>
      </w:tr>
      <w:tr w14:paraId="652C7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noWrap w:val="0"/>
            <w:vAlign w:val="center"/>
          </w:tcPr>
          <w:p w14:paraId="31981A72">
            <w:pPr>
              <w:keepNext/>
              <w:jc w:val="center"/>
              <w:rPr>
                <w:rFonts w:ascii="Times New Roman"/>
                <w:color w:val="000000"/>
                <w:sz w:val="24"/>
                <w:szCs w:val="24"/>
              </w:rPr>
            </w:pPr>
          </w:p>
        </w:tc>
        <w:tc>
          <w:tcPr>
            <w:tcW w:w="706" w:type="pct"/>
            <w:tcBorders>
              <w:top w:val="nil"/>
            </w:tcBorders>
            <w:noWrap w:val="0"/>
            <w:vAlign w:val="center"/>
          </w:tcPr>
          <w:p w14:paraId="02C1E1C0">
            <w:pPr>
              <w:keepNext/>
              <w:jc w:val="center"/>
              <w:rPr>
                <w:rFonts w:ascii="Times New Roman"/>
                <w:color w:val="000000"/>
                <w:sz w:val="24"/>
                <w:szCs w:val="24"/>
              </w:rPr>
            </w:pPr>
          </w:p>
        </w:tc>
        <w:tc>
          <w:tcPr>
            <w:tcW w:w="802" w:type="pct"/>
            <w:tcBorders>
              <w:top w:val="nil"/>
            </w:tcBorders>
            <w:noWrap w:val="0"/>
            <w:vAlign w:val="center"/>
          </w:tcPr>
          <w:p w14:paraId="1031C226">
            <w:pPr>
              <w:keepNext/>
              <w:jc w:val="center"/>
              <w:rPr>
                <w:rFonts w:ascii="Times New Roman"/>
                <w:color w:val="000000"/>
                <w:sz w:val="24"/>
                <w:szCs w:val="24"/>
              </w:rPr>
            </w:pPr>
          </w:p>
        </w:tc>
        <w:tc>
          <w:tcPr>
            <w:tcW w:w="687" w:type="pct"/>
            <w:tcBorders>
              <w:top w:val="nil"/>
            </w:tcBorders>
            <w:noWrap w:val="0"/>
            <w:vAlign w:val="center"/>
          </w:tcPr>
          <w:p w14:paraId="29F646D6">
            <w:pPr>
              <w:keepNext/>
              <w:jc w:val="center"/>
              <w:rPr>
                <w:rFonts w:ascii="Times New Roman"/>
                <w:color w:val="000000"/>
                <w:sz w:val="24"/>
                <w:szCs w:val="24"/>
              </w:rPr>
            </w:pPr>
          </w:p>
        </w:tc>
        <w:tc>
          <w:tcPr>
            <w:tcW w:w="802" w:type="pct"/>
            <w:tcBorders>
              <w:top w:val="nil"/>
            </w:tcBorders>
            <w:noWrap w:val="0"/>
            <w:vAlign w:val="center"/>
          </w:tcPr>
          <w:p w14:paraId="1FB12EAC">
            <w:pPr>
              <w:keepNext/>
              <w:jc w:val="center"/>
              <w:rPr>
                <w:rFonts w:ascii="Times New Roman"/>
                <w:color w:val="000000"/>
                <w:sz w:val="24"/>
                <w:szCs w:val="24"/>
              </w:rPr>
            </w:pPr>
          </w:p>
        </w:tc>
        <w:tc>
          <w:tcPr>
            <w:tcW w:w="922" w:type="pct"/>
            <w:tcBorders>
              <w:top w:val="nil"/>
            </w:tcBorders>
            <w:noWrap w:val="0"/>
            <w:vAlign w:val="center"/>
          </w:tcPr>
          <w:p w14:paraId="41F1A6CB">
            <w:pPr>
              <w:keepNext/>
              <w:jc w:val="center"/>
              <w:rPr>
                <w:rFonts w:ascii="Times New Roman"/>
                <w:color w:val="000000"/>
                <w:sz w:val="24"/>
                <w:szCs w:val="24"/>
              </w:rPr>
            </w:pPr>
          </w:p>
        </w:tc>
      </w:tr>
      <w:tr w14:paraId="2B6BB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noWrap w:val="0"/>
            <w:vAlign w:val="center"/>
          </w:tcPr>
          <w:p w14:paraId="427D1FE6">
            <w:pPr>
              <w:jc w:val="center"/>
              <w:rPr>
                <w:rFonts w:ascii="Times New Roman"/>
                <w:color w:val="000000"/>
                <w:sz w:val="24"/>
                <w:szCs w:val="24"/>
              </w:rPr>
            </w:pPr>
          </w:p>
        </w:tc>
        <w:tc>
          <w:tcPr>
            <w:tcW w:w="706" w:type="pct"/>
            <w:noWrap w:val="0"/>
            <w:vAlign w:val="center"/>
          </w:tcPr>
          <w:p w14:paraId="5ED7C1E5">
            <w:pPr>
              <w:jc w:val="center"/>
              <w:rPr>
                <w:rFonts w:ascii="Times New Roman"/>
                <w:color w:val="000000"/>
                <w:sz w:val="24"/>
                <w:szCs w:val="24"/>
              </w:rPr>
            </w:pPr>
          </w:p>
        </w:tc>
        <w:tc>
          <w:tcPr>
            <w:tcW w:w="802" w:type="pct"/>
            <w:noWrap w:val="0"/>
            <w:vAlign w:val="center"/>
          </w:tcPr>
          <w:p w14:paraId="65D31414">
            <w:pPr>
              <w:jc w:val="center"/>
              <w:rPr>
                <w:rFonts w:ascii="Times New Roman"/>
                <w:color w:val="000000"/>
                <w:sz w:val="24"/>
                <w:szCs w:val="24"/>
              </w:rPr>
            </w:pPr>
          </w:p>
        </w:tc>
        <w:tc>
          <w:tcPr>
            <w:tcW w:w="687" w:type="pct"/>
            <w:noWrap w:val="0"/>
            <w:vAlign w:val="center"/>
          </w:tcPr>
          <w:p w14:paraId="1182BB35">
            <w:pPr>
              <w:jc w:val="center"/>
              <w:rPr>
                <w:rFonts w:ascii="Times New Roman"/>
                <w:color w:val="000000"/>
                <w:sz w:val="24"/>
                <w:szCs w:val="24"/>
              </w:rPr>
            </w:pPr>
          </w:p>
        </w:tc>
        <w:tc>
          <w:tcPr>
            <w:tcW w:w="802" w:type="pct"/>
            <w:noWrap w:val="0"/>
            <w:vAlign w:val="center"/>
          </w:tcPr>
          <w:p w14:paraId="23E3B1CA">
            <w:pPr>
              <w:jc w:val="center"/>
              <w:rPr>
                <w:rFonts w:ascii="Times New Roman"/>
                <w:color w:val="000000"/>
                <w:sz w:val="24"/>
                <w:szCs w:val="24"/>
              </w:rPr>
            </w:pPr>
          </w:p>
        </w:tc>
        <w:tc>
          <w:tcPr>
            <w:tcW w:w="922" w:type="pct"/>
            <w:noWrap w:val="0"/>
            <w:vAlign w:val="center"/>
          </w:tcPr>
          <w:p w14:paraId="5F57066D">
            <w:pPr>
              <w:jc w:val="center"/>
              <w:rPr>
                <w:rFonts w:ascii="Times New Roman"/>
                <w:color w:val="000000"/>
                <w:sz w:val="24"/>
                <w:szCs w:val="24"/>
              </w:rPr>
            </w:pPr>
          </w:p>
        </w:tc>
      </w:tr>
      <w:tr w14:paraId="69D71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noWrap w:val="0"/>
            <w:vAlign w:val="center"/>
          </w:tcPr>
          <w:p w14:paraId="63A35FFD">
            <w:pPr>
              <w:jc w:val="center"/>
              <w:rPr>
                <w:rFonts w:ascii="Times New Roman"/>
                <w:color w:val="000000"/>
                <w:sz w:val="24"/>
                <w:szCs w:val="24"/>
              </w:rPr>
            </w:pPr>
          </w:p>
        </w:tc>
        <w:tc>
          <w:tcPr>
            <w:tcW w:w="706" w:type="pct"/>
            <w:noWrap w:val="0"/>
            <w:vAlign w:val="center"/>
          </w:tcPr>
          <w:p w14:paraId="18DBFD26">
            <w:pPr>
              <w:jc w:val="center"/>
              <w:rPr>
                <w:rFonts w:ascii="Times New Roman"/>
                <w:color w:val="000000"/>
                <w:sz w:val="24"/>
                <w:szCs w:val="24"/>
              </w:rPr>
            </w:pPr>
          </w:p>
        </w:tc>
        <w:tc>
          <w:tcPr>
            <w:tcW w:w="802" w:type="pct"/>
            <w:noWrap w:val="0"/>
            <w:vAlign w:val="center"/>
          </w:tcPr>
          <w:p w14:paraId="7E827CF4">
            <w:pPr>
              <w:jc w:val="center"/>
              <w:rPr>
                <w:rFonts w:ascii="Times New Roman"/>
                <w:color w:val="000000"/>
                <w:sz w:val="24"/>
                <w:szCs w:val="24"/>
              </w:rPr>
            </w:pPr>
          </w:p>
        </w:tc>
        <w:tc>
          <w:tcPr>
            <w:tcW w:w="687" w:type="pct"/>
            <w:noWrap w:val="0"/>
            <w:vAlign w:val="center"/>
          </w:tcPr>
          <w:p w14:paraId="1F60FBE1">
            <w:pPr>
              <w:jc w:val="center"/>
              <w:rPr>
                <w:rFonts w:ascii="Times New Roman"/>
                <w:color w:val="000000"/>
                <w:sz w:val="24"/>
                <w:szCs w:val="24"/>
              </w:rPr>
            </w:pPr>
          </w:p>
        </w:tc>
        <w:tc>
          <w:tcPr>
            <w:tcW w:w="802" w:type="pct"/>
            <w:noWrap w:val="0"/>
            <w:vAlign w:val="center"/>
          </w:tcPr>
          <w:p w14:paraId="06A2C766">
            <w:pPr>
              <w:jc w:val="center"/>
              <w:rPr>
                <w:rFonts w:ascii="Times New Roman"/>
                <w:color w:val="000000"/>
                <w:sz w:val="24"/>
                <w:szCs w:val="24"/>
              </w:rPr>
            </w:pPr>
          </w:p>
        </w:tc>
        <w:tc>
          <w:tcPr>
            <w:tcW w:w="922" w:type="pct"/>
            <w:noWrap w:val="0"/>
            <w:vAlign w:val="center"/>
          </w:tcPr>
          <w:p w14:paraId="4B0807C6">
            <w:pPr>
              <w:jc w:val="center"/>
              <w:rPr>
                <w:rFonts w:ascii="Times New Roman"/>
                <w:color w:val="000000"/>
                <w:sz w:val="24"/>
                <w:szCs w:val="24"/>
              </w:rPr>
            </w:pPr>
          </w:p>
        </w:tc>
      </w:tr>
      <w:tr w14:paraId="39A38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noWrap w:val="0"/>
            <w:vAlign w:val="center"/>
          </w:tcPr>
          <w:p w14:paraId="3D7E205F">
            <w:pPr>
              <w:jc w:val="center"/>
              <w:rPr>
                <w:rFonts w:ascii="Times New Roman"/>
                <w:color w:val="000000"/>
                <w:sz w:val="24"/>
                <w:szCs w:val="24"/>
              </w:rPr>
            </w:pPr>
          </w:p>
        </w:tc>
        <w:tc>
          <w:tcPr>
            <w:tcW w:w="706" w:type="pct"/>
            <w:tcBorders>
              <w:bottom w:val="single" w:color="auto" w:sz="12" w:space="0"/>
            </w:tcBorders>
            <w:noWrap w:val="0"/>
            <w:vAlign w:val="center"/>
          </w:tcPr>
          <w:p w14:paraId="6EF6A807">
            <w:pPr>
              <w:jc w:val="center"/>
              <w:rPr>
                <w:rFonts w:ascii="Times New Roman"/>
                <w:color w:val="000000"/>
                <w:sz w:val="24"/>
                <w:szCs w:val="24"/>
              </w:rPr>
            </w:pPr>
          </w:p>
        </w:tc>
        <w:tc>
          <w:tcPr>
            <w:tcW w:w="802" w:type="pct"/>
            <w:tcBorders>
              <w:bottom w:val="single" w:color="auto" w:sz="12" w:space="0"/>
            </w:tcBorders>
            <w:noWrap w:val="0"/>
            <w:vAlign w:val="center"/>
          </w:tcPr>
          <w:p w14:paraId="1464412C">
            <w:pPr>
              <w:jc w:val="center"/>
              <w:rPr>
                <w:rFonts w:ascii="Times New Roman"/>
                <w:color w:val="000000"/>
                <w:sz w:val="24"/>
                <w:szCs w:val="24"/>
              </w:rPr>
            </w:pPr>
          </w:p>
        </w:tc>
        <w:tc>
          <w:tcPr>
            <w:tcW w:w="687" w:type="pct"/>
            <w:tcBorders>
              <w:bottom w:val="single" w:color="auto" w:sz="12" w:space="0"/>
            </w:tcBorders>
            <w:noWrap w:val="0"/>
            <w:vAlign w:val="center"/>
          </w:tcPr>
          <w:p w14:paraId="13CAE4FA">
            <w:pPr>
              <w:jc w:val="center"/>
              <w:rPr>
                <w:rFonts w:ascii="Times New Roman"/>
                <w:color w:val="000000"/>
                <w:sz w:val="24"/>
                <w:szCs w:val="24"/>
              </w:rPr>
            </w:pPr>
          </w:p>
        </w:tc>
        <w:tc>
          <w:tcPr>
            <w:tcW w:w="802" w:type="pct"/>
            <w:tcBorders>
              <w:bottom w:val="single" w:color="auto" w:sz="12" w:space="0"/>
            </w:tcBorders>
            <w:noWrap w:val="0"/>
            <w:vAlign w:val="center"/>
          </w:tcPr>
          <w:p w14:paraId="036EA589">
            <w:pPr>
              <w:jc w:val="center"/>
              <w:rPr>
                <w:rFonts w:ascii="Times New Roman"/>
                <w:color w:val="000000"/>
                <w:sz w:val="24"/>
                <w:szCs w:val="24"/>
              </w:rPr>
            </w:pPr>
          </w:p>
        </w:tc>
        <w:tc>
          <w:tcPr>
            <w:tcW w:w="922" w:type="pct"/>
            <w:tcBorders>
              <w:bottom w:val="single" w:color="auto" w:sz="12" w:space="0"/>
            </w:tcBorders>
            <w:noWrap w:val="0"/>
            <w:vAlign w:val="center"/>
          </w:tcPr>
          <w:p w14:paraId="64929653">
            <w:pPr>
              <w:jc w:val="center"/>
              <w:rPr>
                <w:rFonts w:ascii="Times New Roman"/>
                <w:color w:val="000000"/>
                <w:sz w:val="24"/>
                <w:szCs w:val="24"/>
              </w:rPr>
            </w:pPr>
          </w:p>
        </w:tc>
      </w:tr>
    </w:tbl>
    <w:p w14:paraId="74E60F07">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617" w:name="_Toc128950240"/>
      <w:r>
        <w:rPr>
          <w:rFonts w:hint="eastAsia" w:ascii="Times New Roman" w:eastAsia="黑体"/>
          <w:color w:val="000000"/>
          <w:sz w:val="24"/>
          <w:szCs w:val="24"/>
        </w:rPr>
        <w:t>附</w:t>
      </w:r>
      <w:bookmarkStart w:id="618" w:name="_Toc296346728"/>
      <w:bookmarkStart w:id="619" w:name="_Toc296347226"/>
      <w:bookmarkStart w:id="620" w:name="_Toc296503227"/>
      <w:bookmarkStart w:id="621" w:name="_Toc296944566"/>
      <w:bookmarkStart w:id="622" w:name="_Toc267261698"/>
      <w:bookmarkStart w:id="623" w:name="_Toc296891267"/>
      <w:bookmarkStart w:id="624" w:name="_Toc296891055"/>
      <w:r>
        <w:rPr>
          <w:rFonts w:hint="eastAsia" w:ascii="Times New Roman" w:eastAsia="黑体"/>
          <w:color w:val="000000"/>
          <w:sz w:val="24"/>
          <w:szCs w:val="24"/>
        </w:rPr>
        <w:t>件</w:t>
      </w:r>
      <w:r>
        <w:rPr>
          <w:rFonts w:ascii="Times New Roman" w:eastAsia="黑体"/>
          <w:color w:val="000000"/>
          <w:sz w:val="24"/>
          <w:szCs w:val="24"/>
        </w:rPr>
        <w:t>5</w:t>
      </w:r>
      <w:r>
        <w:rPr>
          <w:rFonts w:hint="eastAsia" w:ascii="Times New Roman" w:eastAsia="黑体"/>
          <w:color w:val="000000"/>
          <w:sz w:val="24"/>
          <w:szCs w:val="24"/>
        </w:rPr>
        <w:t>：承包人用于本工程施工的机械设备表</w:t>
      </w:r>
      <w:bookmarkEnd w:id="617"/>
    </w:p>
    <w:bookmarkEnd w:id="618"/>
    <w:bookmarkEnd w:id="619"/>
    <w:bookmarkEnd w:id="620"/>
    <w:bookmarkEnd w:id="621"/>
    <w:bookmarkEnd w:id="622"/>
    <w:bookmarkEnd w:id="623"/>
    <w:bookmarkEnd w:id="624"/>
    <w:p w14:paraId="4259AC6D">
      <w:pPr>
        <w:spacing w:before="120" w:beforeLines="50" w:after="120" w:afterLines="50"/>
        <w:jc w:val="center"/>
        <w:rPr>
          <w:rFonts w:ascii="Times New Roman"/>
          <w:color w:val="000000"/>
          <w:sz w:val="24"/>
          <w:szCs w:val="24"/>
        </w:rPr>
      </w:pPr>
      <w:r>
        <w:rPr>
          <w:rFonts w:hint="eastAsia" w:ascii="Times New Roman"/>
          <w:color w:val="000000"/>
          <w:sz w:val="24"/>
          <w:szCs w:val="24"/>
        </w:rPr>
        <w:t>承包人用于本工程施工的机械设备表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549F5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noWrap w:val="0"/>
            <w:vAlign w:val="center"/>
          </w:tcPr>
          <w:p w14:paraId="527EE0C3">
            <w:pPr>
              <w:keepNext/>
              <w:jc w:val="center"/>
              <w:rPr>
                <w:rFonts w:ascii="Times New Roman"/>
                <w:color w:val="000000"/>
                <w:sz w:val="24"/>
                <w:szCs w:val="24"/>
              </w:rPr>
            </w:pPr>
            <w:r>
              <w:rPr>
                <w:rFonts w:hint="eastAsia" w:ascii="Times New Roman"/>
                <w:color w:val="000000"/>
                <w:sz w:val="24"/>
                <w:szCs w:val="24"/>
              </w:rPr>
              <w:t>序号</w:t>
            </w:r>
          </w:p>
        </w:tc>
        <w:tc>
          <w:tcPr>
            <w:tcW w:w="792" w:type="pct"/>
            <w:tcBorders>
              <w:top w:val="single" w:color="auto" w:sz="12" w:space="0"/>
              <w:bottom w:val="double" w:color="auto" w:sz="6" w:space="0"/>
            </w:tcBorders>
            <w:noWrap w:val="0"/>
            <w:vAlign w:val="center"/>
          </w:tcPr>
          <w:p w14:paraId="289EAD93">
            <w:pPr>
              <w:keepNext/>
              <w:jc w:val="center"/>
              <w:rPr>
                <w:rFonts w:ascii="Times New Roman"/>
                <w:color w:val="000000"/>
                <w:sz w:val="24"/>
                <w:szCs w:val="24"/>
              </w:rPr>
            </w:pPr>
            <w:r>
              <w:rPr>
                <w:rFonts w:hint="eastAsia" w:ascii="Times New Roman"/>
                <w:color w:val="000000"/>
                <w:sz w:val="24"/>
                <w:szCs w:val="24"/>
              </w:rPr>
              <w:t>机械或设备名称</w:t>
            </w:r>
          </w:p>
        </w:tc>
        <w:tc>
          <w:tcPr>
            <w:tcW w:w="474" w:type="pct"/>
            <w:tcBorders>
              <w:top w:val="single" w:color="auto" w:sz="12" w:space="0"/>
              <w:bottom w:val="double" w:color="auto" w:sz="6" w:space="0"/>
            </w:tcBorders>
            <w:noWrap w:val="0"/>
            <w:vAlign w:val="center"/>
          </w:tcPr>
          <w:p w14:paraId="349ACADE">
            <w:pPr>
              <w:keepNext/>
              <w:jc w:val="center"/>
              <w:rPr>
                <w:rFonts w:ascii="Times New Roman"/>
                <w:color w:val="000000"/>
                <w:sz w:val="24"/>
                <w:szCs w:val="24"/>
              </w:rPr>
            </w:pPr>
            <w:r>
              <w:rPr>
                <w:rFonts w:hint="eastAsia" w:ascii="Times New Roman"/>
                <w:color w:val="000000"/>
                <w:sz w:val="24"/>
                <w:szCs w:val="24"/>
              </w:rPr>
              <w:t>规格型号</w:t>
            </w:r>
          </w:p>
        </w:tc>
        <w:tc>
          <w:tcPr>
            <w:tcW w:w="396" w:type="pct"/>
            <w:tcBorders>
              <w:top w:val="single" w:color="auto" w:sz="12" w:space="0"/>
              <w:bottom w:val="double" w:color="auto" w:sz="6" w:space="0"/>
            </w:tcBorders>
            <w:noWrap w:val="0"/>
            <w:vAlign w:val="center"/>
          </w:tcPr>
          <w:p w14:paraId="60FC9C4C">
            <w:pPr>
              <w:keepNext/>
              <w:jc w:val="center"/>
              <w:rPr>
                <w:rFonts w:ascii="Times New Roman"/>
                <w:color w:val="000000"/>
                <w:sz w:val="24"/>
                <w:szCs w:val="24"/>
              </w:rPr>
            </w:pPr>
            <w:r>
              <w:rPr>
                <w:rFonts w:hint="eastAsia" w:ascii="Times New Roman"/>
                <w:color w:val="000000"/>
                <w:sz w:val="24"/>
                <w:szCs w:val="24"/>
              </w:rPr>
              <w:t>数量</w:t>
            </w:r>
          </w:p>
        </w:tc>
        <w:tc>
          <w:tcPr>
            <w:tcW w:w="474" w:type="pct"/>
            <w:tcBorders>
              <w:top w:val="single" w:color="auto" w:sz="12" w:space="0"/>
              <w:bottom w:val="double" w:color="auto" w:sz="6" w:space="0"/>
            </w:tcBorders>
            <w:noWrap w:val="0"/>
            <w:vAlign w:val="center"/>
          </w:tcPr>
          <w:p w14:paraId="7C0411C7">
            <w:pPr>
              <w:keepNext/>
              <w:jc w:val="center"/>
              <w:rPr>
                <w:rFonts w:ascii="Times New Roman"/>
                <w:color w:val="000000"/>
                <w:sz w:val="24"/>
                <w:szCs w:val="24"/>
              </w:rPr>
            </w:pPr>
            <w:r>
              <w:rPr>
                <w:rFonts w:hint="eastAsia" w:ascii="Times New Roman"/>
                <w:color w:val="000000"/>
                <w:sz w:val="24"/>
                <w:szCs w:val="24"/>
              </w:rPr>
              <w:t>产地</w:t>
            </w:r>
          </w:p>
        </w:tc>
        <w:tc>
          <w:tcPr>
            <w:tcW w:w="537" w:type="pct"/>
            <w:tcBorders>
              <w:top w:val="single" w:color="auto" w:sz="12" w:space="0"/>
              <w:bottom w:val="double" w:color="auto" w:sz="6" w:space="0"/>
            </w:tcBorders>
            <w:noWrap w:val="0"/>
            <w:vAlign w:val="center"/>
          </w:tcPr>
          <w:p w14:paraId="7342487C">
            <w:pPr>
              <w:keepNext/>
              <w:jc w:val="center"/>
              <w:rPr>
                <w:rFonts w:ascii="Times New Roman"/>
                <w:color w:val="000000"/>
                <w:sz w:val="24"/>
                <w:szCs w:val="24"/>
              </w:rPr>
            </w:pPr>
            <w:r>
              <w:rPr>
                <w:rFonts w:hint="eastAsia" w:ascii="Times New Roman"/>
                <w:color w:val="000000"/>
                <w:sz w:val="24"/>
                <w:szCs w:val="24"/>
              </w:rPr>
              <w:t>制造年份</w:t>
            </w:r>
          </w:p>
        </w:tc>
        <w:tc>
          <w:tcPr>
            <w:tcW w:w="827" w:type="pct"/>
            <w:tcBorders>
              <w:top w:val="single" w:color="auto" w:sz="12" w:space="0"/>
              <w:bottom w:val="double" w:color="auto" w:sz="6" w:space="0"/>
            </w:tcBorders>
            <w:noWrap w:val="0"/>
            <w:vAlign w:val="center"/>
          </w:tcPr>
          <w:p w14:paraId="18422DB8">
            <w:pPr>
              <w:keepNext/>
              <w:jc w:val="center"/>
              <w:rPr>
                <w:rFonts w:ascii="Times New Roman"/>
                <w:color w:val="000000"/>
                <w:sz w:val="24"/>
                <w:szCs w:val="24"/>
              </w:rPr>
            </w:pPr>
            <w:r>
              <w:rPr>
                <w:rFonts w:hint="eastAsia" w:ascii="Times New Roman"/>
                <w:color w:val="000000"/>
                <w:sz w:val="24"/>
                <w:szCs w:val="24"/>
              </w:rPr>
              <w:t>额定功率（</w:t>
            </w:r>
            <w:r>
              <w:rPr>
                <w:rFonts w:ascii="Times New Roman"/>
                <w:color w:val="000000"/>
                <w:sz w:val="24"/>
                <w:szCs w:val="24"/>
              </w:rPr>
              <w:t>kW)</w:t>
            </w:r>
          </w:p>
        </w:tc>
        <w:tc>
          <w:tcPr>
            <w:tcW w:w="569" w:type="pct"/>
            <w:tcBorders>
              <w:top w:val="single" w:color="auto" w:sz="12" w:space="0"/>
              <w:bottom w:val="double" w:color="auto" w:sz="6" w:space="0"/>
            </w:tcBorders>
            <w:noWrap w:val="0"/>
            <w:vAlign w:val="center"/>
          </w:tcPr>
          <w:p w14:paraId="75C8B3B6">
            <w:pPr>
              <w:keepNext/>
              <w:jc w:val="center"/>
              <w:rPr>
                <w:rFonts w:ascii="Times New Roman"/>
                <w:color w:val="000000"/>
                <w:sz w:val="24"/>
                <w:szCs w:val="24"/>
              </w:rPr>
            </w:pPr>
            <w:r>
              <w:rPr>
                <w:rFonts w:hint="eastAsia" w:ascii="Times New Roman"/>
                <w:color w:val="000000"/>
                <w:sz w:val="24"/>
                <w:szCs w:val="24"/>
              </w:rPr>
              <w:t>生产能力</w:t>
            </w:r>
          </w:p>
        </w:tc>
        <w:tc>
          <w:tcPr>
            <w:tcW w:w="519" w:type="pct"/>
            <w:tcBorders>
              <w:top w:val="single" w:color="auto" w:sz="12" w:space="0"/>
              <w:bottom w:val="double" w:color="auto" w:sz="6" w:space="0"/>
            </w:tcBorders>
            <w:noWrap w:val="0"/>
            <w:vAlign w:val="center"/>
          </w:tcPr>
          <w:p w14:paraId="2E227573">
            <w:pPr>
              <w:keepNext/>
              <w:jc w:val="center"/>
              <w:rPr>
                <w:rFonts w:ascii="Times New Roman"/>
                <w:color w:val="000000"/>
                <w:sz w:val="24"/>
                <w:szCs w:val="24"/>
              </w:rPr>
            </w:pPr>
            <w:r>
              <w:rPr>
                <w:rFonts w:hint="eastAsia" w:ascii="Times New Roman"/>
                <w:color w:val="000000"/>
                <w:sz w:val="24"/>
                <w:szCs w:val="24"/>
              </w:rPr>
              <w:t>备注</w:t>
            </w:r>
          </w:p>
        </w:tc>
      </w:tr>
      <w:tr w14:paraId="07750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noWrap w:val="0"/>
            <w:vAlign w:val="center"/>
          </w:tcPr>
          <w:p w14:paraId="0817E8BE">
            <w:pPr>
              <w:keepNext/>
              <w:jc w:val="center"/>
              <w:rPr>
                <w:rFonts w:ascii="Times New Roman"/>
                <w:color w:val="000000"/>
                <w:sz w:val="24"/>
                <w:szCs w:val="24"/>
              </w:rPr>
            </w:pPr>
          </w:p>
        </w:tc>
        <w:tc>
          <w:tcPr>
            <w:tcW w:w="792" w:type="pct"/>
            <w:tcBorders>
              <w:top w:val="double" w:color="auto" w:sz="6" w:space="0"/>
            </w:tcBorders>
            <w:noWrap w:val="0"/>
            <w:vAlign w:val="center"/>
          </w:tcPr>
          <w:p w14:paraId="2C96F17B">
            <w:pPr>
              <w:keepNext/>
              <w:jc w:val="center"/>
              <w:rPr>
                <w:rFonts w:ascii="Times New Roman"/>
                <w:color w:val="000000"/>
                <w:sz w:val="24"/>
                <w:szCs w:val="24"/>
              </w:rPr>
            </w:pPr>
          </w:p>
        </w:tc>
        <w:tc>
          <w:tcPr>
            <w:tcW w:w="474" w:type="pct"/>
            <w:tcBorders>
              <w:top w:val="double" w:color="auto" w:sz="6" w:space="0"/>
            </w:tcBorders>
            <w:noWrap w:val="0"/>
            <w:vAlign w:val="center"/>
          </w:tcPr>
          <w:p w14:paraId="51AF7713">
            <w:pPr>
              <w:keepNext/>
              <w:jc w:val="center"/>
              <w:rPr>
                <w:rFonts w:ascii="Times New Roman"/>
                <w:color w:val="000000"/>
                <w:sz w:val="24"/>
                <w:szCs w:val="24"/>
              </w:rPr>
            </w:pPr>
          </w:p>
        </w:tc>
        <w:tc>
          <w:tcPr>
            <w:tcW w:w="396" w:type="pct"/>
            <w:tcBorders>
              <w:top w:val="double" w:color="auto" w:sz="6" w:space="0"/>
            </w:tcBorders>
            <w:noWrap w:val="0"/>
            <w:vAlign w:val="center"/>
          </w:tcPr>
          <w:p w14:paraId="0F7EE474">
            <w:pPr>
              <w:keepNext/>
              <w:jc w:val="center"/>
              <w:rPr>
                <w:rFonts w:ascii="Times New Roman"/>
                <w:color w:val="000000"/>
                <w:sz w:val="24"/>
                <w:szCs w:val="24"/>
              </w:rPr>
            </w:pPr>
          </w:p>
        </w:tc>
        <w:tc>
          <w:tcPr>
            <w:tcW w:w="474" w:type="pct"/>
            <w:tcBorders>
              <w:top w:val="double" w:color="auto" w:sz="6" w:space="0"/>
            </w:tcBorders>
            <w:noWrap w:val="0"/>
            <w:vAlign w:val="center"/>
          </w:tcPr>
          <w:p w14:paraId="58A90794">
            <w:pPr>
              <w:keepNext/>
              <w:jc w:val="center"/>
              <w:rPr>
                <w:rFonts w:ascii="Times New Roman"/>
                <w:color w:val="000000"/>
                <w:sz w:val="24"/>
                <w:szCs w:val="24"/>
              </w:rPr>
            </w:pPr>
          </w:p>
        </w:tc>
        <w:tc>
          <w:tcPr>
            <w:tcW w:w="537" w:type="pct"/>
            <w:tcBorders>
              <w:top w:val="double" w:color="auto" w:sz="6" w:space="0"/>
            </w:tcBorders>
            <w:noWrap w:val="0"/>
            <w:vAlign w:val="center"/>
          </w:tcPr>
          <w:p w14:paraId="5E0305F9">
            <w:pPr>
              <w:keepNext/>
              <w:jc w:val="center"/>
              <w:rPr>
                <w:rFonts w:ascii="Times New Roman"/>
                <w:color w:val="000000"/>
                <w:sz w:val="24"/>
                <w:szCs w:val="24"/>
              </w:rPr>
            </w:pPr>
          </w:p>
        </w:tc>
        <w:tc>
          <w:tcPr>
            <w:tcW w:w="827" w:type="pct"/>
            <w:tcBorders>
              <w:top w:val="double" w:color="auto" w:sz="6" w:space="0"/>
            </w:tcBorders>
            <w:noWrap w:val="0"/>
            <w:vAlign w:val="center"/>
          </w:tcPr>
          <w:p w14:paraId="4310FC6F">
            <w:pPr>
              <w:keepNext/>
              <w:jc w:val="center"/>
              <w:rPr>
                <w:rFonts w:ascii="Times New Roman"/>
                <w:color w:val="000000"/>
                <w:sz w:val="24"/>
                <w:szCs w:val="24"/>
              </w:rPr>
            </w:pPr>
          </w:p>
        </w:tc>
        <w:tc>
          <w:tcPr>
            <w:tcW w:w="569" w:type="pct"/>
            <w:tcBorders>
              <w:top w:val="double" w:color="auto" w:sz="6" w:space="0"/>
            </w:tcBorders>
            <w:noWrap w:val="0"/>
            <w:vAlign w:val="center"/>
          </w:tcPr>
          <w:p w14:paraId="42E6087B">
            <w:pPr>
              <w:keepNext/>
              <w:jc w:val="center"/>
              <w:rPr>
                <w:rFonts w:ascii="Times New Roman"/>
                <w:color w:val="000000"/>
                <w:sz w:val="24"/>
                <w:szCs w:val="24"/>
              </w:rPr>
            </w:pPr>
          </w:p>
        </w:tc>
        <w:tc>
          <w:tcPr>
            <w:tcW w:w="519" w:type="pct"/>
            <w:tcBorders>
              <w:top w:val="double" w:color="auto" w:sz="6" w:space="0"/>
            </w:tcBorders>
            <w:noWrap w:val="0"/>
            <w:vAlign w:val="center"/>
          </w:tcPr>
          <w:p w14:paraId="1C39E43D">
            <w:pPr>
              <w:keepNext/>
              <w:jc w:val="center"/>
              <w:rPr>
                <w:rFonts w:ascii="Times New Roman"/>
                <w:color w:val="000000"/>
                <w:sz w:val="24"/>
                <w:szCs w:val="24"/>
              </w:rPr>
            </w:pPr>
          </w:p>
        </w:tc>
      </w:tr>
      <w:tr w14:paraId="06B5A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noWrap w:val="0"/>
            <w:vAlign w:val="center"/>
          </w:tcPr>
          <w:p w14:paraId="02FBA96A">
            <w:pPr>
              <w:keepNext/>
              <w:jc w:val="center"/>
              <w:rPr>
                <w:rFonts w:ascii="Times New Roman"/>
                <w:color w:val="000000"/>
                <w:sz w:val="24"/>
                <w:szCs w:val="24"/>
              </w:rPr>
            </w:pPr>
          </w:p>
        </w:tc>
        <w:tc>
          <w:tcPr>
            <w:tcW w:w="792" w:type="pct"/>
            <w:tcBorders>
              <w:top w:val="nil"/>
            </w:tcBorders>
            <w:noWrap w:val="0"/>
            <w:vAlign w:val="center"/>
          </w:tcPr>
          <w:p w14:paraId="7B17F874">
            <w:pPr>
              <w:keepNext/>
              <w:jc w:val="center"/>
              <w:rPr>
                <w:rFonts w:ascii="Times New Roman"/>
                <w:color w:val="000000"/>
                <w:sz w:val="24"/>
                <w:szCs w:val="24"/>
              </w:rPr>
            </w:pPr>
          </w:p>
        </w:tc>
        <w:tc>
          <w:tcPr>
            <w:tcW w:w="474" w:type="pct"/>
            <w:tcBorders>
              <w:top w:val="nil"/>
            </w:tcBorders>
            <w:noWrap w:val="0"/>
            <w:vAlign w:val="center"/>
          </w:tcPr>
          <w:p w14:paraId="68FB2F7A">
            <w:pPr>
              <w:keepNext/>
              <w:jc w:val="center"/>
              <w:rPr>
                <w:rFonts w:ascii="Times New Roman"/>
                <w:color w:val="000000"/>
                <w:sz w:val="24"/>
                <w:szCs w:val="24"/>
              </w:rPr>
            </w:pPr>
          </w:p>
        </w:tc>
        <w:tc>
          <w:tcPr>
            <w:tcW w:w="396" w:type="pct"/>
            <w:tcBorders>
              <w:top w:val="nil"/>
            </w:tcBorders>
            <w:noWrap w:val="0"/>
            <w:vAlign w:val="center"/>
          </w:tcPr>
          <w:p w14:paraId="6AACA43F">
            <w:pPr>
              <w:keepNext/>
              <w:jc w:val="center"/>
              <w:rPr>
                <w:rFonts w:ascii="Times New Roman"/>
                <w:color w:val="000000"/>
                <w:sz w:val="24"/>
                <w:szCs w:val="24"/>
              </w:rPr>
            </w:pPr>
          </w:p>
        </w:tc>
        <w:tc>
          <w:tcPr>
            <w:tcW w:w="474" w:type="pct"/>
            <w:tcBorders>
              <w:top w:val="nil"/>
            </w:tcBorders>
            <w:noWrap w:val="0"/>
            <w:vAlign w:val="center"/>
          </w:tcPr>
          <w:p w14:paraId="2C6EA330">
            <w:pPr>
              <w:keepNext/>
              <w:jc w:val="center"/>
              <w:rPr>
                <w:rFonts w:ascii="Times New Roman"/>
                <w:color w:val="000000"/>
                <w:sz w:val="24"/>
                <w:szCs w:val="24"/>
              </w:rPr>
            </w:pPr>
          </w:p>
        </w:tc>
        <w:tc>
          <w:tcPr>
            <w:tcW w:w="537" w:type="pct"/>
            <w:tcBorders>
              <w:top w:val="nil"/>
            </w:tcBorders>
            <w:noWrap w:val="0"/>
            <w:vAlign w:val="center"/>
          </w:tcPr>
          <w:p w14:paraId="3730455A">
            <w:pPr>
              <w:keepNext/>
              <w:jc w:val="center"/>
              <w:rPr>
                <w:rFonts w:ascii="Times New Roman"/>
                <w:color w:val="000000"/>
                <w:sz w:val="24"/>
                <w:szCs w:val="24"/>
              </w:rPr>
            </w:pPr>
          </w:p>
        </w:tc>
        <w:tc>
          <w:tcPr>
            <w:tcW w:w="827" w:type="pct"/>
            <w:tcBorders>
              <w:top w:val="nil"/>
            </w:tcBorders>
            <w:noWrap w:val="0"/>
            <w:vAlign w:val="center"/>
          </w:tcPr>
          <w:p w14:paraId="6650525C">
            <w:pPr>
              <w:keepNext/>
              <w:jc w:val="center"/>
              <w:rPr>
                <w:rFonts w:ascii="Times New Roman"/>
                <w:color w:val="000000"/>
                <w:sz w:val="24"/>
                <w:szCs w:val="24"/>
              </w:rPr>
            </w:pPr>
          </w:p>
        </w:tc>
        <w:tc>
          <w:tcPr>
            <w:tcW w:w="569" w:type="pct"/>
            <w:tcBorders>
              <w:top w:val="nil"/>
            </w:tcBorders>
            <w:noWrap w:val="0"/>
            <w:vAlign w:val="center"/>
          </w:tcPr>
          <w:p w14:paraId="01143DDC">
            <w:pPr>
              <w:keepNext/>
              <w:jc w:val="center"/>
              <w:rPr>
                <w:rFonts w:ascii="Times New Roman"/>
                <w:color w:val="000000"/>
                <w:sz w:val="24"/>
                <w:szCs w:val="24"/>
              </w:rPr>
            </w:pPr>
          </w:p>
        </w:tc>
        <w:tc>
          <w:tcPr>
            <w:tcW w:w="519" w:type="pct"/>
            <w:tcBorders>
              <w:top w:val="nil"/>
            </w:tcBorders>
            <w:noWrap w:val="0"/>
            <w:vAlign w:val="center"/>
          </w:tcPr>
          <w:p w14:paraId="3214F247">
            <w:pPr>
              <w:keepNext/>
              <w:jc w:val="center"/>
              <w:rPr>
                <w:rFonts w:ascii="Times New Roman"/>
                <w:color w:val="000000"/>
                <w:sz w:val="24"/>
                <w:szCs w:val="24"/>
              </w:rPr>
            </w:pPr>
          </w:p>
        </w:tc>
      </w:tr>
      <w:tr w14:paraId="06040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noWrap w:val="0"/>
            <w:vAlign w:val="center"/>
          </w:tcPr>
          <w:p w14:paraId="6CE1AF7C">
            <w:pPr>
              <w:jc w:val="center"/>
              <w:rPr>
                <w:rFonts w:ascii="Times New Roman"/>
                <w:color w:val="000000"/>
                <w:sz w:val="24"/>
                <w:szCs w:val="24"/>
              </w:rPr>
            </w:pPr>
          </w:p>
        </w:tc>
        <w:tc>
          <w:tcPr>
            <w:tcW w:w="792" w:type="pct"/>
            <w:noWrap w:val="0"/>
            <w:vAlign w:val="center"/>
          </w:tcPr>
          <w:p w14:paraId="1BD3D56B">
            <w:pPr>
              <w:jc w:val="center"/>
              <w:rPr>
                <w:rFonts w:ascii="Times New Roman"/>
                <w:color w:val="000000"/>
                <w:sz w:val="24"/>
                <w:szCs w:val="24"/>
              </w:rPr>
            </w:pPr>
          </w:p>
        </w:tc>
        <w:tc>
          <w:tcPr>
            <w:tcW w:w="474" w:type="pct"/>
            <w:noWrap w:val="0"/>
            <w:vAlign w:val="center"/>
          </w:tcPr>
          <w:p w14:paraId="0925C100">
            <w:pPr>
              <w:jc w:val="center"/>
              <w:rPr>
                <w:rFonts w:ascii="Times New Roman"/>
                <w:color w:val="000000"/>
                <w:sz w:val="24"/>
                <w:szCs w:val="24"/>
              </w:rPr>
            </w:pPr>
          </w:p>
        </w:tc>
        <w:tc>
          <w:tcPr>
            <w:tcW w:w="396" w:type="pct"/>
            <w:noWrap w:val="0"/>
            <w:vAlign w:val="center"/>
          </w:tcPr>
          <w:p w14:paraId="271ED6CB">
            <w:pPr>
              <w:jc w:val="center"/>
              <w:rPr>
                <w:rFonts w:ascii="Times New Roman"/>
                <w:color w:val="000000"/>
                <w:sz w:val="24"/>
                <w:szCs w:val="24"/>
              </w:rPr>
            </w:pPr>
          </w:p>
        </w:tc>
        <w:tc>
          <w:tcPr>
            <w:tcW w:w="474" w:type="pct"/>
            <w:noWrap w:val="0"/>
            <w:vAlign w:val="center"/>
          </w:tcPr>
          <w:p w14:paraId="0691C8C4">
            <w:pPr>
              <w:jc w:val="center"/>
              <w:rPr>
                <w:rFonts w:ascii="Times New Roman"/>
                <w:color w:val="000000"/>
                <w:sz w:val="24"/>
                <w:szCs w:val="24"/>
              </w:rPr>
            </w:pPr>
          </w:p>
        </w:tc>
        <w:tc>
          <w:tcPr>
            <w:tcW w:w="537" w:type="pct"/>
            <w:noWrap w:val="0"/>
            <w:vAlign w:val="center"/>
          </w:tcPr>
          <w:p w14:paraId="336BC509">
            <w:pPr>
              <w:jc w:val="center"/>
              <w:rPr>
                <w:rFonts w:ascii="Times New Roman"/>
                <w:color w:val="000000"/>
                <w:sz w:val="24"/>
                <w:szCs w:val="24"/>
              </w:rPr>
            </w:pPr>
          </w:p>
        </w:tc>
        <w:tc>
          <w:tcPr>
            <w:tcW w:w="827" w:type="pct"/>
            <w:noWrap w:val="0"/>
            <w:vAlign w:val="center"/>
          </w:tcPr>
          <w:p w14:paraId="0A2E4A37">
            <w:pPr>
              <w:jc w:val="center"/>
              <w:rPr>
                <w:rFonts w:ascii="Times New Roman"/>
                <w:color w:val="000000"/>
                <w:sz w:val="24"/>
                <w:szCs w:val="24"/>
              </w:rPr>
            </w:pPr>
          </w:p>
        </w:tc>
        <w:tc>
          <w:tcPr>
            <w:tcW w:w="569" w:type="pct"/>
            <w:noWrap w:val="0"/>
            <w:vAlign w:val="center"/>
          </w:tcPr>
          <w:p w14:paraId="055947E8">
            <w:pPr>
              <w:jc w:val="center"/>
              <w:rPr>
                <w:rFonts w:ascii="Times New Roman"/>
                <w:color w:val="000000"/>
                <w:sz w:val="24"/>
                <w:szCs w:val="24"/>
              </w:rPr>
            </w:pPr>
          </w:p>
        </w:tc>
        <w:tc>
          <w:tcPr>
            <w:tcW w:w="519" w:type="pct"/>
            <w:noWrap w:val="0"/>
            <w:vAlign w:val="center"/>
          </w:tcPr>
          <w:p w14:paraId="6E1D620C">
            <w:pPr>
              <w:jc w:val="center"/>
              <w:rPr>
                <w:rFonts w:ascii="Times New Roman"/>
                <w:color w:val="000000"/>
                <w:sz w:val="24"/>
                <w:szCs w:val="24"/>
              </w:rPr>
            </w:pPr>
          </w:p>
        </w:tc>
      </w:tr>
      <w:tr w14:paraId="1B4C4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noWrap w:val="0"/>
            <w:vAlign w:val="center"/>
          </w:tcPr>
          <w:p w14:paraId="3C06AC95">
            <w:pPr>
              <w:jc w:val="center"/>
              <w:rPr>
                <w:rFonts w:ascii="Times New Roman"/>
                <w:color w:val="000000"/>
                <w:sz w:val="24"/>
                <w:szCs w:val="24"/>
              </w:rPr>
            </w:pPr>
          </w:p>
        </w:tc>
        <w:tc>
          <w:tcPr>
            <w:tcW w:w="792" w:type="pct"/>
            <w:noWrap w:val="0"/>
            <w:vAlign w:val="center"/>
          </w:tcPr>
          <w:p w14:paraId="0B9C545C">
            <w:pPr>
              <w:jc w:val="center"/>
              <w:rPr>
                <w:rFonts w:ascii="Times New Roman"/>
                <w:color w:val="000000"/>
                <w:sz w:val="24"/>
                <w:szCs w:val="24"/>
              </w:rPr>
            </w:pPr>
          </w:p>
        </w:tc>
        <w:tc>
          <w:tcPr>
            <w:tcW w:w="474" w:type="pct"/>
            <w:noWrap w:val="0"/>
            <w:vAlign w:val="center"/>
          </w:tcPr>
          <w:p w14:paraId="173D13AF">
            <w:pPr>
              <w:jc w:val="center"/>
              <w:rPr>
                <w:rFonts w:ascii="Times New Roman"/>
                <w:color w:val="000000"/>
                <w:sz w:val="24"/>
                <w:szCs w:val="24"/>
              </w:rPr>
            </w:pPr>
          </w:p>
        </w:tc>
        <w:tc>
          <w:tcPr>
            <w:tcW w:w="396" w:type="pct"/>
            <w:noWrap w:val="0"/>
            <w:vAlign w:val="center"/>
          </w:tcPr>
          <w:p w14:paraId="5A8DC0CB">
            <w:pPr>
              <w:jc w:val="center"/>
              <w:rPr>
                <w:rFonts w:ascii="Times New Roman"/>
                <w:color w:val="000000"/>
                <w:sz w:val="24"/>
                <w:szCs w:val="24"/>
              </w:rPr>
            </w:pPr>
          </w:p>
        </w:tc>
        <w:tc>
          <w:tcPr>
            <w:tcW w:w="474" w:type="pct"/>
            <w:noWrap w:val="0"/>
            <w:vAlign w:val="center"/>
          </w:tcPr>
          <w:p w14:paraId="0BB9E867">
            <w:pPr>
              <w:jc w:val="center"/>
              <w:rPr>
                <w:rFonts w:ascii="Times New Roman"/>
                <w:color w:val="000000"/>
                <w:sz w:val="24"/>
                <w:szCs w:val="24"/>
              </w:rPr>
            </w:pPr>
          </w:p>
        </w:tc>
        <w:tc>
          <w:tcPr>
            <w:tcW w:w="537" w:type="pct"/>
            <w:noWrap w:val="0"/>
            <w:vAlign w:val="center"/>
          </w:tcPr>
          <w:p w14:paraId="4F8348BB">
            <w:pPr>
              <w:jc w:val="center"/>
              <w:rPr>
                <w:rFonts w:ascii="Times New Roman"/>
                <w:color w:val="000000"/>
                <w:sz w:val="24"/>
                <w:szCs w:val="24"/>
              </w:rPr>
            </w:pPr>
          </w:p>
        </w:tc>
        <w:tc>
          <w:tcPr>
            <w:tcW w:w="827" w:type="pct"/>
            <w:noWrap w:val="0"/>
            <w:vAlign w:val="center"/>
          </w:tcPr>
          <w:p w14:paraId="774E7B4B">
            <w:pPr>
              <w:jc w:val="center"/>
              <w:rPr>
                <w:rFonts w:ascii="Times New Roman"/>
                <w:color w:val="000000"/>
                <w:sz w:val="24"/>
                <w:szCs w:val="24"/>
              </w:rPr>
            </w:pPr>
          </w:p>
        </w:tc>
        <w:tc>
          <w:tcPr>
            <w:tcW w:w="569" w:type="pct"/>
            <w:noWrap w:val="0"/>
            <w:vAlign w:val="center"/>
          </w:tcPr>
          <w:p w14:paraId="62B43A18">
            <w:pPr>
              <w:jc w:val="center"/>
              <w:rPr>
                <w:rFonts w:ascii="Times New Roman"/>
                <w:color w:val="000000"/>
                <w:sz w:val="24"/>
                <w:szCs w:val="24"/>
              </w:rPr>
            </w:pPr>
          </w:p>
        </w:tc>
        <w:tc>
          <w:tcPr>
            <w:tcW w:w="519" w:type="pct"/>
            <w:noWrap w:val="0"/>
            <w:vAlign w:val="center"/>
          </w:tcPr>
          <w:p w14:paraId="4A533C9C">
            <w:pPr>
              <w:jc w:val="center"/>
              <w:rPr>
                <w:rFonts w:ascii="Times New Roman"/>
                <w:color w:val="000000"/>
                <w:sz w:val="24"/>
                <w:szCs w:val="24"/>
              </w:rPr>
            </w:pPr>
          </w:p>
        </w:tc>
      </w:tr>
      <w:tr w14:paraId="4C0C4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noWrap w:val="0"/>
            <w:vAlign w:val="center"/>
          </w:tcPr>
          <w:p w14:paraId="1770E77E">
            <w:pPr>
              <w:jc w:val="center"/>
              <w:rPr>
                <w:rFonts w:ascii="Times New Roman"/>
                <w:color w:val="000000"/>
                <w:sz w:val="24"/>
                <w:szCs w:val="24"/>
              </w:rPr>
            </w:pPr>
          </w:p>
        </w:tc>
        <w:tc>
          <w:tcPr>
            <w:tcW w:w="792" w:type="pct"/>
            <w:tcBorders>
              <w:bottom w:val="single" w:color="auto" w:sz="12" w:space="0"/>
            </w:tcBorders>
            <w:noWrap w:val="0"/>
            <w:vAlign w:val="center"/>
          </w:tcPr>
          <w:p w14:paraId="56291CF2">
            <w:pPr>
              <w:jc w:val="center"/>
              <w:rPr>
                <w:rFonts w:ascii="Times New Roman"/>
                <w:color w:val="000000"/>
                <w:sz w:val="24"/>
                <w:szCs w:val="24"/>
              </w:rPr>
            </w:pPr>
          </w:p>
        </w:tc>
        <w:tc>
          <w:tcPr>
            <w:tcW w:w="474" w:type="pct"/>
            <w:tcBorders>
              <w:bottom w:val="single" w:color="auto" w:sz="12" w:space="0"/>
            </w:tcBorders>
            <w:noWrap w:val="0"/>
            <w:vAlign w:val="center"/>
          </w:tcPr>
          <w:p w14:paraId="604BDB6B">
            <w:pPr>
              <w:jc w:val="center"/>
              <w:rPr>
                <w:rFonts w:ascii="Times New Roman"/>
                <w:color w:val="000000"/>
                <w:sz w:val="24"/>
                <w:szCs w:val="24"/>
              </w:rPr>
            </w:pPr>
          </w:p>
        </w:tc>
        <w:tc>
          <w:tcPr>
            <w:tcW w:w="396" w:type="pct"/>
            <w:tcBorders>
              <w:bottom w:val="single" w:color="auto" w:sz="12" w:space="0"/>
            </w:tcBorders>
            <w:noWrap w:val="0"/>
            <w:vAlign w:val="center"/>
          </w:tcPr>
          <w:p w14:paraId="370D2A29">
            <w:pPr>
              <w:jc w:val="center"/>
              <w:rPr>
                <w:rFonts w:ascii="Times New Roman"/>
                <w:color w:val="000000"/>
                <w:sz w:val="24"/>
                <w:szCs w:val="24"/>
              </w:rPr>
            </w:pPr>
          </w:p>
        </w:tc>
        <w:tc>
          <w:tcPr>
            <w:tcW w:w="474" w:type="pct"/>
            <w:tcBorders>
              <w:bottom w:val="single" w:color="auto" w:sz="12" w:space="0"/>
            </w:tcBorders>
            <w:noWrap w:val="0"/>
            <w:vAlign w:val="center"/>
          </w:tcPr>
          <w:p w14:paraId="67D8CE68">
            <w:pPr>
              <w:jc w:val="center"/>
              <w:rPr>
                <w:rFonts w:ascii="Times New Roman"/>
                <w:color w:val="000000"/>
                <w:sz w:val="24"/>
                <w:szCs w:val="24"/>
              </w:rPr>
            </w:pPr>
          </w:p>
        </w:tc>
        <w:tc>
          <w:tcPr>
            <w:tcW w:w="537" w:type="pct"/>
            <w:tcBorders>
              <w:bottom w:val="single" w:color="auto" w:sz="12" w:space="0"/>
            </w:tcBorders>
            <w:noWrap w:val="0"/>
            <w:vAlign w:val="center"/>
          </w:tcPr>
          <w:p w14:paraId="18B35376">
            <w:pPr>
              <w:jc w:val="center"/>
              <w:rPr>
                <w:rFonts w:ascii="Times New Roman"/>
                <w:color w:val="000000"/>
                <w:sz w:val="24"/>
                <w:szCs w:val="24"/>
              </w:rPr>
            </w:pPr>
          </w:p>
        </w:tc>
        <w:tc>
          <w:tcPr>
            <w:tcW w:w="827" w:type="pct"/>
            <w:tcBorders>
              <w:bottom w:val="single" w:color="auto" w:sz="12" w:space="0"/>
            </w:tcBorders>
            <w:noWrap w:val="0"/>
            <w:vAlign w:val="center"/>
          </w:tcPr>
          <w:p w14:paraId="09BAA963">
            <w:pPr>
              <w:jc w:val="center"/>
              <w:rPr>
                <w:rFonts w:ascii="Times New Roman"/>
                <w:color w:val="000000"/>
                <w:sz w:val="24"/>
                <w:szCs w:val="24"/>
              </w:rPr>
            </w:pPr>
          </w:p>
        </w:tc>
        <w:tc>
          <w:tcPr>
            <w:tcW w:w="569" w:type="pct"/>
            <w:tcBorders>
              <w:bottom w:val="single" w:color="auto" w:sz="12" w:space="0"/>
            </w:tcBorders>
            <w:noWrap w:val="0"/>
            <w:vAlign w:val="center"/>
          </w:tcPr>
          <w:p w14:paraId="2FA227BF">
            <w:pPr>
              <w:jc w:val="center"/>
              <w:rPr>
                <w:rFonts w:ascii="Times New Roman"/>
                <w:color w:val="000000"/>
                <w:sz w:val="24"/>
                <w:szCs w:val="24"/>
              </w:rPr>
            </w:pPr>
          </w:p>
        </w:tc>
        <w:tc>
          <w:tcPr>
            <w:tcW w:w="519" w:type="pct"/>
            <w:tcBorders>
              <w:bottom w:val="single" w:color="auto" w:sz="12" w:space="0"/>
            </w:tcBorders>
            <w:noWrap w:val="0"/>
            <w:vAlign w:val="center"/>
          </w:tcPr>
          <w:p w14:paraId="0D625114">
            <w:pPr>
              <w:jc w:val="center"/>
              <w:rPr>
                <w:rFonts w:ascii="Times New Roman"/>
                <w:color w:val="000000"/>
                <w:sz w:val="24"/>
                <w:szCs w:val="24"/>
              </w:rPr>
            </w:pPr>
          </w:p>
        </w:tc>
      </w:tr>
    </w:tbl>
    <w:p w14:paraId="17C89E45">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25" w:name="_Toc128950241"/>
      <w:r>
        <w:rPr>
          <w:rFonts w:hint="eastAsia" w:ascii="Times New Roman" w:eastAsia="黑体"/>
          <w:color w:val="000000"/>
          <w:sz w:val="24"/>
          <w:szCs w:val="24"/>
        </w:rPr>
        <w:t>附</w:t>
      </w:r>
      <w:bookmarkStart w:id="626" w:name="_Toc296503228"/>
      <w:bookmarkStart w:id="627" w:name="_Toc296891056"/>
      <w:bookmarkStart w:id="628" w:name="_Toc296347227"/>
      <w:bookmarkStart w:id="629" w:name="_Toc296346729"/>
      <w:bookmarkStart w:id="630" w:name="_Toc267261699"/>
      <w:bookmarkStart w:id="631" w:name="_Toc296944567"/>
      <w:bookmarkStart w:id="632" w:name="_Toc296891268"/>
      <w:r>
        <w:rPr>
          <w:rFonts w:hint="eastAsia" w:ascii="Times New Roman" w:eastAsia="黑体"/>
          <w:color w:val="000000"/>
          <w:sz w:val="24"/>
          <w:szCs w:val="24"/>
        </w:rPr>
        <w:t>件</w:t>
      </w:r>
      <w:bookmarkEnd w:id="626"/>
      <w:bookmarkEnd w:id="627"/>
      <w:bookmarkEnd w:id="628"/>
      <w:bookmarkEnd w:id="629"/>
      <w:bookmarkEnd w:id="630"/>
      <w:bookmarkEnd w:id="631"/>
      <w:bookmarkEnd w:id="632"/>
      <w:r>
        <w:rPr>
          <w:rFonts w:ascii="Times New Roman" w:eastAsia="黑体"/>
          <w:color w:val="000000"/>
          <w:sz w:val="24"/>
          <w:szCs w:val="24"/>
        </w:rPr>
        <w:t>6</w:t>
      </w:r>
      <w:r>
        <w:rPr>
          <w:rFonts w:hint="eastAsia" w:ascii="Times New Roman" w:eastAsia="黑体"/>
          <w:color w:val="000000"/>
          <w:sz w:val="24"/>
          <w:szCs w:val="24"/>
        </w:rPr>
        <w:t>：承包人主要施工管理人员表</w:t>
      </w:r>
      <w:bookmarkEnd w:id="625"/>
    </w:p>
    <w:p w14:paraId="53086147">
      <w:pPr>
        <w:spacing w:line="360" w:lineRule="auto"/>
        <w:jc w:val="center"/>
        <w:rPr>
          <w:rFonts w:ascii="Times New Roman"/>
          <w:color w:val="000000"/>
          <w:sz w:val="24"/>
          <w:szCs w:val="24"/>
        </w:rPr>
      </w:pPr>
      <w:r>
        <w:rPr>
          <w:rFonts w:hint="eastAsia" w:ascii="Times New Roman"/>
          <w:color w:val="000000"/>
          <w:sz w:val="24"/>
          <w:szCs w:val="24"/>
        </w:rPr>
        <w:t>承包人主要施工管理人员表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66AD2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noWrap w:val="0"/>
            <w:vAlign w:val="center"/>
          </w:tcPr>
          <w:p w14:paraId="4D5F7E1E">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627" w:type="pct"/>
            <w:tcBorders>
              <w:top w:val="single" w:color="auto" w:sz="12" w:space="0"/>
              <w:bottom w:val="double" w:color="auto" w:sz="6" w:space="0"/>
            </w:tcBorders>
            <w:noWrap w:val="0"/>
            <w:vAlign w:val="center"/>
          </w:tcPr>
          <w:p w14:paraId="06B681C3">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502" w:type="pct"/>
            <w:tcBorders>
              <w:top w:val="single" w:color="auto" w:sz="12" w:space="0"/>
              <w:bottom w:val="double" w:color="auto" w:sz="6" w:space="0"/>
            </w:tcBorders>
            <w:noWrap w:val="0"/>
            <w:vAlign w:val="center"/>
          </w:tcPr>
          <w:p w14:paraId="1ACEFFB2">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502" w:type="pct"/>
            <w:tcBorders>
              <w:top w:val="single" w:color="auto" w:sz="12" w:space="0"/>
              <w:bottom w:val="double" w:color="auto" w:sz="6" w:space="0"/>
            </w:tcBorders>
            <w:noWrap w:val="0"/>
            <w:vAlign w:val="center"/>
          </w:tcPr>
          <w:p w14:paraId="57DDC84A">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1281" w:type="pct"/>
            <w:tcBorders>
              <w:top w:val="single" w:color="auto" w:sz="12" w:space="0"/>
              <w:bottom w:val="double" w:color="auto" w:sz="6" w:space="0"/>
            </w:tcBorders>
            <w:noWrap w:val="0"/>
            <w:vAlign w:val="center"/>
          </w:tcPr>
          <w:p w14:paraId="611D3D55">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1151" w:type="pct"/>
            <w:tcBorders>
              <w:top w:val="single" w:color="auto" w:sz="12" w:space="0"/>
              <w:bottom w:val="double" w:color="auto" w:sz="6" w:space="0"/>
            </w:tcBorders>
            <w:noWrap w:val="0"/>
            <w:vAlign w:val="center"/>
          </w:tcPr>
          <w:p w14:paraId="5DEB1565">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5DBE1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noWrap w:val="0"/>
            <w:vAlign w:val="center"/>
          </w:tcPr>
          <w:p w14:paraId="3AD6DCF9">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1151" w:type="pct"/>
            <w:tcBorders>
              <w:top w:val="double" w:color="auto" w:sz="6" w:space="0"/>
            </w:tcBorders>
            <w:noWrap w:val="0"/>
            <w:vAlign w:val="center"/>
          </w:tcPr>
          <w:p w14:paraId="1BE8734D">
            <w:pPr>
              <w:keepNext/>
              <w:spacing w:line="360" w:lineRule="auto"/>
              <w:jc w:val="center"/>
              <w:rPr>
                <w:rFonts w:hint="eastAsia" w:ascii="Times New Roman"/>
                <w:color w:val="000000"/>
                <w:sz w:val="24"/>
                <w:szCs w:val="24"/>
              </w:rPr>
            </w:pPr>
          </w:p>
        </w:tc>
      </w:tr>
      <w:tr w14:paraId="169D6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noWrap w:val="0"/>
            <w:vAlign w:val="center"/>
          </w:tcPr>
          <w:p w14:paraId="4206730A">
            <w:pPr>
              <w:spacing w:line="360" w:lineRule="auto"/>
              <w:jc w:val="center"/>
              <w:rPr>
                <w:rFonts w:ascii="Times New Roman"/>
                <w:color w:val="000000"/>
                <w:sz w:val="24"/>
                <w:szCs w:val="24"/>
              </w:rPr>
            </w:pPr>
            <w:r>
              <w:rPr>
                <w:rFonts w:hint="eastAsia" w:ascii="Times New Roman"/>
                <w:color w:val="000000"/>
                <w:sz w:val="24"/>
                <w:szCs w:val="24"/>
              </w:rPr>
              <w:t>项目主管</w:t>
            </w:r>
          </w:p>
        </w:tc>
        <w:tc>
          <w:tcPr>
            <w:tcW w:w="627" w:type="pct"/>
            <w:tcBorders>
              <w:top w:val="nil"/>
            </w:tcBorders>
            <w:noWrap w:val="0"/>
            <w:vAlign w:val="center"/>
          </w:tcPr>
          <w:p w14:paraId="7704AF32">
            <w:pPr>
              <w:keepNext/>
              <w:spacing w:line="360" w:lineRule="auto"/>
              <w:jc w:val="center"/>
              <w:rPr>
                <w:rFonts w:ascii="Times New Roman"/>
                <w:color w:val="000000"/>
                <w:sz w:val="24"/>
                <w:szCs w:val="24"/>
              </w:rPr>
            </w:pPr>
          </w:p>
        </w:tc>
        <w:tc>
          <w:tcPr>
            <w:tcW w:w="502" w:type="pct"/>
            <w:tcBorders>
              <w:top w:val="nil"/>
            </w:tcBorders>
            <w:noWrap w:val="0"/>
            <w:vAlign w:val="center"/>
          </w:tcPr>
          <w:p w14:paraId="2092CD9D">
            <w:pPr>
              <w:keepNext/>
              <w:spacing w:line="360" w:lineRule="auto"/>
              <w:jc w:val="center"/>
              <w:rPr>
                <w:rFonts w:ascii="Times New Roman"/>
                <w:color w:val="000000"/>
                <w:sz w:val="24"/>
                <w:szCs w:val="24"/>
              </w:rPr>
            </w:pPr>
          </w:p>
        </w:tc>
        <w:tc>
          <w:tcPr>
            <w:tcW w:w="502" w:type="pct"/>
            <w:tcBorders>
              <w:top w:val="nil"/>
            </w:tcBorders>
            <w:noWrap w:val="0"/>
            <w:vAlign w:val="center"/>
          </w:tcPr>
          <w:p w14:paraId="24330E1A">
            <w:pPr>
              <w:keepNext/>
              <w:spacing w:line="360" w:lineRule="auto"/>
              <w:jc w:val="center"/>
              <w:rPr>
                <w:rFonts w:ascii="Times New Roman"/>
                <w:color w:val="000000"/>
                <w:sz w:val="24"/>
                <w:szCs w:val="24"/>
              </w:rPr>
            </w:pPr>
          </w:p>
        </w:tc>
        <w:tc>
          <w:tcPr>
            <w:tcW w:w="1281" w:type="pct"/>
            <w:tcBorders>
              <w:top w:val="nil"/>
            </w:tcBorders>
            <w:noWrap w:val="0"/>
            <w:vAlign w:val="center"/>
          </w:tcPr>
          <w:p w14:paraId="68E8B44D">
            <w:pPr>
              <w:keepNext/>
              <w:spacing w:line="360" w:lineRule="auto"/>
              <w:jc w:val="center"/>
              <w:rPr>
                <w:rFonts w:ascii="Times New Roman"/>
                <w:color w:val="000000"/>
                <w:sz w:val="24"/>
                <w:szCs w:val="24"/>
              </w:rPr>
            </w:pPr>
          </w:p>
        </w:tc>
        <w:tc>
          <w:tcPr>
            <w:tcW w:w="1151" w:type="pct"/>
            <w:tcBorders>
              <w:top w:val="nil"/>
            </w:tcBorders>
            <w:noWrap w:val="0"/>
            <w:vAlign w:val="center"/>
          </w:tcPr>
          <w:p w14:paraId="73297491">
            <w:pPr>
              <w:keepNext/>
              <w:spacing w:line="360" w:lineRule="auto"/>
              <w:jc w:val="center"/>
              <w:rPr>
                <w:rFonts w:ascii="Times New Roman"/>
                <w:color w:val="000000"/>
                <w:sz w:val="24"/>
                <w:szCs w:val="24"/>
              </w:rPr>
            </w:pPr>
          </w:p>
        </w:tc>
      </w:tr>
      <w:tr w14:paraId="2DC5A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noWrap w:val="0"/>
            <w:vAlign w:val="center"/>
          </w:tcPr>
          <w:p w14:paraId="1FFD3F8F">
            <w:pPr>
              <w:spacing w:line="360" w:lineRule="auto"/>
              <w:jc w:val="center"/>
              <w:rPr>
                <w:rFonts w:hint="eastAsia" w:ascii="Times New Roman"/>
                <w:color w:val="000000"/>
                <w:sz w:val="24"/>
                <w:szCs w:val="24"/>
              </w:rPr>
            </w:pPr>
            <w:r>
              <w:rPr>
                <w:rFonts w:hint="eastAsia" w:ascii="Times New Roman"/>
                <w:color w:val="000000"/>
                <w:sz w:val="24"/>
                <w:szCs w:val="24"/>
              </w:rPr>
              <w:t>其他人员</w:t>
            </w:r>
          </w:p>
        </w:tc>
        <w:tc>
          <w:tcPr>
            <w:tcW w:w="627" w:type="pct"/>
            <w:noWrap w:val="0"/>
            <w:vAlign w:val="center"/>
          </w:tcPr>
          <w:p w14:paraId="7196224F">
            <w:pPr>
              <w:keepNext/>
              <w:spacing w:line="360" w:lineRule="auto"/>
              <w:jc w:val="center"/>
              <w:rPr>
                <w:rFonts w:ascii="Times New Roman"/>
                <w:color w:val="000000"/>
                <w:sz w:val="24"/>
                <w:szCs w:val="24"/>
              </w:rPr>
            </w:pPr>
          </w:p>
        </w:tc>
        <w:tc>
          <w:tcPr>
            <w:tcW w:w="502" w:type="pct"/>
            <w:noWrap w:val="0"/>
            <w:vAlign w:val="center"/>
          </w:tcPr>
          <w:p w14:paraId="2E102F22">
            <w:pPr>
              <w:keepNext/>
              <w:spacing w:line="360" w:lineRule="auto"/>
              <w:jc w:val="center"/>
              <w:rPr>
                <w:rFonts w:ascii="Times New Roman"/>
                <w:color w:val="000000"/>
                <w:sz w:val="24"/>
                <w:szCs w:val="24"/>
              </w:rPr>
            </w:pPr>
          </w:p>
        </w:tc>
        <w:tc>
          <w:tcPr>
            <w:tcW w:w="502" w:type="pct"/>
            <w:noWrap w:val="0"/>
            <w:vAlign w:val="center"/>
          </w:tcPr>
          <w:p w14:paraId="36E59ED7">
            <w:pPr>
              <w:keepNext/>
              <w:spacing w:line="360" w:lineRule="auto"/>
              <w:jc w:val="center"/>
              <w:rPr>
                <w:rFonts w:ascii="Times New Roman"/>
                <w:color w:val="000000"/>
                <w:sz w:val="24"/>
                <w:szCs w:val="24"/>
              </w:rPr>
            </w:pPr>
          </w:p>
        </w:tc>
        <w:tc>
          <w:tcPr>
            <w:tcW w:w="1281" w:type="pct"/>
            <w:noWrap w:val="0"/>
            <w:vAlign w:val="center"/>
          </w:tcPr>
          <w:p w14:paraId="57DABE60">
            <w:pPr>
              <w:keepNext/>
              <w:spacing w:line="360" w:lineRule="auto"/>
              <w:jc w:val="center"/>
              <w:rPr>
                <w:rFonts w:ascii="Times New Roman"/>
                <w:color w:val="000000"/>
                <w:sz w:val="24"/>
                <w:szCs w:val="24"/>
              </w:rPr>
            </w:pPr>
          </w:p>
        </w:tc>
        <w:tc>
          <w:tcPr>
            <w:tcW w:w="1151" w:type="pct"/>
            <w:noWrap w:val="0"/>
            <w:vAlign w:val="center"/>
          </w:tcPr>
          <w:p w14:paraId="6C72C80A">
            <w:pPr>
              <w:keepNext/>
              <w:spacing w:line="360" w:lineRule="auto"/>
              <w:jc w:val="center"/>
              <w:rPr>
                <w:rFonts w:ascii="Times New Roman"/>
                <w:color w:val="000000"/>
                <w:sz w:val="24"/>
                <w:szCs w:val="24"/>
              </w:rPr>
            </w:pPr>
          </w:p>
        </w:tc>
      </w:tr>
      <w:tr w14:paraId="786F2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18F52E6A">
            <w:pPr>
              <w:spacing w:line="360" w:lineRule="auto"/>
              <w:jc w:val="center"/>
              <w:rPr>
                <w:rFonts w:ascii="Times New Roman"/>
                <w:color w:val="000000"/>
                <w:sz w:val="24"/>
                <w:szCs w:val="24"/>
              </w:rPr>
            </w:pPr>
          </w:p>
        </w:tc>
        <w:tc>
          <w:tcPr>
            <w:tcW w:w="627" w:type="pct"/>
            <w:noWrap w:val="0"/>
            <w:vAlign w:val="center"/>
          </w:tcPr>
          <w:p w14:paraId="5B365A2A">
            <w:pPr>
              <w:keepNext/>
              <w:spacing w:line="360" w:lineRule="auto"/>
              <w:jc w:val="center"/>
              <w:rPr>
                <w:rFonts w:ascii="Times New Roman"/>
                <w:color w:val="000000"/>
                <w:sz w:val="24"/>
                <w:szCs w:val="24"/>
              </w:rPr>
            </w:pPr>
          </w:p>
        </w:tc>
        <w:tc>
          <w:tcPr>
            <w:tcW w:w="502" w:type="pct"/>
            <w:noWrap w:val="0"/>
            <w:vAlign w:val="center"/>
          </w:tcPr>
          <w:p w14:paraId="356CB058">
            <w:pPr>
              <w:keepNext/>
              <w:spacing w:line="360" w:lineRule="auto"/>
              <w:jc w:val="center"/>
              <w:rPr>
                <w:rFonts w:ascii="Times New Roman"/>
                <w:color w:val="000000"/>
                <w:sz w:val="24"/>
                <w:szCs w:val="24"/>
              </w:rPr>
            </w:pPr>
          </w:p>
        </w:tc>
        <w:tc>
          <w:tcPr>
            <w:tcW w:w="502" w:type="pct"/>
            <w:noWrap w:val="0"/>
            <w:vAlign w:val="center"/>
          </w:tcPr>
          <w:p w14:paraId="0376E5DB">
            <w:pPr>
              <w:keepNext/>
              <w:spacing w:line="360" w:lineRule="auto"/>
              <w:jc w:val="center"/>
              <w:rPr>
                <w:rFonts w:ascii="Times New Roman"/>
                <w:color w:val="000000"/>
                <w:sz w:val="24"/>
                <w:szCs w:val="24"/>
              </w:rPr>
            </w:pPr>
          </w:p>
        </w:tc>
        <w:tc>
          <w:tcPr>
            <w:tcW w:w="1281" w:type="pct"/>
            <w:noWrap w:val="0"/>
            <w:vAlign w:val="center"/>
          </w:tcPr>
          <w:p w14:paraId="58A5B764">
            <w:pPr>
              <w:keepNext/>
              <w:spacing w:line="360" w:lineRule="auto"/>
              <w:jc w:val="center"/>
              <w:rPr>
                <w:rFonts w:ascii="Times New Roman"/>
                <w:color w:val="000000"/>
                <w:sz w:val="24"/>
                <w:szCs w:val="24"/>
              </w:rPr>
            </w:pPr>
          </w:p>
        </w:tc>
        <w:tc>
          <w:tcPr>
            <w:tcW w:w="1151" w:type="pct"/>
            <w:noWrap w:val="0"/>
            <w:vAlign w:val="center"/>
          </w:tcPr>
          <w:p w14:paraId="4D1E2C0E">
            <w:pPr>
              <w:keepNext/>
              <w:spacing w:line="360" w:lineRule="auto"/>
              <w:jc w:val="center"/>
              <w:rPr>
                <w:rFonts w:ascii="Times New Roman"/>
                <w:color w:val="000000"/>
                <w:sz w:val="24"/>
                <w:szCs w:val="24"/>
              </w:rPr>
            </w:pPr>
          </w:p>
        </w:tc>
      </w:tr>
      <w:tr w14:paraId="315D8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noWrap w:val="0"/>
            <w:vAlign w:val="center"/>
          </w:tcPr>
          <w:p w14:paraId="27FA7D71">
            <w:pPr>
              <w:spacing w:line="360" w:lineRule="auto"/>
              <w:jc w:val="center"/>
              <w:rPr>
                <w:rFonts w:hint="eastAsia" w:ascii="Times New Roman"/>
                <w:color w:val="000000"/>
                <w:sz w:val="24"/>
                <w:szCs w:val="24"/>
              </w:rPr>
            </w:pPr>
          </w:p>
        </w:tc>
        <w:tc>
          <w:tcPr>
            <w:tcW w:w="627" w:type="pct"/>
            <w:noWrap w:val="0"/>
            <w:vAlign w:val="center"/>
          </w:tcPr>
          <w:p w14:paraId="2BE97D93">
            <w:pPr>
              <w:keepNext/>
              <w:spacing w:line="360" w:lineRule="auto"/>
              <w:jc w:val="center"/>
              <w:rPr>
                <w:rFonts w:ascii="Times New Roman"/>
                <w:color w:val="000000"/>
                <w:sz w:val="24"/>
                <w:szCs w:val="24"/>
              </w:rPr>
            </w:pPr>
          </w:p>
        </w:tc>
        <w:tc>
          <w:tcPr>
            <w:tcW w:w="502" w:type="pct"/>
            <w:noWrap w:val="0"/>
            <w:vAlign w:val="center"/>
          </w:tcPr>
          <w:p w14:paraId="5469A247">
            <w:pPr>
              <w:keepNext/>
              <w:spacing w:line="360" w:lineRule="auto"/>
              <w:jc w:val="center"/>
              <w:rPr>
                <w:rFonts w:ascii="Times New Roman"/>
                <w:color w:val="000000"/>
                <w:sz w:val="24"/>
                <w:szCs w:val="24"/>
              </w:rPr>
            </w:pPr>
          </w:p>
        </w:tc>
        <w:tc>
          <w:tcPr>
            <w:tcW w:w="502" w:type="pct"/>
            <w:noWrap w:val="0"/>
            <w:vAlign w:val="center"/>
          </w:tcPr>
          <w:p w14:paraId="47B33A23">
            <w:pPr>
              <w:keepNext/>
              <w:spacing w:line="360" w:lineRule="auto"/>
              <w:jc w:val="center"/>
              <w:rPr>
                <w:rFonts w:ascii="Times New Roman"/>
                <w:color w:val="000000"/>
                <w:sz w:val="24"/>
                <w:szCs w:val="24"/>
              </w:rPr>
            </w:pPr>
          </w:p>
        </w:tc>
        <w:tc>
          <w:tcPr>
            <w:tcW w:w="1281" w:type="pct"/>
            <w:noWrap w:val="0"/>
            <w:vAlign w:val="center"/>
          </w:tcPr>
          <w:p w14:paraId="481089B0">
            <w:pPr>
              <w:keepNext/>
              <w:spacing w:line="360" w:lineRule="auto"/>
              <w:jc w:val="center"/>
              <w:rPr>
                <w:rFonts w:ascii="Times New Roman"/>
                <w:color w:val="000000"/>
                <w:sz w:val="24"/>
                <w:szCs w:val="24"/>
              </w:rPr>
            </w:pPr>
          </w:p>
        </w:tc>
        <w:tc>
          <w:tcPr>
            <w:tcW w:w="1151" w:type="pct"/>
            <w:noWrap w:val="0"/>
            <w:vAlign w:val="center"/>
          </w:tcPr>
          <w:p w14:paraId="5B9F28AD">
            <w:pPr>
              <w:keepNext/>
              <w:spacing w:line="360" w:lineRule="auto"/>
              <w:jc w:val="center"/>
              <w:rPr>
                <w:rFonts w:ascii="Times New Roman"/>
                <w:color w:val="000000"/>
                <w:sz w:val="24"/>
                <w:szCs w:val="24"/>
              </w:rPr>
            </w:pPr>
          </w:p>
        </w:tc>
      </w:tr>
      <w:tr w14:paraId="7F1FE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noWrap w:val="0"/>
            <w:vAlign w:val="center"/>
          </w:tcPr>
          <w:p w14:paraId="15CA0ECD">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1151" w:type="pct"/>
            <w:noWrap w:val="0"/>
            <w:vAlign w:val="center"/>
          </w:tcPr>
          <w:p w14:paraId="26C5ACC2">
            <w:pPr>
              <w:keepNext/>
              <w:spacing w:line="360" w:lineRule="auto"/>
              <w:jc w:val="center"/>
              <w:rPr>
                <w:rFonts w:hint="eastAsia" w:ascii="Times New Roman"/>
                <w:color w:val="000000"/>
                <w:sz w:val="24"/>
                <w:szCs w:val="24"/>
              </w:rPr>
            </w:pPr>
          </w:p>
        </w:tc>
      </w:tr>
      <w:tr w14:paraId="1760F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4410B5EF">
            <w:pPr>
              <w:spacing w:line="360" w:lineRule="auto"/>
              <w:jc w:val="center"/>
              <w:rPr>
                <w:rFonts w:ascii="Times New Roman"/>
                <w:color w:val="000000"/>
                <w:sz w:val="24"/>
                <w:szCs w:val="24"/>
              </w:rPr>
            </w:pPr>
            <w:r>
              <w:rPr>
                <w:rFonts w:hint="eastAsia" w:ascii="Times New Roman"/>
                <w:color w:val="000000"/>
                <w:sz w:val="24"/>
                <w:szCs w:val="24"/>
              </w:rPr>
              <w:t>项目经理</w:t>
            </w:r>
          </w:p>
        </w:tc>
        <w:tc>
          <w:tcPr>
            <w:tcW w:w="627" w:type="pct"/>
            <w:noWrap w:val="0"/>
            <w:vAlign w:val="center"/>
          </w:tcPr>
          <w:p w14:paraId="5FCF31AE">
            <w:pPr>
              <w:keepNext/>
              <w:spacing w:line="360" w:lineRule="auto"/>
              <w:jc w:val="center"/>
              <w:rPr>
                <w:rFonts w:ascii="Times New Roman"/>
                <w:color w:val="000000"/>
                <w:sz w:val="24"/>
                <w:szCs w:val="24"/>
              </w:rPr>
            </w:pPr>
          </w:p>
        </w:tc>
        <w:tc>
          <w:tcPr>
            <w:tcW w:w="502" w:type="pct"/>
            <w:noWrap w:val="0"/>
            <w:vAlign w:val="center"/>
          </w:tcPr>
          <w:p w14:paraId="6D096CE6">
            <w:pPr>
              <w:keepNext/>
              <w:spacing w:line="360" w:lineRule="auto"/>
              <w:jc w:val="center"/>
              <w:rPr>
                <w:rFonts w:ascii="Times New Roman"/>
                <w:color w:val="000000"/>
                <w:sz w:val="24"/>
                <w:szCs w:val="24"/>
              </w:rPr>
            </w:pPr>
          </w:p>
        </w:tc>
        <w:tc>
          <w:tcPr>
            <w:tcW w:w="502" w:type="pct"/>
            <w:noWrap w:val="0"/>
            <w:vAlign w:val="center"/>
          </w:tcPr>
          <w:p w14:paraId="62CE54AE">
            <w:pPr>
              <w:keepNext/>
              <w:spacing w:line="360" w:lineRule="auto"/>
              <w:jc w:val="center"/>
              <w:rPr>
                <w:rFonts w:ascii="Times New Roman"/>
                <w:color w:val="000000"/>
                <w:sz w:val="24"/>
                <w:szCs w:val="24"/>
              </w:rPr>
            </w:pPr>
          </w:p>
        </w:tc>
        <w:tc>
          <w:tcPr>
            <w:tcW w:w="1281" w:type="pct"/>
            <w:noWrap w:val="0"/>
            <w:vAlign w:val="center"/>
          </w:tcPr>
          <w:p w14:paraId="17D50310">
            <w:pPr>
              <w:keepNext/>
              <w:spacing w:line="360" w:lineRule="auto"/>
              <w:jc w:val="center"/>
              <w:rPr>
                <w:rFonts w:ascii="Times New Roman"/>
                <w:color w:val="000000"/>
                <w:sz w:val="24"/>
                <w:szCs w:val="24"/>
              </w:rPr>
            </w:pPr>
          </w:p>
        </w:tc>
        <w:tc>
          <w:tcPr>
            <w:tcW w:w="1151" w:type="pct"/>
            <w:noWrap w:val="0"/>
            <w:vAlign w:val="center"/>
          </w:tcPr>
          <w:p w14:paraId="1F1C06BD">
            <w:pPr>
              <w:keepNext/>
              <w:spacing w:line="360" w:lineRule="auto"/>
              <w:jc w:val="center"/>
              <w:rPr>
                <w:rFonts w:ascii="Times New Roman"/>
                <w:color w:val="000000"/>
                <w:sz w:val="24"/>
                <w:szCs w:val="24"/>
              </w:rPr>
            </w:pPr>
          </w:p>
        </w:tc>
      </w:tr>
      <w:tr w14:paraId="6BD9D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159C56D1">
            <w:pPr>
              <w:spacing w:line="360" w:lineRule="auto"/>
              <w:jc w:val="center"/>
              <w:rPr>
                <w:rFonts w:ascii="Times New Roman"/>
                <w:color w:val="000000"/>
                <w:sz w:val="24"/>
                <w:szCs w:val="24"/>
              </w:rPr>
            </w:pPr>
            <w:r>
              <w:rPr>
                <w:rFonts w:hint="eastAsia" w:ascii="Times New Roman"/>
                <w:color w:val="000000"/>
                <w:sz w:val="24"/>
                <w:szCs w:val="24"/>
              </w:rPr>
              <w:t>项目副经理</w:t>
            </w:r>
          </w:p>
        </w:tc>
        <w:tc>
          <w:tcPr>
            <w:tcW w:w="627" w:type="pct"/>
            <w:noWrap w:val="0"/>
            <w:vAlign w:val="center"/>
          </w:tcPr>
          <w:p w14:paraId="384B1484">
            <w:pPr>
              <w:keepNext/>
              <w:spacing w:line="360" w:lineRule="auto"/>
              <w:jc w:val="center"/>
              <w:rPr>
                <w:rFonts w:ascii="Times New Roman"/>
                <w:color w:val="000000"/>
                <w:sz w:val="24"/>
                <w:szCs w:val="24"/>
              </w:rPr>
            </w:pPr>
          </w:p>
        </w:tc>
        <w:tc>
          <w:tcPr>
            <w:tcW w:w="502" w:type="pct"/>
            <w:noWrap w:val="0"/>
            <w:vAlign w:val="center"/>
          </w:tcPr>
          <w:p w14:paraId="24019CF8">
            <w:pPr>
              <w:keepNext/>
              <w:spacing w:line="360" w:lineRule="auto"/>
              <w:jc w:val="center"/>
              <w:rPr>
                <w:rFonts w:ascii="Times New Roman"/>
                <w:color w:val="000000"/>
                <w:sz w:val="24"/>
                <w:szCs w:val="24"/>
              </w:rPr>
            </w:pPr>
          </w:p>
        </w:tc>
        <w:tc>
          <w:tcPr>
            <w:tcW w:w="502" w:type="pct"/>
            <w:noWrap w:val="0"/>
            <w:vAlign w:val="center"/>
          </w:tcPr>
          <w:p w14:paraId="6DC2AEF1">
            <w:pPr>
              <w:keepNext/>
              <w:spacing w:line="360" w:lineRule="auto"/>
              <w:jc w:val="center"/>
              <w:rPr>
                <w:rFonts w:ascii="Times New Roman"/>
                <w:color w:val="000000"/>
                <w:sz w:val="24"/>
                <w:szCs w:val="24"/>
              </w:rPr>
            </w:pPr>
          </w:p>
        </w:tc>
        <w:tc>
          <w:tcPr>
            <w:tcW w:w="1281" w:type="pct"/>
            <w:noWrap w:val="0"/>
            <w:vAlign w:val="center"/>
          </w:tcPr>
          <w:p w14:paraId="1E8F3B9B">
            <w:pPr>
              <w:keepNext/>
              <w:spacing w:line="360" w:lineRule="auto"/>
              <w:jc w:val="center"/>
              <w:rPr>
                <w:rFonts w:ascii="Times New Roman"/>
                <w:color w:val="000000"/>
                <w:sz w:val="24"/>
                <w:szCs w:val="24"/>
              </w:rPr>
            </w:pPr>
          </w:p>
        </w:tc>
        <w:tc>
          <w:tcPr>
            <w:tcW w:w="1151" w:type="pct"/>
            <w:noWrap w:val="0"/>
            <w:vAlign w:val="center"/>
          </w:tcPr>
          <w:p w14:paraId="567E6BAD">
            <w:pPr>
              <w:keepNext/>
              <w:spacing w:line="360" w:lineRule="auto"/>
              <w:jc w:val="center"/>
              <w:rPr>
                <w:rFonts w:ascii="Times New Roman"/>
                <w:color w:val="000000"/>
                <w:sz w:val="24"/>
                <w:szCs w:val="24"/>
              </w:rPr>
            </w:pPr>
          </w:p>
        </w:tc>
      </w:tr>
      <w:tr w14:paraId="30276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27EF25C4">
            <w:pPr>
              <w:spacing w:line="360" w:lineRule="auto"/>
              <w:jc w:val="center"/>
              <w:rPr>
                <w:rFonts w:ascii="Times New Roman"/>
                <w:color w:val="000000"/>
                <w:sz w:val="24"/>
                <w:szCs w:val="24"/>
              </w:rPr>
            </w:pPr>
            <w:r>
              <w:rPr>
                <w:rFonts w:hint="eastAsia" w:ascii="Times New Roman"/>
                <w:color w:val="000000"/>
                <w:sz w:val="24"/>
                <w:szCs w:val="24"/>
              </w:rPr>
              <w:t>项目技术负责人</w:t>
            </w:r>
          </w:p>
        </w:tc>
        <w:tc>
          <w:tcPr>
            <w:tcW w:w="627" w:type="pct"/>
            <w:noWrap w:val="0"/>
            <w:vAlign w:val="center"/>
          </w:tcPr>
          <w:p w14:paraId="7BF99393">
            <w:pPr>
              <w:keepNext/>
              <w:spacing w:line="360" w:lineRule="auto"/>
              <w:jc w:val="center"/>
              <w:rPr>
                <w:rFonts w:ascii="Times New Roman"/>
                <w:color w:val="000000"/>
                <w:sz w:val="24"/>
                <w:szCs w:val="24"/>
              </w:rPr>
            </w:pPr>
          </w:p>
        </w:tc>
        <w:tc>
          <w:tcPr>
            <w:tcW w:w="502" w:type="pct"/>
            <w:noWrap w:val="0"/>
            <w:vAlign w:val="center"/>
          </w:tcPr>
          <w:p w14:paraId="7C083CB3">
            <w:pPr>
              <w:keepNext/>
              <w:spacing w:line="360" w:lineRule="auto"/>
              <w:jc w:val="center"/>
              <w:rPr>
                <w:rFonts w:ascii="Times New Roman"/>
                <w:color w:val="000000"/>
                <w:sz w:val="24"/>
                <w:szCs w:val="24"/>
              </w:rPr>
            </w:pPr>
          </w:p>
        </w:tc>
        <w:tc>
          <w:tcPr>
            <w:tcW w:w="502" w:type="pct"/>
            <w:noWrap w:val="0"/>
            <w:vAlign w:val="center"/>
          </w:tcPr>
          <w:p w14:paraId="0E7BF316">
            <w:pPr>
              <w:keepNext/>
              <w:spacing w:line="360" w:lineRule="auto"/>
              <w:jc w:val="center"/>
              <w:rPr>
                <w:rFonts w:ascii="Times New Roman"/>
                <w:color w:val="000000"/>
                <w:sz w:val="24"/>
                <w:szCs w:val="24"/>
              </w:rPr>
            </w:pPr>
          </w:p>
        </w:tc>
        <w:tc>
          <w:tcPr>
            <w:tcW w:w="1281" w:type="pct"/>
            <w:noWrap w:val="0"/>
            <w:vAlign w:val="center"/>
          </w:tcPr>
          <w:p w14:paraId="317CACC3">
            <w:pPr>
              <w:keepNext/>
              <w:spacing w:line="360" w:lineRule="auto"/>
              <w:jc w:val="center"/>
              <w:rPr>
                <w:rFonts w:ascii="Times New Roman"/>
                <w:color w:val="000000"/>
                <w:sz w:val="24"/>
                <w:szCs w:val="24"/>
              </w:rPr>
            </w:pPr>
          </w:p>
        </w:tc>
        <w:tc>
          <w:tcPr>
            <w:tcW w:w="1151" w:type="pct"/>
            <w:noWrap w:val="0"/>
            <w:vAlign w:val="center"/>
          </w:tcPr>
          <w:p w14:paraId="370996C1">
            <w:pPr>
              <w:keepNext/>
              <w:spacing w:line="360" w:lineRule="auto"/>
              <w:jc w:val="center"/>
              <w:rPr>
                <w:rFonts w:ascii="Times New Roman"/>
                <w:color w:val="000000"/>
                <w:sz w:val="24"/>
                <w:szCs w:val="24"/>
              </w:rPr>
            </w:pPr>
          </w:p>
        </w:tc>
      </w:tr>
      <w:tr w14:paraId="39487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5504AD64">
            <w:pPr>
              <w:spacing w:line="360" w:lineRule="auto"/>
              <w:jc w:val="center"/>
              <w:rPr>
                <w:rFonts w:ascii="Times New Roman"/>
                <w:color w:val="000000"/>
                <w:sz w:val="24"/>
                <w:szCs w:val="24"/>
              </w:rPr>
            </w:pPr>
            <w:r>
              <w:rPr>
                <w:rFonts w:hint="eastAsia" w:ascii="Times New Roman"/>
                <w:color w:val="000000"/>
                <w:sz w:val="24"/>
                <w:szCs w:val="24"/>
              </w:rPr>
              <w:t>施工员</w:t>
            </w:r>
          </w:p>
        </w:tc>
        <w:tc>
          <w:tcPr>
            <w:tcW w:w="627" w:type="pct"/>
            <w:noWrap w:val="0"/>
            <w:vAlign w:val="center"/>
          </w:tcPr>
          <w:p w14:paraId="0562C6CF">
            <w:pPr>
              <w:keepNext/>
              <w:spacing w:line="360" w:lineRule="auto"/>
              <w:jc w:val="center"/>
              <w:rPr>
                <w:rFonts w:ascii="Times New Roman"/>
                <w:color w:val="000000"/>
                <w:sz w:val="24"/>
                <w:szCs w:val="24"/>
              </w:rPr>
            </w:pPr>
          </w:p>
        </w:tc>
        <w:tc>
          <w:tcPr>
            <w:tcW w:w="502" w:type="pct"/>
            <w:noWrap w:val="0"/>
            <w:vAlign w:val="center"/>
          </w:tcPr>
          <w:p w14:paraId="01C49C8E">
            <w:pPr>
              <w:keepNext/>
              <w:spacing w:line="360" w:lineRule="auto"/>
              <w:jc w:val="center"/>
              <w:rPr>
                <w:rFonts w:ascii="Times New Roman"/>
                <w:color w:val="000000"/>
                <w:sz w:val="24"/>
                <w:szCs w:val="24"/>
              </w:rPr>
            </w:pPr>
          </w:p>
        </w:tc>
        <w:tc>
          <w:tcPr>
            <w:tcW w:w="502" w:type="pct"/>
            <w:noWrap w:val="0"/>
            <w:vAlign w:val="center"/>
          </w:tcPr>
          <w:p w14:paraId="191E580C">
            <w:pPr>
              <w:keepNext/>
              <w:spacing w:line="360" w:lineRule="auto"/>
              <w:jc w:val="center"/>
              <w:rPr>
                <w:rFonts w:ascii="Times New Roman"/>
                <w:color w:val="000000"/>
                <w:sz w:val="24"/>
                <w:szCs w:val="24"/>
              </w:rPr>
            </w:pPr>
          </w:p>
        </w:tc>
        <w:tc>
          <w:tcPr>
            <w:tcW w:w="1281" w:type="pct"/>
            <w:noWrap w:val="0"/>
            <w:vAlign w:val="center"/>
          </w:tcPr>
          <w:p w14:paraId="2B697852">
            <w:pPr>
              <w:keepNext/>
              <w:spacing w:line="360" w:lineRule="auto"/>
              <w:jc w:val="center"/>
              <w:rPr>
                <w:rFonts w:ascii="Times New Roman"/>
                <w:color w:val="000000"/>
                <w:sz w:val="24"/>
                <w:szCs w:val="24"/>
              </w:rPr>
            </w:pPr>
          </w:p>
        </w:tc>
        <w:tc>
          <w:tcPr>
            <w:tcW w:w="1151" w:type="pct"/>
            <w:noWrap w:val="0"/>
            <w:vAlign w:val="center"/>
          </w:tcPr>
          <w:p w14:paraId="274FDA71">
            <w:pPr>
              <w:keepNext/>
              <w:spacing w:line="360" w:lineRule="auto"/>
              <w:jc w:val="center"/>
              <w:rPr>
                <w:rFonts w:ascii="Times New Roman"/>
                <w:color w:val="000000"/>
                <w:sz w:val="24"/>
                <w:szCs w:val="24"/>
              </w:rPr>
            </w:pPr>
          </w:p>
        </w:tc>
      </w:tr>
      <w:tr w14:paraId="13189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236636BC">
            <w:pPr>
              <w:spacing w:line="360" w:lineRule="auto"/>
              <w:jc w:val="center"/>
              <w:rPr>
                <w:rFonts w:ascii="Times New Roman"/>
                <w:color w:val="000000"/>
                <w:sz w:val="24"/>
                <w:szCs w:val="24"/>
              </w:rPr>
            </w:pPr>
            <w:r>
              <w:rPr>
                <w:rFonts w:hint="eastAsia" w:ascii="Times New Roman"/>
                <w:color w:val="000000"/>
                <w:sz w:val="24"/>
                <w:szCs w:val="24"/>
              </w:rPr>
              <w:t>质检员（质量员）</w:t>
            </w:r>
          </w:p>
        </w:tc>
        <w:tc>
          <w:tcPr>
            <w:tcW w:w="627" w:type="pct"/>
            <w:noWrap w:val="0"/>
            <w:vAlign w:val="center"/>
          </w:tcPr>
          <w:p w14:paraId="3BFA2D4F">
            <w:pPr>
              <w:keepNext/>
              <w:spacing w:line="360" w:lineRule="auto"/>
              <w:jc w:val="center"/>
              <w:rPr>
                <w:rFonts w:ascii="Times New Roman"/>
                <w:color w:val="000000"/>
                <w:sz w:val="24"/>
                <w:szCs w:val="24"/>
              </w:rPr>
            </w:pPr>
          </w:p>
        </w:tc>
        <w:tc>
          <w:tcPr>
            <w:tcW w:w="502" w:type="pct"/>
            <w:noWrap w:val="0"/>
            <w:vAlign w:val="center"/>
          </w:tcPr>
          <w:p w14:paraId="51B1E7D3">
            <w:pPr>
              <w:keepNext/>
              <w:spacing w:line="360" w:lineRule="auto"/>
              <w:jc w:val="center"/>
              <w:rPr>
                <w:rFonts w:ascii="Times New Roman"/>
                <w:color w:val="000000"/>
                <w:sz w:val="24"/>
                <w:szCs w:val="24"/>
              </w:rPr>
            </w:pPr>
          </w:p>
        </w:tc>
        <w:tc>
          <w:tcPr>
            <w:tcW w:w="502" w:type="pct"/>
            <w:noWrap w:val="0"/>
            <w:vAlign w:val="center"/>
          </w:tcPr>
          <w:p w14:paraId="1CC9B829">
            <w:pPr>
              <w:keepNext/>
              <w:spacing w:line="360" w:lineRule="auto"/>
              <w:jc w:val="center"/>
              <w:rPr>
                <w:rFonts w:ascii="Times New Roman"/>
                <w:color w:val="000000"/>
                <w:sz w:val="24"/>
                <w:szCs w:val="24"/>
              </w:rPr>
            </w:pPr>
          </w:p>
        </w:tc>
        <w:tc>
          <w:tcPr>
            <w:tcW w:w="1281" w:type="pct"/>
            <w:noWrap w:val="0"/>
            <w:vAlign w:val="center"/>
          </w:tcPr>
          <w:p w14:paraId="37038ED9">
            <w:pPr>
              <w:keepNext/>
              <w:spacing w:line="360" w:lineRule="auto"/>
              <w:jc w:val="center"/>
              <w:rPr>
                <w:rFonts w:ascii="Times New Roman"/>
                <w:color w:val="000000"/>
                <w:sz w:val="24"/>
                <w:szCs w:val="24"/>
              </w:rPr>
            </w:pPr>
          </w:p>
        </w:tc>
        <w:tc>
          <w:tcPr>
            <w:tcW w:w="1151" w:type="pct"/>
            <w:noWrap w:val="0"/>
            <w:vAlign w:val="center"/>
          </w:tcPr>
          <w:p w14:paraId="5C84E14D">
            <w:pPr>
              <w:keepNext/>
              <w:spacing w:line="360" w:lineRule="auto"/>
              <w:jc w:val="center"/>
              <w:rPr>
                <w:rFonts w:ascii="Times New Roman"/>
                <w:color w:val="000000"/>
                <w:sz w:val="24"/>
                <w:szCs w:val="24"/>
              </w:rPr>
            </w:pPr>
          </w:p>
        </w:tc>
      </w:tr>
      <w:tr w14:paraId="69B27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5D07AA5B">
            <w:pPr>
              <w:spacing w:line="360" w:lineRule="auto"/>
              <w:jc w:val="center"/>
              <w:rPr>
                <w:rFonts w:ascii="Times New Roman"/>
                <w:color w:val="000000"/>
                <w:sz w:val="24"/>
                <w:szCs w:val="24"/>
              </w:rPr>
            </w:pPr>
            <w:r>
              <w:rPr>
                <w:rFonts w:hint="eastAsia" w:ascii="Times New Roman"/>
                <w:color w:val="000000"/>
                <w:sz w:val="24"/>
                <w:szCs w:val="24"/>
              </w:rPr>
              <w:t>安全员</w:t>
            </w:r>
          </w:p>
        </w:tc>
        <w:tc>
          <w:tcPr>
            <w:tcW w:w="627" w:type="pct"/>
            <w:noWrap w:val="0"/>
            <w:vAlign w:val="center"/>
          </w:tcPr>
          <w:p w14:paraId="4C399B70">
            <w:pPr>
              <w:keepNext/>
              <w:spacing w:line="360" w:lineRule="auto"/>
              <w:jc w:val="center"/>
              <w:rPr>
                <w:rFonts w:ascii="Times New Roman"/>
                <w:color w:val="000000"/>
                <w:sz w:val="24"/>
                <w:szCs w:val="24"/>
              </w:rPr>
            </w:pPr>
          </w:p>
        </w:tc>
        <w:tc>
          <w:tcPr>
            <w:tcW w:w="502" w:type="pct"/>
            <w:noWrap w:val="0"/>
            <w:vAlign w:val="center"/>
          </w:tcPr>
          <w:p w14:paraId="787157DC">
            <w:pPr>
              <w:keepNext/>
              <w:spacing w:line="360" w:lineRule="auto"/>
              <w:jc w:val="center"/>
              <w:rPr>
                <w:rFonts w:ascii="Times New Roman"/>
                <w:color w:val="000000"/>
                <w:sz w:val="24"/>
                <w:szCs w:val="24"/>
              </w:rPr>
            </w:pPr>
          </w:p>
        </w:tc>
        <w:tc>
          <w:tcPr>
            <w:tcW w:w="502" w:type="pct"/>
            <w:noWrap w:val="0"/>
            <w:vAlign w:val="center"/>
          </w:tcPr>
          <w:p w14:paraId="1F5B87E3">
            <w:pPr>
              <w:keepNext/>
              <w:spacing w:line="360" w:lineRule="auto"/>
              <w:jc w:val="center"/>
              <w:rPr>
                <w:rFonts w:ascii="Times New Roman"/>
                <w:color w:val="000000"/>
                <w:sz w:val="24"/>
                <w:szCs w:val="24"/>
              </w:rPr>
            </w:pPr>
          </w:p>
        </w:tc>
        <w:tc>
          <w:tcPr>
            <w:tcW w:w="1281" w:type="pct"/>
            <w:noWrap w:val="0"/>
            <w:vAlign w:val="center"/>
          </w:tcPr>
          <w:p w14:paraId="3E4EB6AC">
            <w:pPr>
              <w:keepNext/>
              <w:spacing w:line="360" w:lineRule="auto"/>
              <w:jc w:val="center"/>
              <w:rPr>
                <w:rFonts w:ascii="Times New Roman"/>
                <w:color w:val="000000"/>
                <w:sz w:val="24"/>
                <w:szCs w:val="24"/>
              </w:rPr>
            </w:pPr>
          </w:p>
        </w:tc>
        <w:tc>
          <w:tcPr>
            <w:tcW w:w="1151" w:type="pct"/>
            <w:noWrap w:val="0"/>
            <w:vAlign w:val="center"/>
          </w:tcPr>
          <w:p w14:paraId="47292289">
            <w:pPr>
              <w:keepNext/>
              <w:spacing w:line="360" w:lineRule="auto"/>
              <w:jc w:val="center"/>
              <w:rPr>
                <w:rFonts w:ascii="Times New Roman"/>
                <w:color w:val="000000"/>
                <w:sz w:val="24"/>
                <w:szCs w:val="24"/>
              </w:rPr>
            </w:pPr>
          </w:p>
        </w:tc>
      </w:tr>
      <w:tr w14:paraId="1F407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0A21D15B">
            <w:pPr>
              <w:spacing w:line="360" w:lineRule="auto"/>
              <w:jc w:val="center"/>
              <w:rPr>
                <w:rFonts w:ascii="Times New Roman"/>
                <w:color w:val="000000"/>
                <w:sz w:val="24"/>
                <w:szCs w:val="24"/>
              </w:rPr>
            </w:pPr>
            <w:r>
              <w:rPr>
                <w:rFonts w:hint="eastAsia" w:ascii="Times New Roman"/>
                <w:color w:val="000000"/>
                <w:sz w:val="24"/>
                <w:szCs w:val="24"/>
              </w:rPr>
              <w:t>资料员</w:t>
            </w:r>
          </w:p>
        </w:tc>
        <w:tc>
          <w:tcPr>
            <w:tcW w:w="627" w:type="pct"/>
            <w:noWrap w:val="0"/>
            <w:vAlign w:val="center"/>
          </w:tcPr>
          <w:p w14:paraId="56CC8A69">
            <w:pPr>
              <w:keepNext/>
              <w:spacing w:line="360" w:lineRule="auto"/>
              <w:jc w:val="center"/>
              <w:rPr>
                <w:rFonts w:ascii="Times New Roman"/>
                <w:color w:val="000000"/>
                <w:sz w:val="24"/>
                <w:szCs w:val="24"/>
              </w:rPr>
            </w:pPr>
          </w:p>
        </w:tc>
        <w:tc>
          <w:tcPr>
            <w:tcW w:w="502" w:type="pct"/>
            <w:noWrap w:val="0"/>
            <w:vAlign w:val="center"/>
          </w:tcPr>
          <w:p w14:paraId="42381ADE">
            <w:pPr>
              <w:keepNext/>
              <w:spacing w:line="360" w:lineRule="auto"/>
              <w:jc w:val="center"/>
              <w:rPr>
                <w:rFonts w:ascii="Times New Roman"/>
                <w:color w:val="000000"/>
                <w:sz w:val="24"/>
                <w:szCs w:val="24"/>
              </w:rPr>
            </w:pPr>
          </w:p>
        </w:tc>
        <w:tc>
          <w:tcPr>
            <w:tcW w:w="502" w:type="pct"/>
            <w:noWrap w:val="0"/>
            <w:vAlign w:val="center"/>
          </w:tcPr>
          <w:p w14:paraId="636BA15D">
            <w:pPr>
              <w:keepNext/>
              <w:spacing w:line="360" w:lineRule="auto"/>
              <w:jc w:val="center"/>
              <w:rPr>
                <w:rFonts w:ascii="Times New Roman"/>
                <w:color w:val="000000"/>
                <w:sz w:val="24"/>
                <w:szCs w:val="24"/>
              </w:rPr>
            </w:pPr>
          </w:p>
        </w:tc>
        <w:tc>
          <w:tcPr>
            <w:tcW w:w="1281" w:type="pct"/>
            <w:noWrap w:val="0"/>
            <w:vAlign w:val="center"/>
          </w:tcPr>
          <w:p w14:paraId="1A4A0527">
            <w:pPr>
              <w:keepNext/>
              <w:spacing w:line="360" w:lineRule="auto"/>
              <w:jc w:val="center"/>
              <w:rPr>
                <w:rFonts w:ascii="Times New Roman"/>
                <w:color w:val="000000"/>
                <w:sz w:val="24"/>
                <w:szCs w:val="24"/>
              </w:rPr>
            </w:pPr>
          </w:p>
        </w:tc>
        <w:tc>
          <w:tcPr>
            <w:tcW w:w="1151" w:type="pct"/>
            <w:noWrap w:val="0"/>
            <w:vAlign w:val="center"/>
          </w:tcPr>
          <w:p w14:paraId="3BC82469">
            <w:pPr>
              <w:keepNext/>
              <w:spacing w:line="360" w:lineRule="auto"/>
              <w:jc w:val="center"/>
              <w:rPr>
                <w:rFonts w:ascii="Times New Roman"/>
                <w:color w:val="000000"/>
                <w:sz w:val="24"/>
                <w:szCs w:val="24"/>
              </w:rPr>
            </w:pPr>
          </w:p>
        </w:tc>
      </w:tr>
      <w:tr w14:paraId="16EF0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noWrap w:val="0"/>
            <w:vAlign w:val="center"/>
          </w:tcPr>
          <w:p w14:paraId="480A6B95">
            <w:pPr>
              <w:spacing w:line="360" w:lineRule="auto"/>
              <w:jc w:val="center"/>
              <w:rPr>
                <w:rFonts w:ascii="Times New Roman"/>
                <w:color w:val="000000"/>
                <w:sz w:val="24"/>
                <w:szCs w:val="24"/>
              </w:rPr>
            </w:pPr>
            <w:r>
              <w:rPr>
                <w:rFonts w:hint="eastAsia" w:ascii="Times New Roman"/>
                <w:color w:val="000000"/>
                <w:sz w:val="24"/>
                <w:szCs w:val="24"/>
              </w:rPr>
              <w:t>其他人员</w:t>
            </w:r>
          </w:p>
        </w:tc>
        <w:tc>
          <w:tcPr>
            <w:tcW w:w="627" w:type="pct"/>
            <w:noWrap w:val="0"/>
            <w:vAlign w:val="center"/>
          </w:tcPr>
          <w:p w14:paraId="4B2A265E">
            <w:pPr>
              <w:keepNext/>
              <w:spacing w:line="360" w:lineRule="auto"/>
              <w:jc w:val="center"/>
              <w:rPr>
                <w:rFonts w:ascii="Times New Roman"/>
                <w:color w:val="000000"/>
                <w:sz w:val="24"/>
                <w:szCs w:val="24"/>
              </w:rPr>
            </w:pPr>
          </w:p>
        </w:tc>
        <w:tc>
          <w:tcPr>
            <w:tcW w:w="502" w:type="pct"/>
            <w:noWrap w:val="0"/>
            <w:vAlign w:val="center"/>
          </w:tcPr>
          <w:p w14:paraId="75C3D676">
            <w:pPr>
              <w:keepNext/>
              <w:spacing w:line="360" w:lineRule="auto"/>
              <w:jc w:val="center"/>
              <w:rPr>
                <w:rFonts w:ascii="Times New Roman"/>
                <w:color w:val="000000"/>
                <w:sz w:val="24"/>
                <w:szCs w:val="24"/>
              </w:rPr>
            </w:pPr>
          </w:p>
        </w:tc>
        <w:tc>
          <w:tcPr>
            <w:tcW w:w="502" w:type="pct"/>
            <w:noWrap w:val="0"/>
            <w:vAlign w:val="center"/>
          </w:tcPr>
          <w:p w14:paraId="2186FC28">
            <w:pPr>
              <w:keepNext/>
              <w:spacing w:line="360" w:lineRule="auto"/>
              <w:jc w:val="center"/>
              <w:rPr>
                <w:rFonts w:ascii="Times New Roman"/>
                <w:color w:val="000000"/>
                <w:sz w:val="24"/>
                <w:szCs w:val="24"/>
              </w:rPr>
            </w:pPr>
          </w:p>
        </w:tc>
        <w:tc>
          <w:tcPr>
            <w:tcW w:w="1281" w:type="pct"/>
            <w:noWrap w:val="0"/>
            <w:vAlign w:val="center"/>
          </w:tcPr>
          <w:p w14:paraId="3C9614AB">
            <w:pPr>
              <w:keepNext/>
              <w:spacing w:line="360" w:lineRule="auto"/>
              <w:jc w:val="center"/>
              <w:rPr>
                <w:rFonts w:ascii="Times New Roman"/>
                <w:color w:val="000000"/>
                <w:sz w:val="24"/>
                <w:szCs w:val="24"/>
              </w:rPr>
            </w:pPr>
          </w:p>
        </w:tc>
        <w:tc>
          <w:tcPr>
            <w:tcW w:w="1151" w:type="pct"/>
            <w:noWrap w:val="0"/>
            <w:vAlign w:val="center"/>
          </w:tcPr>
          <w:p w14:paraId="43B3B384">
            <w:pPr>
              <w:keepNext/>
              <w:spacing w:line="360" w:lineRule="auto"/>
              <w:jc w:val="center"/>
              <w:rPr>
                <w:rFonts w:ascii="Times New Roman"/>
                <w:color w:val="000000"/>
                <w:sz w:val="24"/>
                <w:szCs w:val="24"/>
              </w:rPr>
            </w:pPr>
          </w:p>
        </w:tc>
      </w:tr>
      <w:tr w14:paraId="05C5C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110971E4">
            <w:pPr>
              <w:keepNext/>
              <w:spacing w:line="360" w:lineRule="auto"/>
              <w:jc w:val="center"/>
              <w:rPr>
                <w:rFonts w:ascii="Times New Roman"/>
                <w:color w:val="000000"/>
                <w:sz w:val="24"/>
                <w:szCs w:val="24"/>
              </w:rPr>
            </w:pPr>
          </w:p>
        </w:tc>
        <w:tc>
          <w:tcPr>
            <w:tcW w:w="627" w:type="pct"/>
            <w:tcBorders>
              <w:bottom w:val="nil"/>
            </w:tcBorders>
            <w:noWrap w:val="0"/>
            <w:vAlign w:val="center"/>
          </w:tcPr>
          <w:p w14:paraId="0D7A3C87">
            <w:pPr>
              <w:keepNext/>
              <w:spacing w:line="360" w:lineRule="auto"/>
              <w:jc w:val="center"/>
              <w:rPr>
                <w:rFonts w:ascii="Times New Roman"/>
                <w:color w:val="000000"/>
                <w:sz w:val="24"/>
                <w:szCs w:val="24"/>
              </w:rPr>
            </w:pPr>
          </w:p>
        </w:tc>
        <w:tc>
          <w:tcPr>
            <w:tcW w:w="502" w:type="pct"/>
            <w:tcBorders>
              <w:bottom w:val="nil"/>
            </w:tcBorders>
            <w:noWrap w:val="0"/>
            <w:vAlign w:val="center"/>
          </w:tcPr>
          <w:p w14:paraId="66B1D409">
            <w:pPr>
              <w:keepNext/>
              <w:spacing w:line="360" w:lineRule="auto"/>
              <w:jc w:val="center"/>
              <w:rPr>
                <w:rFonts w:ascii="Times New Roman"/>
                <w:color w:val="000000"/>
                <w:sz w:val="24"/>
                <w:szCs w:val="24"/>
              </w:rPr>
            </w:pPr>
          </w:p>
        </w:tc>
        <w:tc>
          <w:tcPr>
            <w:tcW w:w="502" w:type="pct"/>
            <w:tcBorders>
              <w:bottom w:val="nil"/>
            </w:tcBorders>
            <w:noWrap w:val="0"/>
            <w:vAlign w:val="center"/>
          </w:tcPr>
          <w:p w14:paraId="46209B45">
            <w:pPr>
              <w:keepNext/>
              <w:spacing w:line="360" w:lineRule="auto"/>
              <w:jc w:val="center"/>
              <w:rPr>
                <w:rFonts w:ascii="Times New Roman"/>
                <w:color w:val="000000"/>
                <w:sz w:val="24"/>
                <w:szCs w:val="24"/>
              </w:rPr>
            </w:pPr>
          </w:p>
        </w:tc>
        <w:tc>
          <w:tcPr>
            <w:tcW w:w="1281" w:type="pct"/>
            <w:tcBorders>
              <w:bottom w:val="nil"/>
            </w:tcBorders>
            <w:noWrap w:val="0"/>
            <w:vAlign w:val="center"/>
          </w:tcPr>
          <w:p w14:paraId="2E837287">
            <w:pPr>
              <w:keepNext/>
              <w:spacing w:line="360" w:lineRule="auto"/>
              <w:jc w:val="center"/>
              <w:rPr>
                <w:rFonts w:ascii="Times New Roman"/>
                <w:color w:val="000000"/>
                <w:sz w:val="24"/>
                <w:szCs w:val="24"/>
              </w:rPr>
            </w:pPr>
          </w:p>
        </w:tc>
        <w:tc>
          <w:tcPr>
            <w:tcW w:w="1151" w:type="pct"/>
            <w:tcBorders>
              <w:bottom w:val="nil"/>
            </w:tcBorders>
            <w:noWrap w:val="0"/>
            <w:vAlign w:val="center"/>
          </w:tcPr>
          <w:p w14:paraId="5D7A7AC7">
            <w:pPr>
              <w:keepNext/>
              <w:spacing w:line="360" w:lineRule="auto"/>
              <w:jc w:val="center"/>
              <w:rPr>
                <w:rFonts w:ascii="Times New Roman"/>
                <w:color w:val="000000"/>
                <w:sz w:val="24"/>
                <w:szCs w:val="24"/>
              </w:rPr>
            </w:pPr>
          </w:p>
        </w:tc>
      </w:tr>
      <w:tr w14:paraId="290F8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2F94D92D">
            <w:pPr>
              <w:keepNext/>
              <w:spacing w:line="360" w:lineRule="auto"/>
              <w:jc w:val="center"/>
              <w:rPr>
                <w:rFonts w:ascii="Times New Roman"/>
                <w:color w:val="000000"/>
                <w:sz w:val="24"/>
                <w:szCs w:val="24"/>
              </w:rPr>
            </w:pPr>
          </w:p>
        </w:tc>
        <w:tc>
          <w:tcPr>
            <w:tcW w:w="627" w:type="pct"/>
            <w:noWrap w:val="0"/>
            <w:vAlign w:val="center"/>
          </w:tcPr>
          <w:p w14:paraId="1D4E7219">
            <w:pPr>
              <w:keepNext/>
              <w:spacing w:line="360" w:lineRule="auto"/>
              <w:jc w:val="center"/>
              <w:rPr>
                <w:rFonts w:ascii="Times New Roman"/>
                <w:color w:val="000000"/>
                <w:sz w:val="24"/>
                <w:szCs w:val="24"/>
              </w:rPr>
            </w:pPr>
          </w:p>
        </w:tc>
        <w:tc>
          <w:tcPr>
            <w:tcW w:w="502" w:type="pct"/>
            <w:noWrap w:val="0"/>
            <w:vAlign w:val="center"/>
          </w:tcPr>
          <w:p w14:paraId="4FF4D468">
            <w:pPr>
              <w:keepNext/>
              <w:spacing w:line="360" w:lineRule="auto"/>
              <w:jc w:val="center"/>
              <w:rPr>
                <w:rFonts w:ascii="Times New Roman"/>
                <w:color w:val="000000"/>
                <w:sz w:val="24"/>
                <w:szCs w:val="24"/>
              </w:rPr>
            </w:pPr>
          </w:p>
        </w:tc>
        <w:tc>
          <w:tcPr>
            <w:tcW w:w="502" w:type="pct"/>
            <w:noWrap w:val="0"/>
            <w:vAlign w:val="center"/>
          </w:tcPr>
          <w:p w14:paraId="7BBAA510">
            <w:pPr>
              <w:keepNext/>
              <w:spacing w:line="360" w:lineRule="auto"/>
              <w:jc w:val="center"/>
              <w:rPr>
                <w:rFonts w:ascii="Times New Roman"/>
                <w:color w:val="000000"/>
                <w:sz w:val="24"/>
                <w:szCs w:val="24"/>
              </w:rPr>
            </w:pPr>
          </w:p>
        </w:tc>
        <w:tc>
          <w:tcPr>
            <w:tcW w:w="1281" w:type="pct"/>
            <w:noWrap w:val="0"/>
            <w:vAlign w:val="center"/>
          </w:tcPr>
          <w:p w14:paraId="33BA1BCB">
            <w:pPr>
              <w:keepNext/>
              <w:spacing w:line="360" w:lineRule="auto"/>
              <w:jc w:val="center"/>
              <w:rPr>
                <w:rFonts w:ascii="Times New Roman"/>
                <w:color w:val="000000"/>
                <w:sz w:val="24"/>
                <w:szCs w:val="24"/>
              </w:rPr>
            </w:pPr>
          </w:p>
        </w:tc>
        <w:tc>
          <w:tcPr>
            <w:tcW w:w="1151" w:type="pct"/>
            <w:noWrap w:val="0"/>
            <w:vAlign w:val="center"/>
          </w:tcPr>
          <w:p w14:paraId="6781819F">
            <w:pPr>
              <w:keepNext/>
              <w:spacing w:line="360" w:lineRule="auto"/>
              <w:jc w:val="center"/>
              <w:rPr>
                <w:rFonts w:ascii="Times New Roman"/>
                <w:color w:val="000000"/>
                <w:sz w:val="24"/>
                <w:szCs w:val="24"/>
              </w:rPr>
            </w:pPr>
          </w:p>
        </w:tc>
      </w:tr>
      <w:tr w14:paraId="1A6B9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2967A222">
            <w:pPr>
              <w:keepNext/>
              <w:spacing w:line="360" w:lineRule="auto"/>
              <w:jc w:val="center"/>
              <w:rPr>
                <w:rFonts w:ascii="Times New Roman"/>
                <w:color w:val="000000"/>
                <w:sz w:val="24"/>
                <w:szCs w:val="24"/>
              </w:rPr>
            </w:pPr>
          </w:p>
        </w:tc>
        <w:tc>
          <w:tcPr>
            <w:tcW w:w="627" w:type="pct"/>
            <w:noWrap w:val="0"/>
            <w:vAlign w:val="center"/>
          </w:tcPr>
          <w:p w14:paraId="03CE0564">
            <w:pPr>
              <w:keepNext/>
              <w:spacing w:line="360" w:lineRule="auto"/>
              <w:jc w:val="center"/>
              <w:rPr>
                <w:rFonts w:ascii="Times New Roman"/>
                <w:color w:val="000000"/>
                <w:sz w:val="24"/>
                <w:szCs w:val="24"/>
              </w:rPr>
            </w:pPr>
          </w:p>
        </w:tc>
        <w:tc>
          <w:tcPr>
            <w:tcW w:w="502" w:type="pct"/>
            <w:noWrap w:val="0"/>
            <w:vAlign w:val="center"/>
          </w:tcPr>
          <w:p w14:paraId="3777F58D">
            <w:pPr>
              <w:keepNext/>
              <w:spacing w:line="360" w:lineRule="auto"/>
              <w:jc w:val="center"/>
              <w:rPr>
                <w:rFonts w:ascii="Times New Roman"/>
                <w:color w:val="000000"/>
                <w:sz w:val="24"/>
                <w:szCs w:val="24"/>
              </w:rPr>
            </w:pPr>
          </w:p>
        </w:tc>
        <w:tc>
          <w:tcPr>
            <w:tcW w:w="502" w:type="pct"/>
            <w:noWrap w:val="0"/>
            <w:vAlign w:val="center"/>
          </w:tcPr>
          <w:p w14:paraId="0BF0A126">
            <w:pPr>
              <w:keepNext/>
              <w:spacing w:line="360" w:lineRule="auto"/>
              <w:jc w:val="center"/>
              <w:rPr>
                <w:rFonts w:ascii="Times New Roman"/>
                <w:color w:val="000000"/>
                <w:sz w:val="24"/>
                <w:szCs w:val="24"/>
              </w:rPr>
            </w:pPr>
          </w:p>
        </w:tc>
        <w:tc>
          <w:tcPr>
            <w:tcW w:w="1281" w:type="pct"/>
            <w:noWrap w:val="0"/>
            <w:vAlign w:val="center"/>
          </w:tcPr>
          <w:p w14:paraId="76E9BCC4">
            <w:pPr>
              <w:keepNext/>
              <w:spacing w:line="360" w:lineRule="auto"/>
              <w:jc w:val="center"/>
              <w:rPr>
                <w:rFonts w:ascii="Times New Roman"/>
                <w:color w:val="000000"/>
                <w:sz w:val="24"/>
                <w:szCs w:val="24"/>
              </w:rPr>
            </w:pPr>
          </w:p>
        </w:tc>
        <w:tc>
          <w:tcPr>
            <w:tcW w:w="1151" w:type="pct"/>
            <w:noWrap w:val="0"/>
            <w:vAlign w:val="center"/>
          </w:tcPr>
          <w:p w14:paraId="37884C74">
            <w:pPr>
              <w:keepNext/>
              <w:spacing w:line="360" w:lineRule="auto"/>
              <w:jc w:val="center"/>
              <w:rPr>
                <w:rFonts w:ascii="Times New Roman"/>
                <w:color w:val="000000"/>
                <w:sz w:val="24"/>
                <w:szCs w:val="24"/>
              </w:rPr>
            </w:pPr>
          </w:p>
        </w:tc>
      </w:tr>
      <w:tr w14:paraId="263F1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7287B9B0">
            <w:pPr>
              <w:keepNext/>
              <w:spacing w:line="360" w:lineRule="auto"/>
              <w:jc w:val="center"/>
              <w:rPr>
                <w:rFonts w:ascii="Times New Roman"/>
                <w:color w:val="000000"/>
                <w:sz w:val="24"/>
                <w:szCs w:val="24"/>
              </w:rPr>
            </w:pPr>
          </w:p>
        </w:tc>
        <w:tc>
          <w:tcPr>
            <w:tcW w:w="627" w:type="pct"/>
            <w:noWrap w:val="0"/>
            <w:vAlign w:val="center"/>
          </w:tcPr>
          <w:p w14:paraId="52111527">
            <w:pPr>
              <w:keepNext/>
              <w:spacing w:line="360" w:lineRule="auto"/>
              <w:jc w:val="center"/>
              <w:rPr>
                <w:rFonts w:ascii="Times New Roman"/>
                <w:color w:val="000000"/>
                <w:sz w:val="24"/>
                <w:szCs w:val="24"/>
              </w:rPr>
            </w:pPr>
          </w:p>
        </w:tc>
        <w:tc>
          <w:tcPr>
            <w:tcW w:w="502" w:type="pct"/>
            <w:noWrap w:val="0"/>
            <w:vAlign w:val="center"/>
          </w:tcPr>
          <w:p w14:paraId="3E0C0852">
            <w:pPr>
              <w:keepNext/>
              <w:spacing w:line="360" w:lineRule="auto"/>
              <w:jc w:val="center"/>
              <w:rPr>
                <w:rFonts w:ascii="Times New Roman"/>
                <w:color w:val="000000"/>
                <w:sz w:val="24"/>
                <w:szCs w:val="24"/>
              </w:rPr>
            </w:pPr>
          </w:p>
        </w:tc>
        <w:tc>
          <w:tcPr>
            <w:tcW w:w="502" w:type="pct"/>
            <w:noWrap w:val="0"/>
            <w:vAlign w:val="center"/>
          </w:tcPr>
          <w:p w14:paraId="6AD7602A">
            <w:pPr>
              <w:keepNext/>
              <w:spacing w:line="360" w:lineRule="auto"/>
              <w:jc w:val="center"/>
              <w:rPr>
                <w:rFonts w:ascii="Times New Roman"/>
                <w:color w:val="000000"/>
                <w:sz w:val="24"/>
                <w:szCs w:val="24"/>
              </w:rPr>
            </w:pPr>
          </w:p>
        </w:tc>
        <w:tc>
          <w:tcPr>
            <w:tcW w:w="1281" w:type="pct"/>
            <w:noWrap w:val="0"/>
            <w:vAlign w:val="center"/>
          </w:tcPr>
          <w:p w14:paraId="1B9EEA20">
            <w:pPr>
              <w:keepNext/>
              <w:spacing w:line="360" w:lineRule="auto"/>
              <w:jc w:val="center"/>
              <w:rPr>
                <w:rFonts w:ascii="Times New Roman"/>
                <w:color w:val="000000"/>
                <w:sz w:val="24"/>
                <w:szCs w:val="24"/>
              </w:rPr>
            </w:pPr>
          </w:p>
        </w:tc>
        <w:tc>
          <w:tcPr>
            <w:tcW w:w="1151" w:type="pct"/>
            <w:noWrap w:val="0"/>
            <w:vAlign w:val="center"/>
          </w:tcPr>
          <w:p w14:paraId="2F308094">
            <w:pPr>
              <w:keepNext/>
              <w:spacing w:line="360" w:lineRule="auto"/>
              <w:jc w:val="center"/>
              <w:rPr>
                <w:rFonts w:ascii="Times New Roman"/>
                <w:color w:val="000000"/>
                <w:sz w:val="24"/>
                <w:szCs w:val="24"/>
              </w:rPr>
            </w:pPr>
          </w:p>
        </w:tc>
      </w:tr>
      <w:tr w14:paraId="54587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noWrap w:val="0"/>
            <w:vAlign w:val="center"/>
          </w:tcPr>
          <w:p w14:paraId="2999305D">
            <w:pPr>
              <w:keepNext/>
              <w:spacing w:line="360" w:lineRule="auto"/>
              <w:jc w:val="center"/>
              <w:rPr>
                <w:rFonts w:ascii="Times New Roman"/>
                <w:color w:val="000000"/>
                <w:sz w:val="24"/>
                <w:szCs w:val="24"/>
              </w:rPr>
            </w:pPr>
          </w:p>
        </w:tc>
        <w:tc>
          <w:tcPr>
            <w:tcW w:w="627" w:type="pct"/>
            <w:tcBorders>
              <w:bottom w:val="single" w:color="auto" w:sz="12" w:space="0"/>
            </w:tcBorders>
            <w:noWrap w:val="0"/>
            <w:vAlign w:val="center"/>
          </w:tcPr>
          <w:p w14:paraId="2A8590FF">
            <w:pPr>
              <w:keepNext/>
              <w:spacing w:line="360" w:lineRule="auto"/>
              <w:jc w:val="center"/>
              <w:rPr>
                <w:rFonts w:ascii="Times New Roman"/>
                <w:color w:val="000000"/>
                <w:sz w:val="24"/>
                <w:szCs w:val="24"/>
              </w:rPr>
            </w:pPr>
          </w:p>
        </w:tc>
        <w:tc>
          <w:tcPr>
            <w:tcW w:w="502" w:type="pct"/>
            <w:tcBorders>
              <w:bottom w:val="single" w:color="auto" w:sz="12" w:space="0"/>
            </w:tcBorders>
            <w:noWrap w:val="0"/>
            <w:vAlign w:val="center"/>
          </w:tcPr>
          <w:p w14:paraId="7D058367">
            <w:pPr>
              <w:keepNext/>
              <w:spacing w:line="360" w:lineRule="auto"/>
              <w:jc w:val="center"/>
              <w:rPr>
                <w:rFonts w:ascii="Times New Roman"/>
                <w:color w:val="000000"/>
                <w:sz w:val="24"/>
                <w:szCs w:val="24"/>
              </w:rPr>
            </w:pPr>
          </w:p>
        </w:tc>
        <w:tc>
          <w:tcPr>
            <w:tcW w:w="502" w:type="pct"/>
            <w:tcBorders>
              <w:bottom w:val="single" w:color="auto" w:sz="12" w:space="0"/>
            </w:tcBorders>
            <w:noWrap w:val="0"/>
            <w:vAlign w:val="center"/>
          </w:tcPr>
          <w:p w14:paraId="196CC010">
            <w:pPr>
              <w:keepNext/>
              <w:spacing w:line="360" w:lineRule="auto"/>
              <w:jc w:val="center"/>
              <w:rPr>
                <w:rFonts w:ascii="Times New Roman"/>
                <w:color w:val="000000"/>
                <w:sz w:val="24"/>
                <w:szCs w:val="24"/>
              </w:rPr>
            </w:pPr>
          </w:p>
        </w:tc>
        <w:tc>
          <w:tcPr>
            <w:tcW w:w="1281" w:type="pct"/>
            <w:tcBorders>
              <w:bottom w:val="single" w:color="auto" w:sz="12" w:space="0"/>
            </w:tcBorders>
            <w:noWrap w:val="0"/>
            <w:vAlign w:val="center"/>
          </w:tcPr>
          <w:p w14:paraId="67A535C0">
            <w:pPr>
              <w:keepNext/>
              <w:spacing w:line="360" w:lineRule="auto"/>
              <w:jc w:val="center"/>
              <w:rPr>
                <w:rFonts w:ascii="Times New Roman"/>
                <w:color w:val="000000"/>
                <w:sz w:val="24"/>
                <w:szCs w:val="24"/>
              </w:rPr>
            </w:pPr>
          </w:p>
        </w:tc>
        <w:tc>
          <w:tcPr>
            <w:tcW w:w="1151" w:type="pct"/>
            <w:tcBorders>
              <w:bottom w:val="single" w:color="auto" w:sz="12" w:space="0"/>
            </w:tcBorders>
            <w:noWrap w:val="0"/>
            <w:vAlign w:val="center"/>
          </w:tcPr>
          <w:p w14:paraId="58C5D021">
            <w:pPr>
              <w:keepNext/>
              <w:spacing w:line="360" w:lineRule="auto"/>
              <w:jc w:val="center"/>
              <w:rPr>
                <w:rFonts w:ascii="Times New Roman"/>
                <w:color w:val="000000"/>
                <w:sz w:val="24"/>
                <w:szCs w:val="24"/>
              </w:rPr>
            </w:pPr>
          </w:p>
        </w:tc>
      </w:tr>
    </w:tbl>
    <w:p w14:paraId="766C920C">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33" w:name="_Toc128950242"/>
      <w:r>
        <w:rPr>
          <w:rFonts w:hint="eastAsia" w:ascii="Times New Roman" w:eastAsia="黑体"/>
          <w:color w:val="000000"/>
          <w:sz w:val="24"/>
          <w:szCs w:val="24"/>
        </w:rPr>
        <w:t>附</w:t>
      </w:r>
      <w:bookmarkStart w:id="634" w:name="_Toc296346730"/>
      <w:bookmarkStart w:id="635" w:name="_Toc296944568"/>
      <w:bookmarkStart w:id="636" w:name="_Toc296891269"/>
      <w:bookmarkStart w:id="637" w:name="_Toc296503229"/>
      <w:bookmarkStart w:id="638" w:name="_Toc296891057"/>
      <w:bookmarkStart w:id="639" w:name="_Toc296347228"/>
      <w:r>
        <w:rPr>
          <w:rFonts w:hint="eastAsia" w:ascii="Times New Roman" w:eastAsia="黑体"/>
          <w:color w:val="000000"/>
          <w:sz w:val="24"/>
          <w:szCs w:val="24"/>
        </w:rPr>
        <w:t>件</w:t>
      </w:r>
      <w:r>
        <w:rPr>
          <w:rFonts w:ascii="Times New Roman" w:eastAsia="黑体"/>
          <w:color w:val="000000"/>
          <w:sz w:val="24"/>
          <w:szCs w:val="24"/>
        </w:rPr>
        <w:t>7</w:t>
      </w:r>
      <w:r>
        <w:rPr>
          <w:rFonts w:hint="eastAsia" w:ascii="Times New Roman" w:eastAsia="黑体"/>
          <w:color w:val="000000"/>
          <w:sz w:val="24"/>
          <w:szCs w:val="24"/>
        </w:rPr>
        <w:t>：分包人主要施工管理人员表</w:t>
      </w:r>
      <w:bookmarkEnd w:id="633"/>
    </w:p>
    <w:bookmarkEnd w:id="634"/>
    <w:bookmarkEnd w:id="635"/>
    <w:bookmarkEnd w:id="636"/>
    <w:bookmarkEnd w:id="637"/>
    <w:bookmarkEnd w:id="638"/>
    <w:bookmarkEnd w:id="639"/>
    <w:p w14:paraId="39A50B9A">
      <w:pPr>
        <w:spacing w:before="120" w:beforeLines="50" w:after="120" w:afterLines="50" w:line="360" w:lineRule="auto"/>
        <w:jc w:val="center"/>
        <w:rPr>
          <w:rFonts w:ascii="Times New Roman"/>
          <w:b/>
          <w:color w:val="000000"/>
          <w:sz w:val="24"/>
          <w:szCs w:val="24"/>
        </w:rPr>
      </w:pPr>
      <w:r>
        <w:rPr>
          <w:rFonts w:hint="eastAsia" w:ascii="Times New Roman"/>
          <w:b/>
          <w:color w:val="000000"/>
          <w:sz w:val="24"/>
          <w:szCs w:val="24"/>
        </w:rPr>
        <w:t>分包人主要施工管理人员表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2AB88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noWrap w:val="0"/>
            <w:vAlign w:val="center"/>
          </w:tcPr>
          <w:p w14:paraId="7368916A">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641" w:type="pct"/>
            <w:tcBorders>
              <w:top w:val="single" w:color="auto" w:sz="12" w:space="0"/>
              <w:bottom w:val="double" w:color="auto" w:sz="6" w:space="0"/>
            </w:tcBorders>
            <w:noWrap w:val="0"/>
            <w:vAlign w:val="center"/>
          </w:tcPr>
          <w:p w14:paraId="2B133855">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513" w:type="pct"/>
            <w:tcBorders>
              <w:top w:val="single" w:color="auto" w:sz="12" w:space="0"/>
              <w:bottom w:val="double" w:color="auto" w:sz="6" w:space="0"/>
            </w:tcBorders>
            <w:noWrap w:val="0"/>
            <w:vAlign w:val="center"/>
          </w:tcPr>
          <w:p w14:paraId="147F435E">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373" w:type="pct"/>
            <w:tcBorders>
              <w:top w:val="single" w:color="auto" w:sz="12" w:space="0"/>
              <w:bottom w:val="double" w:color="auto" w:sz="6" w:space="0"/>
            </w:tcBorders>
            <w:noWrap w:val="0"/>
            <w:vAlign w:val="center"/>
          </w:tcPr>
          <w:p w14:paraId="5F0EBF71">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1889" w:type="pct"/>
            <w:tcBorders>
              <w:top w:val="single" w:color="auto" w:sz="12" w:space="0"/>
              <w:bottom w:val="double" w:color="auto" w:sz="6" w:space="0"/>
            </w:tcBorders>
            <w:noWrap w:val="0"/>
            <w:vAlign w:val="center"/>
          </w:tcPr>
          <w:p w14:paraId="072063D3">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739" w:type="pct"/>
            <w:tcBorders>
              <w:top w:val="single" w:color="auto" w:sz="12" w:space="0"/>
              <w:bottom w:val="double" w:color="auto" w:sz="6" w:space="0"/>
            </w:tcBorders>
            <w:noWrap w:val="0"/>
            <w:vAlign w:val="center"/>
          </w:tcPr>
          <w:p w14:paraId="29F8EE13">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19C0F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noWrap w:val="0"/>
            <w:vAlign w:val="center"/>
          </w:tcPr>
          <w:p w14:paraId="4DE60B63">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739" w:type="pct"/>
            <w:tcBorders>
              <w:top w:val="double" w:color="auto" w:sz="6" w:space="0"/>
            </w:tcBorders>
            <w:noWrap w:val="0"/>
            <w:vAlign w:val="center"/>
          </w:tcPr>
          <w:p w14:paraId="3E9BA7BD">
            <w:pPr>
              <w:keepNext/>
              <w:spacing w:line="360" w:lineRule="auto"/>
              <w:jc w:val="center"/>
              <w:rPr>
                <w:rFonts w:hint="eastAsia" w:ascii="Times New Roman"/>
                <w:color w:val="000000"/>
                <w:sz w:val="24"/>
                <w:szCs w:val="24"/>
              </w:rPr>
            </w:pPr>
          </w:p>
        </w:tc>
      </w:tr>
      <w:tr w14:paraId="7D746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noWrap w:val="0"/>
            <w:vAlign w:val="center"/>
          </w:tcPr>
          <w:p w14:paraId="202797E9">
            <w:pPr>
              <w:keepNext/>
              <w:spacing w:line="360" w:lineRule="auto"/>
              <w:jc w:val="center"/>
              <w:rPr>
                <w:rFonts w:ascii="Times New Roman"/>
                <w:color w:val="000000"/>
                <w:sz w:val="24"/>
                <w:szCs w:val="24"/>
              </w:rPr>
            </w:pPr>
            <w:r>
              <w:rPr>
                <w:rFonts w:hint="eastAsia" w:ascii="Times New Roman"/>
                <w:color w:val="000000"/>
                <w:sz w:val="24"/>
                <w:szCs w:val="24"/>
              </w:rPr>
              <w:t>项目主管</w:t>
            </w:r>
          </w:p>
        </w:tc>
        <w:tc>
          <w:tcPr>
            <w:tcW w:w="641" w:type="pct"/>
            <w:tcBorders>
              <w:top w:val="nil"/>
            </w:tcBorders>
            <w:noWrap w:val="0"/>
            <w:vAlign w:val="center"/>
          </w:tcPr>
          <w:p w14:paraId="1A1692C0">
            <w:pPr>
              <w:keepNext/>
              <w:spacing w:line="360" w:lineRule="auto"/>
              <w:jc w:val="center"/>
              <w:rPr>
                <w:rFonts w:ascii="Times New Roman"/>
                <w:color w:val="000000"/>
                <w:sz w:val="24"/>
                <w:szCs w:val="24"/>
              </w:rPr>
            </w:pPr>
          </w:p>
        </w:tc>
        <w:tc>
          <w:tcPr>
            <w:tcW w:w="513" w:type="pct"/>
            <w:tcBorders>
              <w:top w:val="nil"/>
            </w:tcBorders>
            <w:noWrap w:val="0"/>
            <w:vAlign w:val="center"/>
          </w:tcPr>
          <w:p w14:paraId="58B33C84">
            <w:pPr>
              <w:keepNext/>
              <w:spacing w:line="360" w:lineRule="auto"/>
              <w:jc w:val="center"/>
              <w:rPr>
                <w:rFonts w:ascii="Times New Roman"/>
                <w:color w:val="000000"/>
                <w:sz w:val="24"/>
                <w:szCs w:val="24"/>
              </w:rPr>
            </w:pPr>
          </w:p>
        </w:tc>
        <w:tc>
          <w:tcPr>
            <w:tcW w:w="373" w:type="pct"/>
            <w:tcBorders>
              <w:top w:val="nil"/>
            </w:tcBorders>
            <w:noWrap w:val="0"/>
            <w:vAlign w:val="center"/>
          </w:tcPr>
          <w:p w14:paraId="76328D08">
            <w:pPr>
              <w:keepNext/>
              <w:spacing w:line="360" w:lineRule="auto"/>
              <w:jc w:val="center"/>
              <w:rPr>
                <w:rFonts w:ascii="Times New Roman"/>
                <w:color w:val="000000"/>
                <w:sz w:val="24"/>
                <w:szCs w:val="24"/>
              </w:rPr>
            </w:pPr>
          </w:p>
        </w:tc>
        <w:tc>
          <w:tcPr>
            <w:tcW w:w="1889" w:type="pct"/>
            <w:tcBorders>
              <w:top w:val="nil"/>
            </w:tcBorders>
            <w:noWrap w:val="0"/>
            <w:vAlign w:val="center"/>
          </w:tcPr>
          <w:p w14:paraId="48B5A718">
            <w:pPr>
              <w:keepNext/>
              <w:spacing w:line="360" w:lineRule="auto"/>
              <w:jc w:val="center"/>
              <w:rPr>
                <w:rFonts w:ascii="Times New Roman"/>
                <w:color w:val="000000"/>
                <w:sz w:val="24"/>
                <w:szCs w:val="24"/>
              </w:rPr>
            </w:pPr>
          </w:p>
        </w:tc>
        <w:tc>
          <w:tcPr>
            <w:tcW w:w="739" w:type="pct"/>
            <w:tcBorders>
              <w:top w:val="nil"/>
            </w:tcBorders>
            <w:noWrap w:val="0"/>
            <w:vAlign w:val="center"/>
          </w:tcPr>
          <w:p w14:paraId="154D8636">
            <w:pPr>
              <w:keepNext/>
              <w:spacing w:line="360" w:lineRule="auto"/>
              <w:jc w:val="center"/>
              <w:rPr>
                <w:rFonts w:ascii="Times New Roman"/>
                <w:color w:val="000000"/>
                <w:sz w:val="24"/>
                <w:szCs w:val="24"/>
              </w:rPr>
            </w:pPr>
          </w:p>
        </w:tc>
      </w:tr>
      <w:tr w14:paraId="10267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noWrap w:val="0"/>
            <w:vAlign w:val="center"/>
          </w:tcPr>
          <w:p w14:paraId="0E966269">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641" w:type="pct"/>
            <w:noWrap w:val="0"/>
            <w:vAlign w:val="center"/>
          </w:tcPr>
          <w:p w14:paraId="2BAA7149">
            <w:pPr>
              <w:keepNext/>
              <w:spacing w:line="360" w:lineRule="auto"/>
              <w:jc w:val="center"/>
              <w:rPr>
                <w:rFonts w:ascii="Times New Roman"/>
                <w:color w:val="000000"/>
                <w:sz w:val="24"/>
                <w:szCs w:val="24"/>
              </w:rPr>
            </w:pPr>
          </w:p>
        </w:tc>
        <w:tc>
          <w:tcPr>
            <w:tcW w:w="513" w:type="pct"/>
            <w:noWrap w:val="0"/>
            <w:vAlign w:val="center"/>
          </w:tcPr>
          <w:p w14:paraId="234F5443">
            <w:pPr>
              <w:keepNext/>
              <w:spacing w:line="360" w:lineRule="auto"/>
              <w:jc w:val="center"/>
              <w:rPr>
                <w:rFonts w:ascii="Times New Roman"/>
                <w:color w:val="000000"/>
                <w:sz w:val="24"/>
                <w:szCs w:val="24"/>
              </w:rPr>
            </w:pPr>
          </w:p>
        </w:tc>
        <w:tc>
          <w:tcPr>
            <w:tcW w:w="373" w:type="pct"/>
            <w:noWrap w:val="0"/>
            <w:vAlign w:val="center"/>
          </w:tcPr>
          <w:p w14:paraId="1C94FB4F">
            <w:pPr>
              <w:keepNext/>
              <w:spacing w:line="360" w:lineRule="auto"/>
              <w:jc w:val="center"/>
              <w:rPr>
                <w:rFonts w:ascii="Times New Roman"/>
                <w:color w:val="000000"/>
                <w:sz w:val="24"/>
                <w:szCs w:val="24"/>
              </w:rPr>
            </w:pPr>
          </w:p>
        </w:tc>
        <w:tc>
          <w:tcPr>
            <w:tcW w:w="1889" w:type="pct"/>
            <w:noWrap w:val="0"/>
            <w:vAlign w:val="center"/>
          </w:tcPr>
          <w:p w14:paraId="60450DB4">
            <w:pPr>
              <w:keepNext/>
              <w:spacing w:line="360" w:lineRule="auto"/>
              <w:jc w:val="center"/>
              <w:rPr>
                <w:rFonts w:ascii="Times New Roman"/>
                <w:color w:val="000000"/>
                <w:sz w:val="24"/>
                <w:szCs w:val="24"/>
              </w:rPr>
            </w:pPr>
          </w:p>
        </w:tc>
        <w:tc>
          <w:tcPr>
            <w:tcW w:w="739" w:type="pct"/>
            <w:noWrap w:val="0"/>
            <w:vAlign w:val="center"/>
          </w:tcPr>
          <w:p w14:paraId="56534AE7">
            <w:pPr>
              <w:keepNext/>
              <w:spacing w:line="360" w:lineRule="auto"/>
              <w:jc w:val="center"/>
              <w:rPr>
                <w:rFonts w:ascii="Times New Roman"/>
                <w:color w:val="000000"/>
                <w:sz w:val="24"/>
                <w:szCs w:val="24"/>
              </w:rPr>
            </w:pPr>
          </w:p>
        </w:tc>
      </w:tr>
      <w:tr w14:paraId="567CD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5700253E">
            <w:pPr>
              <w:keepNext/>
              <w:spacing w:line="360" w:lineRule="auto"/>
              <w:jc w:val="center"/>
              <w:rPr>
                <w:rFonts w:ascii="Times New Roman"/>
                <w:color w:val="000000"/>
                <w:sz w:val="24"/>
                <w:szCs w:val="24"/>
              </w:rPr>
            </w:pPr>
          </w:p>
        </w:tc>
        <w:tc>
          <w:tcPr>
            <w:tcW w:w="641" w:type="pct"/>
            <w:noWrap w:val="0"/>
            <w:vAlign w:val="center"/>
          </w:tcPr>
          <w:p w14:paraId="46DC02AC">
            <w:pPr>
              <w:keepNext/>
              <w:spacing w:line="360" w:lineRule="auto"/>
              <w:jc w:val="center"/>
              <w:rPr>
                <w:rFonts w:ascii="Times New Roman"/>
                <w:color w:val="000000"/>
                <w:sz w:val="24"/>
                <w:szCs w:val="24"/>
              </w:rPr>
            </w:pPr>
          </w:p>
        </w:tc>
        <w:tc>
          <w:tcPr>
            <w:tcW w:w="513" w:type="pct"/>
            <w:noWrap w:val="0"/>
            <w:vAlign w:val="center"/>
          </w:tcPr>
          <w:p w14:paraId="264E1DF9">
            <w:pPr>
              <w:keepNext/>
              <w:spacing w:line="360" w:lineRule="auto"/>
              <w:jc w:val="center"/>
              <w:rPr>
                <w:rFonts w:ascii="Times New Roman"/>
                <w:color w:val="000000"/>
                <w:sz w:val="24"/>
                <w:szCs w:val="24"/>
              </w:rPr>
            </w:pPr>
          </w:p>
        </w:tc>
        <w:tc>
          <w:tcPr>
            <w:tcW w:w="373" w:type="pct"/>
            <w:noWrap w:val="0"/>
            <w:vAlign w:val="center"/>
          </w:tcPr>
          <w:p w14:paraId="064C8664">
            <w:pPr>
              <w:keepNext/>
              <w:spacing w:line="360" w:lineRule="auto"/>
              <w:jc w:val="center"/>
              <w:rPr>
                <w:rFonts w:ascii="Times New Roman"/>
                <w:color w:val="000000"/>
                <w:sz w:val="24"/>
                <w:szCs w:val="24"/>
              </w:rPr>
            </w:pPr>
          </w:p>
        </w:tc>
        <w:tc>
          <w:tcPr>
            <w:tcW w:w="1889" w:type="pct"/>
            <w:noWrap w:val="0"/>
            <w:vAlign w:val="center"/>
          </w:tcPr>
          <w:p w14:paraId="71E0B02C">
            <w:pPr>
              <w:keepNext/>
              <w:spacing w:line="360" w:lineRule="auto"/>
              <w:jc w:val="center"/>
              <w:rPr>
                <w:rFonts w:ascii="Times New Roman"/>
                <w:color w:val="000000"/>
                <w:sz w:val="24"/>
                <w:szCs w:val="24"/>
              </w:rPr>
            </w:pPr>
          </w:p>
        </w:tc>
        <w:tc>
          <w:tcPr>
            <w:tcW w:w="739" w:type="pct"/>
            <w:noWrap w:val="0"/>
            <w:vAlign w:val="center"/>
          </w:tcPr>
          <w:p w14:paraId="23EB97CD">
            <w:pPr>
              <w:keepNext/>
              <w:spacing w:line="360" w:lineRule="auto"/>
              <w:jc w:val="center"/>
              <w:rPr>
                <w:rFonts w:ascii="Times New Roman"/>
                <w:color w:val="000000"/>
                <w:sz w:val="24"/>
                <w:szCs w:val="24"/>
              </w:rPr>
            </w:pPr>
          </w:p>
        </w:tc>
      </w:tr>
      <w:tr w14:paraId="3E929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noWrap w:val="0"/>
            <w:vAlign w:val="center"/>
          </w:tcPr>
          <w:p w14:paraId="5F28A083">
            <w:pPr>
              <w:keepNext/>
              <w:spacing w:line="360" w:lineRule="auto"/>
              <w:jc w:val="center"/>
              <w:rPr>
                <w:rFonts w:ascii="Times New Roman"/>
                <w:color w:val="000000"/>
                <w:sz w:val="24"/>
                <w:szCs w:val="24"/>
              </w:rPr>
            </w:pPr>
          </w:p>
        </w:tc>
        <w:tc>
          <w:tcPr>
            <w:tcW w:w="641" w:type="pct"/>
            <w:noWrap w:val="0"/>
            <w:vAlign w:val="center"/>
          </w:tcPr>
          <w:p w14:paraId="13C7DFEA">
            <w:pPr>
              <w:keepNext/>
              <w:spacing w:line="360" w:lineRule="auto"/>
              <w:jc w:val="center"/>
              <w:rPr>
                <w:rFonts w:ascii="Times New Roman"/>
                <w:color w:val="000000"/>
                <w:sz w:val="24"/>
                <w:szCs w:val="24"/>
              </w:rPr>
            </w:pPr>
          </w:p>
        </w:tc>
        <w:tc>
          <w:tcPr>
            <w:tcW w:w="513" w:type="pct"/>
            <w:noWrap w:val="0"/>
            <w:vAlign w:val="center"/>
          </w:tcPr>
          <w:p w14:paraId="5B01A2F0">
            <w:pPr>
              <w:keepNext/>
              <w:spacing w:line="360" w:lineRule="auto"/>
              <w:jc w:val="center"/>
              <w:rPr>
                <w:rFonts w:ascii="Times New Roman"/>
                <w:color w:val="000000"/>
                <w:sz w:val="24"/>
                <w:szCs w:val="24"/>
              </w:rPr>
            </w:pPr>
          </w:p>
        </w:tc>
        <w:tc>
          <w:tcPr>
            <w:tcW w:w="373" w:type="pct"/>
            <w:noWrap w:val="0"/>
            <w:vAlign w:val="center"/>
          </w:tcPr>
          <w:p w14:paraId="71510304">
            <w:pPr>
              <w:keepNext/>
              <w:spacing w:line="360" w:lineRule="auto"/>
              <w:jc w:val="center"/>
              <w:rPr>
                <w:rFonts w:ascii="Times New Roman"/>
                <w:color w:val="000000"/>
                <w:sz w:val="24"/>
                <w:szCs w:val="24"/>
              </w:rPr>
            </w:pPr>
          </w:p>
        </w:tc>
        <w:tc>
          <w:tcPr>
            <w:tcW w:w="1889" w:type="pct"/>
            <w:noWrap w:val="0"/>
            <w:vAlign w:val="center"/>
          </w:tcPr>
          <w:p w14:paraId="76802A83">
            <w:pPr>
              <w:keepNext/>
              <w:spacing w:line="360" w:lineRule="auto"/>
              <w:jc w:val="center"/>
              <w:rPr>
                <w:rFonts w:ascii="Times New Roman"/>
                <w:color w:val="000000"/>
                <w:sz w:val="24"/>
                <w:szCs w:val="24"/>
              </w:rPr>
            </w:pPr>
          </w:p>
        </w:tc>
        <w:tc>
          <w:tcPr>
            <w:tcW w:w="739" w:type="pct"/>
            <w:noWrap w:val="0"/>
            <w:vAlign w:val="center"/>
          </w:tcPr>
          <w:p w14:paraId="703E2836">
            <w:pPr>
              <w:keepNext/>
              <w:spacing w:line="360" w:lineRule="auto"/>
              <w:jc w:val="center"/>
              <w:rPr>
                <w:rFonts w:ascii="Times New Roman"/>
                <w:color w:val="000000"/>
                <w:sz w:val="24"/>
                <w:szCs w:val="24"/>
              </w:rPr>
            </w:pPr>
          </w:p>
        </w:tc>
      </w:tr>
      <w:tr w14:paraId="55533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noWrap w:val="0"/>
            <w:vAlign w:val="center"/>
          </w:tcPr>
          <w:p w14:paraId="3B416328">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739" w:type="pct"/>
            <w:noWrap w:val="0"/>
            <w:vAlign w:val="center"/>
          </w:tcPr>
          <w:p w14:paraId="58BF6F9B">
            <w:pPr>
              <w:keepNext/>
              <w:spacing w:line="360" w:lineRule="auto"/>
              <w:jc w:val="center"/>
              <w:rPr>
                <w:rFonts w:hint="eastAsia" w:ascii="Times New Roman"/>
                <w:color w:val="000000"/>
                <w:sz w:val="24"/>
                <w:szCs w:val="24"/>
              </w:rPr>
            </w:pPr>
          </w:p>
        </w:tc>
      </w:tr>
      <w:tr w14:paraId="72251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4D59E07D">
            <w:pPr>
              <w:spacing w:line="360" w:lineRule="auto"/>
              <w:jc w:val="center"/>
              <w:rPr>
                <w:rFonts w:hint="eastAsia" w:ascii="Times New Roman"/>
                <w:color w:val="000000"/>
                <w:sz w:val="24"/>
                <w:szCs w:val="24"/>
              </w:rPr>
            </w:pPr>
            <w:r>
              <w:rPr>
                <w:rFonts w:hint="eastAsia" w:ascii="Times New Roman"/>
                <w:color w:val="000000"/>
                <w:sz w:val="24"/>
                <w:szCs w:val="24"/>
              </w:rPr>
              <w:t>项目经理</w:t>
            </w:r>
          </w:p>
        </w:tc>
        <w:tc>
          <w:tcPr>
            <w:tcW w:w="641" w:type="pct"/>
            <w:noWrap w:val="0"/>
            <w:vAlign w:val="center"/>
          </w:tcPr>
          <w:p w14:paraId="6ED0F32B">
            <w:pPr>
              <w:keepNext/>
              <w:spacing w:line="360" w:lineRule="auto"/>
              <w:jc w:val="center"/>
              <w:rPr>
                <w:rFonts w:ascii="Times New Roman"/>
                <w:color w:val="000000"/>
                <w:sz w:val="24"/>
                <w:szCs w:val="24"/>
              </w:rPr>
            </w:pPr>
          </w:p>
        </w:tc>
        <w:tc>
          <w:tcPr>
            <w:tcW w:w="513" w:type="pct"/>
            <w:noWrap w:val="0"/>
            <w:vAlign w:val="center"/>
          </w:tcPr>
          <w:p w14:paraId="7BF4F01E">
            <w:pPr>
              <w:keepNext/>
              <w:spacing w:line="360" w:lineRule="auto"/>
              <w:jc w:val="center"/>
              <w:rPr>
                <w:rFonts w:ascii="Times New Roman"/>
                <w:color w:val="000000"/>
                <w:sz w:val="24"/>
                <w:szCs w:val="24"/>
              </w:rPr>
            </w:pPr>
          </w:p>
        </w:tc>
        <w:tc>
          <w:tcPr>
            <w:tcW w:w="373" w:type="pct"/>
            <w:noWrap w:val="0"/>
            <w:vAlign w:val="center"/>
          </w:tcPr>
          <w:p w14:paraId="4347FF8C">
            <w:pPr>
              <w:keepNext/>
              <w:spacing w:line="360" w:lineRule="auto"/>
              <w:jc w:val="center"/>
              <w:rPr>
                <w:rFonts w:ascii="Times New Roman"/>
                <w:color w:val="000000"/>
                <w:sz w:val="24"/>
                <w:szCs w:val="24"/>
              </w:rPr>
            </w:pPr>
          </w:p>
        </w:tc>
        <w:tc>
          <w:tcPr>
            <w:tcW w:w="1889" w:type="pct"/>
            <w:noWrap w:val="0"/>
            <w:vAlign w:val="center"/>
          </w:tcPr>
          <w:p w14:paraId="35C0478E">
            <w:pPr>
              <w:keepNext/>
              <w:spacing w:line="360" w:lineRule="auto"/>
              <w:jc w:val="center"/>
              <w:rPr>
                <w:rFonts w:ascii="Times New Roman"/>
                <w:color w:val="000000"/>
                <w:sz w:val="24"/>
                <w:szCs w:val="24"/>
              </w:rPr>
            </w:pPr>
          </w:p>
        </w:tc>
        <w:tc>
          <w:tcPr>
            <w:tcW w:w="739" w:type="pct"/>
            <w:noWrap w:val="0"/>
            <w:vAlign w:val="center"/>
          </w:tcPr>
          <w:p w14:paraId="05634BB3">
            <w:pPr>
              <w:keepNext/>
              <w:spacing w:line="360" w:lineRule="auto"/>
              <w:jc w:val="center"/>
              <w:rPr>
                <w:rFonts w:ascii="Times New Roman"/>
                <w:color w:val="000000"/>
                <w:sz w:val="24"/>
                <w:szCs w:val="24"/>
              </w:rPr>
            </w:pPr>
          </w:p>
        </w:tc>
      </w:tr>
      <w:tr w14:paraId="01FDE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340B54A6">
            <w:pPr>
              <w:spacing w:line="360" w:lineRule="auto"/>
              <w:jc w:val="center"/>
              <w:rPr>
                <w:rFonts w:hint="eastAsia" w:ascii="Times New Roman"/>
                <w:color w:val="000000"/>
                <w:sz w:val="24"/>
                <w:szCs w:val="24"/>
              </w:rPr>
            </w:pPr>
            <w:r>
              <w:rPr>
                <w:rFonts w:hint="eastAsia" w:ascii="Times New Roman"/>
                <w:color w:val="000000"/>
                <w:sz w:val="24"/>
                <w:szCs w:val="24"/>
              </w:rPr>
              <w:t>项目副经理</w:t>
            </w:r>
          </w:p>
        </w:tc>
        <w:tc>
          <w:tcPr>
            <w:tcW w:w="641" w:type="pct"/>
            <w:noWrap w:val="0"/>
            <w:vAlign w:val="center"/>
          </w:tcPr>
          <w:p w14:paraId="23FF443E">
            <w:pPr>
              <w:keepNext/>
              <w:spacing w:line="360" w:lineRule="auto"/>
              <w:jc w:val="center"/>
              <w:rPr>
                <w:rFonts w:ascii="Times New Roman"/>
                <w:color w:val="000000"/>
                <w:sz w:val="24"/>
                <w:szCs w:val="24"/>
              </w:rPr>
            </w:pPr>
          </w:p>
        </w:tc>
        <w:tc>
          <w:tcPr>
            <w:tcW w:w="513" w:type="pct"/>
            <w:noWrap w:val="0"/>
            <w:vAlign w:val="center"/>
          </w:tcPr>
          <w:p w14:paraId="1C145FCA">
            <w:pPr>
              <w:keepNext/>
              <w:spacing w:line="360" w:lineRule="auto"/>
              <w:jc w:val="center"/>
              <w:rPr>
                <w:rFonts w:ascii="Times New Roman"/>
                <w:color w:val="000000"/>
                <w:sz w:val="24"/>
                <w:szCs w:val="24"/>
              </w:rPr>
            </w:pPr>
          </w:p>
        </w:tc>
        <w:tc>
          <w:tcPr>
            <w:tcW w:w="373" w:type="pct"/>
            <w:noWrap w:val="0"/>
            <w:vAlign w:val="center"/>
          </w:tcPr>
          <w:p w14:paraId="7C6A9A6D">
            <w:pPr>
              <w:keepNext/>
              <w:spacing w:line="360" w:lineRule="auto"/>
              <w:jc w:val="center"/>
              <w:rPr>
                <w:rFonts w:ascii="Times New Roman"/>
                <w:color w:val="000000"/>
                <w:sz w:val="24"/>
                <w:szCs w:val="24"/>
              </w:rPr>
            </w:pPr>
          </w:p>
        </w:tc>
        <w:tc>
          <w:tcPr>
            <w:tcW w:w="1889" w:type="pct"/>
            <w:noWrap w:val="0"/>
            <w:vAlign w:val="center"/>
          </w:tcPr>
          <w:p w14:paraId="018CC608">
            <w:pPr>
              <w:keepNext/>
              <w:spacing w:line="360" w:lineRule="auto"/>
              <w:jc w:val="center"/>
              <w:rPr>
                <w:rFonts w:ascii="Times New Roman"/>
                <w:color w:val="000000"/>
                <w:sz w:val="24"/>
                <w:szCs w:val="24"/>
              </w:rPr>
            </w:pPr>
          </w:p>
        </w:tc>
        <w:tc>
          <w:tcPr>
            <w:tcW w:w="739" w:type="pct"/>
            <w:noWrap w:val="0"/>
            <w:vAlign w:val="center"/>
          </w:tcPr>
          <w:p w14:paraId="0F9E1263">
            <w:pPr>
              <w:keepNext/>
              <w:spacing w:line="360" w:lineRule="auto"/>
              <w:jc w:val="center"/>
              <w:rPr>
                <w:rFonts w:ascii="Times New Roman"/>
                <w:color w:val="000000"/>
                <w:sz w:val="24"/>
                <w:szCs w:val="24"/>
              </w:rPr>
            </w:pPr>
          </w:p>
        </w:tc>
      </w:tr>
      <w:tr w14:paraId="37523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1138492A">
            <w:pPr>
              <w:spacing w:line="360" w:lineRule="auto"/>
              <w:jc w:val="center"/>
              <w:rPr>
                <w:rFonts w:hint="eastAsia" w:ascii="Times New Roman"/>
                <w:color w:val="000000"/>
                <w:sz w:val="24"/>
                <w:szCs w:val="24"/>
              </w:rPr>
            </w:pPr>
            <w:r>
              <w:rPr>
                <w:rFonts w:hint="eastAsia" w:ascii="Times New Roman"/>
                <w:color w:val="000000"/>
                <w:sz w:val="24"/>
                <w:szCs w:val="24"/>
              </w:rPr>
              <w:t>项目技术负责人</w:t>
            </w:r>
          </w:p>
        </w:tc>
        <w:tc>
          <w:tcPr>
            <w:tcW w:w="641" w:type="pct"/>
            <w:noWrap w:val="0"/>
            <w:vAlign w:val="center"/>
          </w:tcPr>
          <w:p w14:paraId="699B6824">
            <w:pPr>
              <w:keepNext/>
              <w:spacing w:line="360" w:lineRule="auto"/>
              <w:jc w:val="center"/>
              <w:rPr>
                <w:rFonts w:ascii="Times New Roman"/>
                <w:color w:val="000000"/>
                <w:sz w:val="24"/>
                <w:szCs w:val="24"/>
              </w:rPr>
            </w:pPr>
          </w:p>
        </w:tc>
        <w:tc>
          <w:tcPr>
            <w:tcW w:w="513" w:type="pct"/>
            <w:noWrap w:val="0"/>
            <w:vAlign w:val="center"/>
          </w:tcPr>
          <w:p w14:paraId="39F1E487">
            <w:pPr>
              <w:keepNext/>
              <w:spacing w:line="360" w:lineRule="auto"/>
              <w:jc w:val="center"/>
              <w:rPr>
                <w:rFonts w:ascii="Times New Roman"/>
                <w:color w:val="000000"/>
                <w:sz w:val="24"/>
                <w:szCs w:val="24"/>
              </w:rPr>
            </w:pPr>
          </w:p>
        </w:tc>
        <w:tc>
          <w:tcPr>
            <w:tcW w:w="373" w:type="pct"/>
            <w:noWrap w:val="0"/>
            <w:vAlign w:val="center"/>
          </w:tcPr>
          <w:p w14:paraId="437E0673">
            <w:pPr>
              <w:keepNext/>
              <w:spacing w:line="360" w:lineRule="auto"/>
              <w:jc w:val="center"/>
              <w:rPr>
                <w:rFonts w:ascii="Times New Roman"/>
                <w:color w:val="000000"/>
                <w:sz w:val="24"/>
                <w:szCs w:val="24"/>
              </w:rPr>
            </w:pPr>
          </w:p>
        </w:tc>
        <w:tc>
          <w:tcPr>
            <w:tcW w:w="1889" w:type="pct"/>
            <w:noWrap w:val="0"/>
            <w:vAlign w:val="center"/>
          </w:tcPr>
          <w:p w14:paraId="438F44D1">
            <w:pPr>
              <w:keepNext/>
              <w:spacing w:line="360" w:lineRule="auto"/>
              <w:jc w:val="center"/>
              <w:rPr>
                <w:rFonts w:ascii="Times New Roman"/>
                <w:color w:val="000000"/>
                <w:sz w:val="24"/>
                <w:szCs w:val="24"/>
              </w:rPr>
            </w:pPr>
          </w:p>
        </w:tc>
        <w:tc>
          <w:tcPr>
            <w:tcW w:w="739" w:type="pct"/>
            <w:noWrap w:val="0"/>
            <w:vAlign w:val="center"/>
          </w:tcPr>
          <w:p w14:paraId="2E1BD552">
            <w:pPr>
              <w:keepNext/>
              <w:spacing w:line="360" w:lineRule="auto"/>
              <w:jc w:val="center"/>
              <w:rPr>
                <w:rFonts w:ascii="Times New Roman"/>
                <w:color w:val="000000"/>
                <w:sz w:val="24"/>
                <w:szCs w:val="24"/>
              </w:rPr>
            </w:pPr>
          </w:p>
        </w:tc>
      </w:tr>
      <w:tr w14:paraId="13DF1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74173762">
            <w:pPr>
              <w:spacing w:line="360" w:lineRule="auto"/>
              <w:jc w:val="center"/>
              <w:rPr>
                <w:rFonts w:hint="eastAsia" w:ascii="Times New Roman"/>
                <w:color w:val="000000"/>
                <w:sz w:val="24"/>
                <w:szCs w:val="24"/>
              </w:rPr>
            </w:pPr>
            <w:r>
              <w:rPr>
                <w:rFonts w:hint="eastAsia" w:ascii="Times New Roman"/>
                <w:color w:val="000000"/>
                <w:sz w:val="24"/>
                <w:szCs w:val="24"/>
              </w:rPr>
              <w:t>施工员</w:t>
            </w:r>
          </w:p>
        </w:tc>
        <w:tc>
          <w:tcPr>
            <w:tcW w:w="641" w:type="pct"/>
            <w:noWrap w:val="0"/>
            <w:vAlign w:val="center"/>
          </w:tcPr>
          <w:p w14:paraId="1DB54120">
            <w:pPr>
              <w:keepNext/>
              <w:spacing w:line="360" w:lineRule="auto"/>
              <w:jc w:val="center"/>
              <w:rPr>
                <w:rFonts w:ascii="Times New Roman"/>
                <w:color w:val="000000"/>
                <w:sz w:val="24"/>
                <w:szCs w:val="24"/>
              </w:rPr>
            </w:pPr>
          </w:p>
        </w:tc>
        <w:tc>
          <w:tcPr>
            <w:tcW w:w="513" w:type="pct"/>
            <w:noWrap w:val="0"/>
            <w:vAlign w:val="center"/>
          </w:tcPr>
          <w:p w14:paraId="331BE9D1">
            <w:pPr>
              <w:keepNext/>
              <w:spacing w:line="360" w:lineRule="auto"/>
              <w:jc w:val="center"/>
              <w:rPr>
                <w:rFonts w:ascii="Times New Roman"/>
                <w:color w:val="000000"/>
                <w:sz w:val="24"/>
                <w:szCs w:val="24"/>
              </w:rPr>
            </w:pPr>
          </w:p>
        </w:tc>
        <w:tc>
          <w:tcPr>
            <w:tcW w:w="373" w:type="pct"/>
            <w:noWrap w:val="0"/>
            <w:vAlign w:val="center"/>
          </w:tcPr>
          <w:p w14:paraId="162800F8">
            <w:pPr>
              <w:keepNext/>
              <w:spacing w:line="360" w:lineRule="auto"/>
              <w:jc w:val="center"/>
              <w:rPr>
                <w:rFonts w:ascii="Times New Roman"/>
                <w:color w:val="000000"/>
                <w:sz w:val="24"/>
                <w:szCs w:val="24"/>
              </w:rPr>
            </w:pPr>
          </w:p>
        </w:tc>
        <w:tc>
          <w:tcPr>
            <w:tcW w:w="1889" w:type="pct"/>
            <w:noWrap w:val="0"/>
            <w:vAlign w:val="center"/>
          </w:tcPr>
          <w:p w14:paraId="77E36910">
            <w:pPr>
              <w:keepNext/>
              <w:spacing w:line="360" w:lineRule="auto"/>
              <w:jc w:val="center"/>
              <w:rPr>
                <w:rFonts w:ascii="Times New Roman"/>
                <w:color w:val="000000"/>
                <w:sz w:val="24"/>
                <w:szCs w:val="24"/>
              </w:rPr>
            </w:pPr>
          </w:p>
        </w:tc>
        <w:tc>
          <w:tcPr>
            <w:tcW w:w="739" w:type="pct"/>
            <w:noWrap w:val="0"/>
            <w:vAlign w:val="center"/>
          </w:tcPr>
          <w:p w14:paraId="2C0EA439">
            <w:pPr>
              <w:keepNext/>
              <w:spacing w:line="360" w:lineRule="auto"/>
              <w:jc w:val="center"/>
              <w:rPr>
                <w:rFonts w:ascii="Times New Roman"/>
                <w:color w:val="000000"/>
                <w:sz w:val="24"/>
                <w:szCs w:val="24"/>
              </w:rPr>
            </w:pPr>
          </w:p>
        </w:tc>
      </w:tr>
      <w:tr w14:paraId="3067E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5915BA47">
            <w:pPr>
              <w:spacing w:line="360" w:lineRule="auto"/>
              <w:jc w:val="center"/>
              <w:rPr>
                <w:rFonts w:hint="eastAsia" w:ascii="Times New Roman"/>
                <w:color w:val="000000"/>
                <w:sz w:val="24"/>
                <w:szCs w:val="24"/>
              </w:rPr>
            </w:pPr>
            <w:r>
              <w:rPr>
                <w:rFonts w:hint="eastAsia" w:ascii="Times New Roman"/>
                <w:color w:val="000000"/>
                <w:sz w:val="24"/>
                <w:szCs w:val="24"/>
              </w:rPr>
              <w:t>质检员（质量员）</w:t>
            </w:r>
          </w:p>
        </w:tc>
        <w:tc>
          <w:tcPr>
            <w:tcW w:w="641" w:type="pct"/>
            <w:noWrap w:val="0"/>
            <w:vAlign w:val="center"/>
          </w:tcPr>
          <w:p w14:paraId="12088F4B">
            <w:pPr>
              <w:keepNext/>
              <w:spacing w:line="360" w:lineRule="auto"/>
              <w:jc w:val="center"/>
              <w:rPr>
                <w:rFonts w:ascii="Times New Roman"/>
                <w:color w:val="000000"/>
                <w:sz w:val="24"/>
                <w:szCs w:val="24"/>
              </w:rPr>
            </w:pPr>
          </w:p>
        </w:tc>
        <w:tc>
          <w:tcPr>
            <w:tcW w:w="513" w:type="pct"/>
            <w:noWrap w:val="0"/>
            <w:vAlign w:val="center"/>
          </w:tcPr>
          <w:p w14:paraId="58C0D6F8">
            <w:pPr>
              <w:keepNext/>
              <w:spacing w:line="360" w:lineRule="auto"/>
              <w:jc w:val="center"/>
              <w:rPr>
                <w:rFonts w:ascii="Times New Roman"/>
                <w:color w:val="000000"/>
                <w:sz w:val="24"/>
                <w:szCs w:val="24"/>
              </w:rPr>
            </w:pPr>
          </w:p>
        </w:tc>
        <w:tc>
          <w:tcPr>
            <w:tcW w:w="373" w:type="pct"/>
            <w:noWrap w:val="0"/>
            <w:vAlign w:val="center"/>
          </w:tcPr>
          <w:p w14:paraId="0FA0A364">
            <w:pPr>
              <w:keepNext/>
              <w:spacing w:line="360" w:lineRule="auto"/>
              <w:jc w:val="center"/>
              <w:rPr>
                <w:rFonts w:ascii="Times New Roman"/>
                <w:color w:val="000000"/>
                <w:sz w:val="24"/>
                <w:szCs w:val="24"/>
              </w:rPr>
            </w:pPr>
          </w:p>
        </w:tc>
        <w:tc>
          <w:tcPr>
            <w:tcW w:w="1889" w:type="pct"/>
            <w:noWrap w:val="0"/>
            <w:vAlign w:val="center"/>
          </w:tcPr>
          <w:p w14:paraId="1199AA39">
            <w:pPr>
              <w:keepNext/>
              <w:spacing w:line="360" w:lineRule="auto"/>
              <w:jc w:val="center"/>
              <w:rPr>
                <w:rFonts w:ascii="Times New Roman"/>
                <w:color w:val="000000"/>
                <w:sz w:val="24"/>
                <w:szCs w:val="24"/>
              </w:rPr>
            </w:pPr>
          </w:p>
        </w:tc>
        <w:tc>
          <w:tcPr>
            <w:tcW w:w="739" w:type="pct"/>
            <w:noWrap w:val="0"/>
            <w:vAlign w:val="center"/>
          </w:tcPr>
          <w:p w14:paraId="2BB0C770">
            <w:pPr>
              <w:keepNext/>
              <w:spacing w:line="360" w:lineRule="auto"/>
              <w:jc w:val="center"/>
              <w:rPr>
                <w:rFonts w:ascii="Times New Roman"/>
                <w:color w:val="000000"/>
                <w:sz w:val="24"/>
                <w:szCs w:val="24"/>
              </w:rPr>
            </w:pPr>
          </w:p>
        </w:tc>
      </w:tr>
      <w:tr w14:paraId="53654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55C4DA8F">
            <w:pPr>
              <w:spacing w:line="360" w:lineRule="auto"/>
              <w:jc w:val="center"/>
              <w:rPr>
                <w:rFonts w:hint="eastAsia" w:ascii="Times New Roman"/>
                <w:color w:val="000000"/>
                <w:sz w:val="24"/>
                <w:szCs w:val="24"/>
              </w:rPr>
            </w:pPr>
            <w:r>
              <w:rPr>
                <w:rFonts w:hint="eastAsia" w:ascii="Times New Roman"/>
                <w:color w:val="000000"/>
                <w:sz w:val="24"/>
                <w:szCs w:val="24"/>
              </w:rPr>
              <w:t>安全员</w:t>
            </w:r>
          </w:p>
        </w:tc>
        <w:tc>
          <w:tcPr>
            <w:tcW w:w="641" w:type="pct"/>
            <w:noWrap w:val="0"/>
            <w:vAlign w:val="center"/>
          </w:tcPr>
          <w:p w14:paraId="0B6E7710">
            <w:pPr>
              <w:keepNext/>
              <w:spacing w:line="360" w:lineRule="auto"/>
              <w:jc w:val="center"/>
              <w:rPr>
                <w:rFonts w:ascii="Times New Roman"/>
                <w:color w:val="000000"/>
                <w:sz w:val="24"/>
                <w:szCs w:val="24"/>
              </w:rPr>
            </w:pPr>
          </w:p>
        </w:tc>
        <w:tc>
          <w:tcPr>
            <w:tcW w:w="513" w:type="pct"/>
            <w:noWrap w:val="0"/>
            <w:vAlign w:val="center"/>
          </w:tcPr>
          <w:p w14:paraId="490DA0CB">
            <w:pPr>
              <w:keepNext/>
              <w:spacing w:line="360" w:lineRule="auto"/>
              <w:jc w:val="center"/>
              <w:rPr>
                <w:rFonts w:ascii="Times New Roman"/>
                <w:color w:val="000000"/>
                <w:sz w:val="24"/>
                <w:szCs w:val="24"/>
              </w:rPr>
            </w:pPr>
          </w:p>
        </w:tc>
        <w:tc>
          <w:tcPr>
            <w:tcW w:w="373" w:type="pct"/>
            <w:noWrap w:val="0"/>
            <w:vAlign w:val="center"/>
          </w:tcPr>
          <w:p w14:paraId="0CD2E6FC">
            <w:pPr>
              <w:keepNext/>
              <w:spacing w:line="360" w:lineRule="auto"/>
              <w:jc w:val="center"/>
              <w:rPr>
                <w:rFonts w:ascii="Times New Roman"/>
                <w:color w:val="000000"/>
                <w:sz w:val="24"/>
                <w:szCs w:val="24"/>
              </w:rPr>
            </w:pPr>
          </w:p>
        </w:tc>
        <w:tc>
          <w:tcPr>
            <w:tcW w:w="1889" w:type="pct"/>
            <w:noWrap w:val="0"/>
            <w:vAlign w:val="center"/>
          </w:tcPr>
          <w:p w14:paraId="62254775">
            <w:pPr>
              <w:keepNext/>
              <w:spacing w:line="360" w:lineRule="auto"/>
              <w:jc w:val="center"/>
              <w:rPr>
                <w:rFonts w:ascii="Times New Roman"/>
                <w:color w:val="000000"/>
                <w:sz w:val="24"/>
                <w:szCs w:val="24"/>
              </w:rPr>
            </w:pPr>
          </w:p>
        </w:tc>
        <w:tc>
          <w:tcPr>
            <w:tcW w:w="739" w:type="pct"/>
            <w:noWrap w:val="0"/>
            <w:vAlign w:val="center"/>
          </w:tcPr>
          <w:p w14:paraId="1D58B039">
            <w:pPr>
              <w:keepNext/>
              <w:spacing w:line="360" w:lineRule="auto"/>
              <w:jc w:val="center"/>
              <w:rPr>
                <w:rFonts w:ascii="Times New Roman"/>
                <w:color w:val="000000"/>
                <w:sz w:val="24"/>
                <w:szCs w:val="24"/>
              </w:rPr>
            </w:pPr>
          </w:p>
        </w:tc>
      </w:tr>
      <w:tr w14:paraId="6FC04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39565937">
            <w:pPr>
              <w:spacing w:line="360" w:lineRule="auto"/>
              <w:jc w:val="center"/>
              <w:rPr>
                <w:rFonts w:hint="eastAsia" w:ascii="Times New Roman"/>
                <w:color w:val="000000"/>
                <w:sz w:val="24"/>
                <w:szCs w:val="24"/>
              </w:rPr>
            </w:pPr>
            <w:r>
              <w:rPr>
                <w:rFonts w:hint="eastAsia" w:ascii="Times New Roman"/>
                <w:color w:val="000000"/>
                <w:sz w:val="24"/>
                <w:szCs w:val="24"/>
              </w:rPr>
              <w:t>资料员</w:t>
            </w:r>
          </w:p>
        </w:tc>
        <w:tc>
          <w:tcPr>
            <w:tcW w:w="641" w:type="pct"/>
            <w:noWrap w:val="0"/>
            <w:vAlign w:val="center"/>
          </w:tcPr>
          <w:p w14:paraId="014FBEDE">
            <w:pPr>
              <w:keepNext/>
              <w:spacing w:line="360" w:lineRule="auto"/>
              <w:jc w:val="center"/>
              <w:rPr>
                <w:rFonts w:ascii="Times New Roman"/>
                <w:color w:val="000000"/>
                <w:sz w:val="24"/>
                <w:szCs w:val="24"/>
              </w:rPr>
            </w:pPr>
          </w:p>
        </w:tc>
        <w:tc>
          <w:tcPr>
            <w:tcW w:w="513" w:type="pct"/>
            <w:noWrap w:val="0"/>
            <w:vAlign w:val="center"/>
          </w:tcPr>
          <w:p w14:paraId="7EAFD32C">
            <w:pPr>
              <w:keepNext/>
              <w:spacing w:line="360" w:lineRule="auto"/>
              <w:jc w:val="center"/>
              <w:rPr>
                <w:rFonts w:ascii="Times New Roman"/>
                <w:color w:val="000000"/>
                <w:sz w:val="24"/>
                <w:szCs w:val="24"/>
              </w:rPr>
            </w:pPr>
          </w:p>
        </w:tc>
        <w:tc>
          <w:tcPr>
            <w:tcW w:w="373" w:type="pct"/>
            <w:noWrap w:val="0"/>
            <w:vAlign w:val="center"/>
          </w:tcPr>
          <w:p w14:paraId="1E78D58B">
            <w:pPr>
              <w:keepNext/>
              <w:spacing w:line="360" w:lineRule="auto"/>
              <w:jc w:val="center"/>
              <w:rPr>
                <w:rFonts w:ascii="Times New Roman"/>
                <w:color w:val="000000"/>
                <w:sz w:val="24"/>
                <w:szCs w:val="24"/>
              </w:rPr>
            </w:pPr>
          </w:p>
        </w:tc>
        <w:tc>
          <w:tcPr>
            <w:tcW w:w="1889" w:type="pct"/>
            <w:noWrap w:val="0"/>
            <w:vAlign w:val="center"/>
          </w:tcPr>
          <w:p w14:paraId="010E9B4B">
            <w:pPr>
              <w:keepNext/>
              <w:spacing w:line="360" w:lineRule="auto"/>
              <w:jc w:val="center"/>
              <w:rPr>
                <w:rFonts w:ascii="Times New Roman"/>
                <w:color w:val="000000"/>
                <w:sz w:val="24"/>
                <w:szCs w:val="24"/>
              </w:rPr>
            </w:pPr>
          </w:p>
        </w:tc>
        <w:tc>
          <w:tcPr>
            <w:tcW w:w="739" w:type="pct"/>
            <w:noWrap w:val="0"/>
            <w:vAlign w:val="center"/>
          </w:tcPr>
          <w:p w14:paraId="29CB59EF">
            <w:pPr>
              <w:keepNext/>
              <w:spacing w:line="360" w:lineRule="auto"/>
              <w:jc w:val="center"/>
              <w:rPr>
                <w:rFonts w:ascii="Times New Roman"/>
                <w:color w:val="000000"/>
                <w:sz w:val="24"/>
                <w:szCs w:val="24"/>
              </w:rPr>
            </w:pPr>
          </w:p>
        </w:tc>
      </w:tr>
      <w:tr w14:paraId="09032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noWrap w:val="0"/>
            <w:vAlign w:val="center"/>
          </w:tcPr>
          <w:p w14:paraId="0EB58CDD">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641" w:type="pct"/>
            <w:noWrap w:val="0"/>
            <w:vAlign w:val="center"/>
          </w:tcPr>
          <w:p w14:paraId="32F51D1E">
            <w:pPr>
              <w:keepNext/>
              <w:spacing w:line="360" w:lineRule="auto"/>
              <w:jc w:val="center"/>
              <w:rPr>
                <w:rFonts w:ascii="Times New Roman"/>
                <w:color w:val="000000"/>
                <w:sz w:val="24"/>
                <w:szCs w:val="24"/>
              </w:rPr>
            </w:pPr>
          </w:p>
        </w:tc>
        <w:tc>
          <w:tcPr>
            <w:tcW w:w="513" w:type="pct"/>
            <w:noWrap w:val="0"/>
            <w:vAlign w:val="center"/>
          </w:tcPr>
          <w:p w14:paraId="6F731F69">
            <w:pPr>
              <w:keepNext/>
              <w:spacing w:line="360" w:lineRule="auto"/>
              <w:jc w:val="center"/>
              <w:rPr>
                <w:rFonts w:ascii="Times New Roman"/>
                <w:color w:val="000000"/>
                <w:sz w:val="24"/>
                <w:szCs w:val="24"/>
              </w:rPr>
            </w:pPr>
          </w:p>
        </w:tc>
        <w:tc>
          <w:tcPr>
            <w:tcW w:w="373" w:type="pct"/>
            <w:noWrap w:val="0"/>
            <w:vAlign w:val="center"/>
          </w:tcPr>
          <w:p w14:paraId="133403A1">
            <w:pPr>
              <w:keepNext/>
              <w:spacing w:line="360" w:lineRule="auto"/>
              <w:jc w:val="center"/>
              <w:rPr>
                <w:rFonts w:ascii="Times New Roman"/>
                <w:color w:val="000000"/>
                <w:sz w:val="24"/>
                <w:szCs w:val="24"/>
              </w:rPr>
            </w:pPr>
          </w:p>
        </w:tc>
        <w:tc>
          <w:tcPr>
            <w:tcW w:w="1889" w:type="pct"/>
            <w:noWrap w:val="0"/>
            <w:vAlign w:val="center"/>
          </w:tcPr>
          <w:p w14:paraId="2830E583">
            <w:pPr>
              <w:keepNext/>
              <w:spacing w:line="360" w:lineRule="auto"/>
              <w:jc w:val="center"/>
              <w:rPr>
                <w:rFonts w:ascii="Times New Roman"/>
                <w:color w:val="000000"/>
                <w:sz w:val="24"/>
                <w:szCs w:val="24"/>
              </w:rPr>
            </w:pPr>
          </w:p>
        </w:tc>
        <w:tc>
          <w:tcPr>
            <w:tcW w:w="739" w:type="pct"/>
            <w:noWrap w:val="0"/>
            <w:vAlign w:val="center"/>
          </w:tcPr>
          <w:p w14:paraId="6DC08E74">
            <w:pPr>
              <w:keepNext/>
              <w:spacing w:line="360" w:lineRule="auto"/>
              <w:jc w:val="center"/>
              <w:rPr>
                <w:rFonts w:ascii="Times New Roman"/>
                <w:color w:val="000000"/>
                <w:sz w:val="24"/>
                <w:szCs w:val="24"/>
              </w:rPr>
            </w:pPr>
          </w:p>
        </w:tc>
      </w:tr>
      <w:tr w14:paraId="0FDA1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2E21D28F">
            <w:pPr>
              <w:keepNext/>
              <w:spacing w:line="360" w:lineRule="auto"/>
              <w:jc w:val="center"/>
              <w:rPr>
                <w:rFonts w:ascii="Times New Roman"/>
                <w:color w:val="000000"/>
                <w:sz w:val="24"/>
                <w:szCs w:val="24"/>
              </w:rPr>
            </w:pPr>
          </w:p>
        </w:tc>
        <w:tc>
          <w:tcPr>
            <w:tcW w:w="641" w:type="pct"/>
            <w:tcBorders>
              <w:bottom w:val="nil"/>
            </w:tcBorders>
            <w:noWrap w:val="0"/>
            <w:vAlign w:val="center"/>
          </w:tcPr>
          <w:p w14:paraId="2CC8F234">
            <w:pPr>
              <w:keepNext/>
              <w:spacing w:line="360" w:lineRule="auto"/>
              <w:jc w:val="center"/>
              <w:rPr>
                <w:rFonts w:ascii="Times New Roman"/>
                <w:color w:val="000000"/>
                <w:sz w:val="24"/>
                <w:szCs w:val="24"/>
              </w:rPr>
            </w:pPr>
          </w:p>
        </w:tc>
        <w:tc>
          <w:tcPr>
            <w:tcW w:w="513" w:type="pct"/>
            <w:tcBorders>
              <w:bottom w:val="nil"/>
            </w:tcBorders>
            <w:noWrap w:val="0"/>
            <w:vAlign w:val="center"/>
          </w:tcPr>
          <w:p w14:paraId="67C5F95C">
            <w:pPr>
              <w:keepNext/>
              <w:spacing w:line="360" w:lineRule="auto"/>
              <w:jc w:val="center"/>
              <w:rPr>
                <w:rFonts w:ascii="Times New Roman"/>
                <w:color w:val="000000"/>
                <w:sz w:val="24"/>
                <w:szCs w:val="24"/>
              </w:rPr>
            </w:pPr>
          </w:p>
        </w:tc>
        <w:tc>
          <w:tcPr>
            <w:tcW w:w="373" w:type="pct"/>
            <w:tcBorders>
              <w:bottom w:val="nil"/>
            </w:tcBorders>
            <w:noWrap w:val="0"/>
            <w:vAlign w:val="center"/>
          </w:tcPr>
          <w:p w14:paraId="09797C3D">
            <w:pPr>
              <w:keepNext/>
              <w:spacing w:line="360" w:lineRule="auto"/>
              <w:jc w:val="center"/>
              <w:rPr>
                <w:rFonts w:ascii="Times New Roman"/>
                <w:color w:val="000000"/>
                <w:sz w:val="24"/>
                <w:szCs w:val="24"/>
              </w:rPr>
            </w:pPr>
          </w:p>
        </w:tc>
        <w:tc>
          <w:tcPr>
            <w:tcW w:w="1889" w:type="pct"/>
            <w:tcBorders>
              <w:bottom w:val="nil"/>
            </w:tcBorders>
            <w:noWrap w:val="0"/>
            <w:vAlign w:val="center"/>
          </w:tcPr>
          <w:p w14:paraId="136CF7F5">
            <w:pPr>
              <w:keepNext/>
              <w:spacing w:line="360" w:lineRule="auto"/>
              <w:jc w:val="center"/>
              <w:rPr>
                <w:rFonts w:ascii="Times New Roman"/>
                <w:color w:val="000000"/>
                <w:sz w:val="24"/>
                <w:szCs w:val="24"/>
              </w:rPr>
            </w:pPr>
          </w:p>
        </w:tc>
        <w:tc>
          <w:tcPr>
            <w:tcW w:w="739" w:type="pct"/>
            <w:tcBorders>
              <w:bottom w:val="nil"/>
            </w:tcBorders>
            <w:noWrap w:val="0"/>
            <w:vAlign w:val="center"/>
          </w:tcPr>
          <w:p w14:paraId="05C63C54">
            <w:pPr>
              <w:keepNext/>
              <w:spacing w:line="360" w:lineRule="auto"/>
              <w:jc w:val="center"/>
              <w:rPr>
                <w:rFonts w:ascii="Times New Roman"/>
                <w:color w:val="000000"/>
                <w:sz w:val="24"/>
                <w:szCs w:val="24"/>
              </w:rPr>
            </w:pPr>
          </w:p>
        </w:tc>
      </w:tr>
      <w:tr w14:paraId="42BA5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4BB8D08E">
            <w:pPr>
              <w:keepNext/>
              <w:spacing w:line="360" w:lineRule="auto"/>
              <w:jc w:val="center"/>
              <w:rPr>
                <w:rFonts w:ascii="Times New Roman"/>
                <w:color w:val="000000"/>
                <w:sz w:val="24"/>
                <w:szCs w:val="24"/>
              </w:rPr>
            </w:pPr>
          </w:p>
        </w:tc>
        <w:tc>
          <w:tcPr>
            <w:tcW w:w="641" w:type="pct"/>
            <w:noWrap w:val="0"/>
            <w:vAlign w:val="center"/>
          </w:tcPr>
          <w:p w14:paraId="72D681C4">
            <w:pPr>
              <w:keepNext/>
              <w:spacing w:line="360" w:lineRule="auto"/>
              <w:jc w:val="center"/>
              <w:rPr>
                <w:rFonts w:ascii="Times New Roman"/>
                <w:color w:val="000000"/>
                <w:sz w:val="24"/>
                <w:szCs w:val="24"/>
              </w:rPr>
            </w:pPr>
          </w:p>
        </w:tc>
        <w:tc>
          <w:tcPr>
            <w:tcW w:w="513" w:type="pct"/>
            <w:noWrap w:val="0"/>
            <w:vAlign w:val="center"/>
          </w:tcPr>
          <w:p w14:paraId="1908CED1">
            <w:pPr>
              <w:keepNext/>
              <w:spacing w:line="360" w:lineRule="auto"/>
              <w:jc w:val="center"/>
              <w:rPr>
                <w:rFonts w:ascii="Times New Roman"/>
                <w:color w:val="000000"/>
                <w:sz w:val="24"/>
                <w:szCs w:val="24"/>
              </w:rPr>
            </w:pPr>
          </w:p>
        </w:tc>
        <w:tc>
          <w:tcPr>
            <w:tcW w:w="373" w:type="pct"/>
            <w:noWrap w:val="0"/>
            <w:vAlign w:val="center"/>
          </w:tcPr>
          <w:p w14:paraId="48D68704">
            <w:pPr>
              <w:keepNext/>
              <w:spacing w:line="360" w:lineRule="auto"/>
              <w:jc w:val="center"/>
              <w:rPr>
                <w:rFonts w:ascii="Times New Roman"/>
                <w:color w:val="000000"/>
                <w:sz w:val="24"/>
                <w:szCs w:val="24"/>
              </w:rPr>
            </w:pPr>
          </w:p>
        </w:tc>
        <w:tc>
          <w:tcPr>
            <w:tcW w:w="1889" w:type="pct"/>
            <w:noWrap w:val="0"/>
            <w:vAlign w:val="center"/>
          </w:tcPr>
          <w:p w14:paraId="57086461">
            <w:pPr>
              <w:keepNext/>
              <w:spacing w:line="360" w:lineRule="auto"/>
              <w:jc w:val="center"/>
              <w:rPr>
                <w:rFonts w:ascii="Times New Roman"/>
                <w:color w:val="000000"/>
                <w:sz w:val="24"/>
                <w:szCs w:val="24"/>
              </w:rPr>
            </w:pPr>
          </w:p>
        </w:tc>
        <w:tc>
          <w:tcPr>
            <w:tcW w:w="739" w:type="pct"/>
            <w:noWrap w:val="0"/>
            <w:vAlign w:val="center"/>
          </w:tcPr>
          <w:p w14:paraId="5E1CE881">
            <w:pPr>
              <w:keepNext/>
              <w:spacing w:line="360" w:lineRule="auto"/>
              <w:jc w:val="center"/>
              <w:rPr>
                <w:rFonts w:ascii="Times New Roman"/>
                <w:color w:val="000000"/>
                <w:sz w:val="24"/>
                <w:szCs w:val="24"/>
              </w:rPr>
            </w:pPr>
          </w:p>
        </w:tc>
      </w:tr>
      <w:tr w14:paraId="2C9F8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4F092988">
            <w:pPr>
              <w:keepNext/>
              <w:spacing w:line="360" w:lineRule="auto"/>
              <w:jc w:val="center"/>
              <w:rPr>
                <w:rFonts w:ascii="Times New Roman"/>
                <w:color w:val="000000"/>
                <w:sz w:val="24"/>
                <w:szCs w:val="24"/>
              </w:rPr>
            </w:pPr>
          </w:p>
        </w:tc>
        <w:tc>
          <w:tcPr>
            <w:tcW w:w="641" w:type="pct"/>
            <w:noWrap w:val="0"/>
            <w:vAlign w:val="center"/>
          </w:tcPr>
          <w:p w14:paraId="5511AA93">
            <w:pPr>
              <w:keepNext/>
              <w:spacing w:line="360" w:lineRule="auto"/>
              <w:jc w:val="center"/>
              <w:rPr>
                <w:rFonts w:ascii="Times New Roman"/>
                <w:color w:val="000000"/>
                <w:sz w:val="24"/>
                <w:szCs w:val="24"/>
              </w:rPr>
            </w:pPr>
          </w:p>
        </w:tc>
        <w:tc>
          <w:tcPr>
            <w:tcW w:w="513" w:type="pct"/>
            <w:noWrap w:val="0"/>
            <w:vAlign w:val="center"/>
          </w:tcPr>
          <w:p w14:paraId="7DC3D0E1">
            <w:pPr>
              <w:keepNext/>
              <w:spacing w:line="360" w:lineRule="auto"/>
              <w:jc w:val="center"/>
              <w:rPr>
                <w:rFonts w:ascii="Times New Roman"/>
                <w:color w:val="000000"/>
                <w:sz w:val="24"/>
                <w:szCs w:val="24"/>
              </w:rPr>
            </w:pPr>
          </w:p>
        </w:tc>
        <w:tc>
          <w:tcPr>
            <w:tcW w:w="373" w:type="pct"/>
            <w:noWrap w:val="0"/>
            <w:vAlign w:val="center"/>
          </w:tcPr>
          <w:p w14:paraId="245D86BD">
            <w:pPr>
              <w:keepNext/>
              <w:spacing w:line="360" w:lineRule="auto"/>
              <w:jc w:val="center"/>
              <w:rPr>
                <w:rFonts w:ascii="Times New Roman"/>
                <w:color w:val="000000"/>
                <w:sz w:val="24"/>
                <w:szCs w:val="24"/>
              </w:rPr>
            </w:pPr>
          </w:p>
        </w:tc>
        <w:tc>
          <w:tcPr>
            <w:tcW w:w="1889" w:type="pct"/>
            <w:noWrap w:val="0"/>
            <w:vAlign w:val="center"/>
          </w:tcPr>
          <w:p w14:paraId="6DF92222">
            <w:pPr>
              <w:keepNext/>
              <w:spacing w:line="360" w:lineRule="auto"/>
              <w:jc w:val="center"/>
              <w:rPr>
                <w:rFonts w:ascii="Times New Roman"/>
                <w:color w:val="000000"/>
                <w:sz w:val="24"/>
                <w:szCs w:val="24"/>
              </w:rPr>
            </w:pPr>
          </w:p>
        </w:tc>
        <w:tc>
          <w:tcPr>
            <w:tcW w:w="739" w:type="pct"/>
            <w:noWrap w:val="0"/>
            <w:vAlign w:val="center"/>
          </w:tcPr>
          <w:p w14:paraId="6B8411F0">
            <w:pPr>
              <w:keepNext/>
              <w:spacing w:line="360" w:lineRule="auto"/>
              <w:jc w:val="center"/>
              <w:rPr>
                <w:rFonts w:ascii="Times New Roman"/>
                <w:color w:val="000000"/>
                <w:sz w:val="24"/>
                <w:szCs w:val="24"/>
              </w:rPr>
            </w:pPr>
          </w:p>
        </w:tc>
      </w:tr>
      <w:tr w14:paraId="78BE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5A870272">
            <w:pPr>
              <w:keepNext/>
              <w:spacing w:line="360" w:lineRule="auto"/>
              <w:jc w:val="center"/>
              <w:rPr>
                <w:rFonts w:ascii="Times New Roman"/>
                <w:color w:val="000000"/>
                <w:sz w:val="24"/>
                <w:szCs w:val="24"/>
              </w:rPr>
            </w:pPr>
          </w:p>
        </w:tc>
        <w:tc>
          <w:tcPr>
            <w:tcW w:w="641" w:type="pct"/>
            <w:noWrap w:val="0"/>
            <w:vAlign w:val="center"/>
          </w:tcPr>
          <w:p w14:paraId="3C4CAA09">
            <w:pPr>
              <w:keepNext/>
              <w:spacing w:line="360" w:lineRule="auto"/>
              <w:jc w:val="center"/>
              <w:rPr>
                <w:rFonts w:ascii="Times New Roman"/>
                <w:color w:val="000000"/>
                <w:sz w:val="24"/>
                <w:szCs w:val="24"/>
              </w:rPr>
            </w:pPr>
          </w:p>
        </w:tc>
        <w:tc>
          <w:tcPr>
            <w:tcW w:w="513" w:type="pct"/>
            <w:noWrap w:val="0"/>
            <w:vAlign w:val="center"/>
          </w:tcPr>
          <w:p w14:paraId="3469D35A">
            <w:pPr>
              <w:keepNext/>
              <w:spacing w:line="360" w:lineRule="auto"/>
              <w:jc w:val="center"/>
              <w:rPr>
                <w:rFonts w:ascii="Times New Roman"/>
                <w:color w:val="000000"/>
                <w:sz w:val="24"/>
                <w:szCs w:val="24"/>
              </w:rPr>
            </w:pPr>
          </w:p>
        </w:tc>
        <w:tc>
          <w:tcPr>
            <w:tcW w:w="373" w:type="pct"/>
            <w:noWrap w:val="0"/>
            <w:vAlign w:val="center"/>
          </w:tcPr>
          <w:p w14:paraId="0F854285">
            <w:pPr>
              <w:keepNext/>
              <w:spacing w:line="360" w:lineRule="auto"/>
              <w:jc w:val="center"/>
              <w:rPr>
                <w:rFonts w:ascii="Times New Roman"/>
                <w:color w:val="000000"/>
                <w:sz w:val="24"/>
                <w:szCs w:val="24"/>
              </w:rPr>
            </w:pPr>
          </w:p>
        </w:tc>
        <w:tc>
          <w:tcPr>
            <w:tcW w:w="1889" w:type="pct"/>
            <w:noWrap w:val="0"/>
            <w:vAlign w:val="center"/>
          </w:tcPr>
          <w:p w14:paraId="545CD289">
            <w:pPr>
              <w:keepNext/>
              <w:spacing w:line="360" w:lineRule="auto"/>
              <w:jc w:val="center"/>
              <w:rPr>
                <w:rFonts w:ascii="Times New Roman"/>
                <w:color w:val="000000"/>
                <w:sz w:val="24"/>
                <w:szCs w:val="24"/>
              </w:rPr>
            </w:pPr>
          </w:p>
        </w:tc>
        <w:tc>
          <w:tcPr>
            <w:tcW w:w="739" w:type="pct"/>
            <w:noWrap w:val="0"/>
            <w:vAlign w:val="center"/>
          </w:tcPr>
          <w:p w14:paraId="730A1948">
            <w:pPr>
              <w:keepNext/>
              <w:spacing w:line="360" w:lineRule="auto"/>
              <w:jc w:val="center"/>
              <w:rPr>
                <w:rFonts w:ascii="Times New Roman"/>
                <w:color w:val="000000"/>
                <w:sz w:val="24"/>
                <w:szCs w:val="24"/>
              </w:rPr>
            </w:pPr>
          </w:p>
        </w:tc>
      </w:tr>
      <w:tr w14:paraId="623AE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noWrap w:val="0"/>
            <w:vAlign w:val="center"/>
          </w:tcPr>
          <w:p w14:paraId="4343DAEB">
            <w:pPr>
              <w:keepNext/>
              <w:spacing w:line="360" w:lineRule="auto"/>
              <w:jc w:val="center"/>
              <w:rPr>
                <w:rFonts w:ascii="Times New Roman"/>
                <w:color w:val="000000"/>
                <w:sz w:val="24"/>
                <w:szCs w:val="24"/>
              </w:rPr>
            </w:pPr>
          </w:p>
        </w:tc>
        <w:tc>
          <w:tcPr>
            <w:tcW w:w="641" w:type="pct"/>
            <w:tcBorders>
              <w:bottom w:val="single" w:color="auto" w:sz="12" w:space="0"/>
            </w:tcBorders>
            <w:noWrap w:val="0"/>
            <w:vAlign w:val="center"/>
          </w:tcPr>
          <w:p w14:paraId="5D037454">
            <w:pPr>
              <w:keepNext/>
              <w:spacing w:line="360" w:lineRule="auto"/>
              <w:jc w:val="center"/>
              <w:rPr>
                <w:rFonts w:ascii="Times New Roman"/>
                <w:color w:val="000000"/>
                <w:sz w:val="24"/>
                <w:szCs w:val="24"/>
              </w:rPr>
            </w:pPr>
          </w:p>
        </w:tc>
        <w:tc>
          <w:tcPr>
            <w:tcW w:w="513" w:type="pct"/>
            <w:tcBorders>
              <w:bottom w:val="single" w:color="auto" w:sz="12" w:space="0"/>
            </w:tcBorders>
            <w:noWrap w:val="0"/>
            <w:vAlign w:val="center"/>
          </w:tcPr>
          <w:p w14:paraId="74455C86">
            <w:pPr>
              <w:keepNext/>
              <w:spacing w:line="360" w:lineRule="auto"/>
              <w:jc w:val="center"/>
              <w:rPr>
                <w:rFonts w:ascii="Times New Roman"/>
                <w:color w:val="000000"/>
                <w:sz w:val="24"/>
                <w:szCs w:val="24"/>
              </w:rPr>
            </w:pPr>
          </w:p>
        </w:tc>
        <w:tc>
          <w:tcPr>
            <w:tcW w:w="373" w:type="pct"/>
            <w:tcBorders>
              <w:bottom w:val="single" w:color="auto" w:sz="12" w:space="0"/>
            </w:tcBorders>
            <w:noWrap w:val="0"/>
            <w:vAlign w:val="center"/>
          </w:tcPr>
          <w:p w14:paraId="3F647AD0">
            <w:pPr>
              <w:keepNext/>
              <w:spacing w:line="360" w:lineRule="auto"/>
              <w:jc w:val="center"/>
              <w:rPr>
                <w:rFonts w:ascii="Times New Roman"/>
                <w:color w:val="000000"/>
                <w:sz w:val="24"/>
                <w:szCs w:val="24"/>
              </w:rPr>
            </w:pPr>
          </w:p>
        </w:tc>
        <w:tc>
          <w:tcPr>
            <w:tcW w:w="1889" w:type="pct"/>
            <w:tcBorders>
              <w:bottom w:val="single" w:color="auto" w:sz="12" w:space="0"/>
            </w:tcBorders>
            <w:noWrap w:val="0"/>
            <w:vAlign w:val="center"/>
          </w:tcPr>
          <w:p w14:paraId="121797F0">
            <w:pPr>
              <w:keepNext/>
              <w:spacing w:line="360" w:lineRule="auto"/>
              <w:jc w:val="center"/>
              <w:rPr>
                <w:rFonts w:ascii="Times New Roman"/>
                <w:color w:val="000000"/>
                <w:sz w:val="24"/>
                <w:szCs w:val="24"/>
              </w:rPr>
            </w:pPr>
          </w:p>
        </w:tc>
        <w:tc>
          <w:tcPr>
            <w:tcW w:w="739" w:type="pct"/>
            <w:tcBorders>
              <w:bottom w:val="single" w:color="auto" w:sz="12" w:space="0"/>
            </w:tcBorders>
            <w:noWrap w:val="0"/>
            <w:vAlign w:val="center"/>
          </w:tcPr>
          <w:p w14:paraId="788C9B8F">
            <w:pPr>
              <w:keepNext/>
              <w:spacing w:line="360" w:lineRule="auto"/>
              <w:jc w:val="center"/>
              <w:rPr>
                <w:rFonts w:ascii="Times New Roman"/>
                <w:color w:val="000000"/>
                <w:sz w:val="24"/>
                <w:szCs w:val="24"/>
              </w:rPr>
            </w:pPr>
          </w:p>
        </w:tc>
      </w:tr>
    </w:tbl>
    <w:p w14:paraId="063641FE">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40" w:name="_Toc128950243"/>
      <w:r>
        <w:rPr>
          <w:rFonts w:hint="eastAsia" w:ascii="Times New Roman" w:eastAsia="黑体"/>
          <w:color w:val="000000"/>
          <w:sz w:val="24"/>
          <w:szCs w:val="24"/>
        </w:rPr>
        <w:t>附</w:t>
      </w:r>
      <w:bookmarkStart w:id="641" w:name="_Toc296944570"/>
      <w:bookmarkStart w:id="642" w:name="_Toc296891271"/>
      <w:bookmarkStart w:id="643" w:name="_Toc296891059"/>
      <w:bookmarkStart w:id="644" w:name="_Toc296503231"/>
      <w:bookmarkStart w:id="645" w:name="_Toc296347230"/>
      <w:bookmarkStart w:id="646" w:name="_Toc296346732"/>
      <w:r>
        <w:rPr>
          <w:rFonts w:hint="eastAsia" w:ascii="Times New Roman" w:eastAsia="黑体"/>
          <w:color w:val="000000"/>
          <w:sz w:val="24"/>
          <w:szCs w:val="24"/>
        </w:rPr>
        <w:t>件</w:t>
      </w:r>
      <w:r>
        <w:rPr>
          <w:rFonts w:ascii="Times New Roman" w:eastAsia="黑体"/>
          <w:color w:val="000000"/>
          <w:sz w:val="24"/>
          <w:szCs w:val="24"/>
        </w:rPr>
        <w:t>8</w:t>
      </w:r>
      <w:r>
        <w:rPr>
          <w:rFonts w:hint="eastAsia" w:ascii="Times New Roman" w:eastAsia="黑体"/>
          <w:color w:val="000000"/>
          <w:sz w:val="24"/>
          <w:szCs w:val="24"/>
        </w:rPr>
        <w:t>：廉政协议</w:t>
      </w:r>
      <w:bookmarkEnd w:id="640"/>
    </w:p>
    <w:bookmarkEnd w:id="641"/>
    <w:bookmarkEnd w:id="642"/>
    <w:bookmarkEnd w:id="643"/>
    <w:bookmarkEnd w:id="644"/>
    <w:bookmarkEnd w:id="645"/>
    <w:bookmarkEnd w:id="646"/>
    <w:p w14:paraId="055583BE">
      <w:pPr>
        <w:widowControl/>
        <w:spacing w:line="360" w:lineRule="auto"/>
        <w:ind w:firstLine="643"/>
        <w:jc w:val="center"/>
        <w:rPr>
          <w:rFonts w:ascii="Times New Roman"/>
          <w:b/>
          <w:bCs/>
          <w:color w:val="000000"/>
          <w:sz w:val="24"/>
          <w:szCs w:val="24"/>
        </w:rPr>
      </w:pPr>
      <w:r>
        <w:rPr>
          <w:rFonts w:hint="eastAsia" w:ascii="Times New Roman"/>
          <w:b/>
          <w:bCs/>
          <w:color w:val="000000"/>
          <w:sz w:val="24"/>
          <w:szCs w:val="24"/>
        </w:rPr>
        <w:t>廉政协议</w:t>
      </w:r>
    </w:p>
    <w:p w14:paraId="1D16066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为促进双方诚信经营、廉洁从业，防范商业贿赂，保护国家、集体和当事人的合法权益，根据国家有关法律法规和安徽省、合肥市廉政建设的规定，</w:t>
      </w:r>
      <w:r>
        <w:rPr>
          <w:rFonts w:hint="eastAsia" w:ascii="Times New Roman"/>
          <w:color w:val="000000"/>
          <w:sz w:val="24"/>
          <w:szCs w:val="24"/>
          <w:u w:val="single"/>
        </w:rPr>
        <w:t xml:space="preserve">     </w:t>
      </w:r>
      <w:r>
        <w:rPr>
          <w:rFonts w:hint="eastAsia" w:ascii="Times New Roman"/>
          <w:color w:val="000000"/>
          <w:sz w:val="24"/>
          <w:szCs w:val="24"/>
        </w:rPr>
        <w:t>（以下称甲方）与</w:t>
      </w:r>
      <w:r>
        <w:rPr>
          <w:rFonts w:hint="eastAsia" w:ascii="Times New Roman"/>
          <w:color w:val="000000"/>
          <w:sz w:val="24"/>
          <w:szCs w:val="24"/>
          <w:u w:val="single"/>
        </w:rPr>
        <w:t xml:space="preserve">             （</w:t>
      </w:r>
      <w:r>
        <w:rPr>
          <w:rFonts w:hint="eastAsia" w:ascii="Times New Roman"/>
          <w:color w:val="000000"/>
          <w:sz w:val="24"/>
          <w:szCs w:val="24"/>
        </w:rPr>
        <w:t>以下称乙方），特此订立本协议共同遵照执行。</w:t>
      </w:r>
    </w:p>
    <w:p w14:paraId="72E23E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第一条 甲乙双方的权利和义务</w:t>
      </w:r>
    </w:p>
    <w:p w14:paraId="2B70977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39CF22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（二）严格执行</w:t>
      </w:r>
      <w:r>
        <w:rPr>
          <w:rFonts w:hint="eastAsia" w:ascii="Times New Roman"/>
          <w:color w:val="000000"/>
          <w:sz w:val="24"/>
          <w:szCs w:val="24"/>
          <w:u w:val="single"/>
        </w:rPr>
        <w:t xml:space="preserve">                                </w:t>
      </w:r>
      <w:r>
        <w:rPr>
          <w:rFonts w:hint="eastAsia" w:ascii="Times New Roman"/>
          <w:color w:val="000000"/>
          <w:sz w:val="24"/>
          <w:szCs w:val="24"/>
        </w:rPr>
        <w:t>的合同要求，自觉履行合同约定的相关义务。</w:t>
      </w:r>
    </w:p>
    <w:p w14:paraId="0477221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（三）在业务活动中坚持公开、公正、诚信、透明的原则，不得损害国家、集体利益。</w:t>
      </w:r>
    </w:p>
    <w:p w14:paraId="2D6C876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（四）建立健全廉政制度，开展廉政教育，公布举报电话，监督并认真查处违法违纪行为。</w:t>
      </w:r>
    </w:p>
    <w:p w14:paraId="7C4216D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（五）发现对方在业务活动中有违反廉政规定的行为，应及时提醒对方纠正。情节严重的，应向其上级有关部门举报、建议给予处理，并有权要求告知处理结果。</w:t>
      </w:r>
    </w:p>
    <w:p w14:paraId="751BCD2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第二条 甲方的义务</w:t>
      </w:r>
    </w:p>
    <w:p w14:paraId="07842BF2">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（一）甲方及其工作人员不得索要或接受乙方的礼金、有价证券和贵重物品，不得在乙方报销任何应由甲方单位或个人支付的费用等。</w:t>
      </w:r>
    </w:p>
    <w:p w14:paraId="3524C74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91B21A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 甲方及其工作人员不得要求或者接受乙方为其住房装修、婚丧嫁娶活动、配偶子女工作安排以及出国出境、旅游等提供方便等。</w:t>
      </w:r>
    </w:p>
    <w:p w14:paraId="07245F1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 甲方工作人员不得在乙方有股权关联的企业兼职，不得向乙方介绍家属或者亲友从事与甲方业务有关的经济活动。</w:t>
      </w:r>
    </w:p>
    <w:p w14:paraId="2F8C2E8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（五）甲方工作人员不得以明显低于市场的价格向乙方购买房屋、汽车等物品；不得以明显高于市场的价格向乙方出售房屋、汽车等物品；不得以其他交易形式非法收受请托人财物。</w:t>
      </w:r>
    </w:p>
    <w:p w14:paraId="5A6DBDB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（六）甲方工作人员不得利用职务之便收受乙方以回扣、手续费、加班费、咨询费、劳务费、协调费、辛苦费等各种名义给予或赠送的钱物。</w:t>
      </w:r>
    </w:p>
    <w:p w14:paraId="757AD22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（七）甲方工作人员不得接受乙方给予或赠送的干股或红利。</w:t>
      </w:r>
    </w:p>
    <w:p w14:paraId="2266CC7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（八）甲方任何人不得以个人的名义向乙方推荐设备、部件等供货商以及其他合作单位。</w:t>
      </w:r>
    </w:p>
    <w:p w14:paraId="788740F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第三条 乙方的义务</w:t>
      </w:r>
    </w:p>
    <w:p w14:paraId="3F4831F4">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（一）乙方不得以任何理由向甲方及其工作人员行贿或馈赠礼金、有价证券、贵重礼品。</w:t>
      </w:r>
    </w:p>
    <w:p w14:paraId="37C1CBA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（二）乙方不得以任何名义为甲方及其工作人员报销应由甲方单位或个人支付的任何费用。</w:t>
      </w:r>
    </w:p>
    <w:p w14:paraId="6214DDB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（三）乙方不得以任何理由安排甲方工作人员参加可能影响相关业务公开、公正、公平性的宴请及娱乐活动。</w:t>
      </w:r>
    </w:p>
    <w:p w14:paraId="6B0442E4">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（四）乙方不得为甲方单位和个人购置或提供通讯工具和高档办公用品等物品，也不得为甲方提供与工作无关的房屋、汽车等。</w:t>
      </w:r>
    </w:p>
    <w:p w14:paraId="4D67F2F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（五）乙方不得与甲方工作人员就合同中的质量、数量、价格、工程量、验收等条款进行私下商谈或者达成默契。</w:t>
      </w:r>
    </w:p>
    <w:p w14:paraId="5981AB6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（六）乙方不得以回扣、手续费、加班费、咨询费、劳务费、协调费、辛苦费等各种名义向甲方工作人员给予或赠送钱物。</w:t>
      </w:r>
    </w:p>
    <w:p w14:paraId="0BB8D4D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（七）乙方不得向甲方工作人员提供干股或红利。</w:t>
      </w:r>
    </w:p>
    <w:p w14:paraId="61C0CA9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（八）乙方须按</w:t>
      </w:r>
      <w:r>
        <w:rPr>
          <w:rFonts w:hint="eastAsia" w:ascii="Times New Roman"/>
          <w:color w:val="000000"/>
          <w:sz w:val="24"/>
          <w:szCs w:val="24"/>
          <w:u w:val="single"/>
        </w:rPr>
        <w:t xml:space="preserve">         </w:t>
      </w:r>
      <w:r>
        <w:rPr>
          <w:rFonts w:hint="eastAsia" w:ascii="Times New Roman"/>
          <w:color w:val="000000"/>
          <w:sz w:val="24"/>
          <w:szCs w:val="24"/>
        </w:rPr>
        <w:t>专项纪检监察工作组（如有）要求开展相关工作。</w:t>
      </w:r>
    </w:p>
    <w:p w14:paraId="04EF1DC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第四条 违约责任</w:t>
      </w:r>
    </w:p>
    <w:p w14:paraId="5867B4F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888C66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甲方投诉联系部门：</w:t>
      </w:r>
      <w:r>
        <w:rPr>
          <w:rFonts w:hint="eastAsia" w:ascii="Times New Roman"/>
          <w:color w:val="000000"/>
          <w:sz w:val="24"/>
          <w:szCs w:val="24"/>
          <w:u w:val="single"/>
        </w:rPr>
        <w:t xml:space="preserve">           </w:t>
      </w:r>
      <w:r>
        <w:rPr>
          <w:rFonts w:hint="eastAsia" w:ascii="Times New Roman"/>
          <w:color w:val="000000"/>
          <w:sz w:val="24"/>
          <w:szCs w:val="24"/>
        </w:rPr>
        <w:t>，联系电话：</w:t>
      </w:r>
      <w:r>
        <w:rPr>
          <w:rFonts w:hint="eastAsia" w:ascii="Times New Roman"/>
          <w:color w:val="000000"/>
          <w:sz w:val="24"/>
          <w:szCs w:val="24"/>
          <w:u w:val="single"/>
        </w:rPr>
        <w:t xml:space="preserve">           </w:t>
      </w:r>
      <w:r>
        <w:rPr>
          <w:rFonts w:hint="eastAsia" w:ascii="Times New Roman"/>
          <w:color w:val="000000"/>
          <w:sz w:val="24"/>
          <w:szCs w:val="24"/>
        </w:rPr>
        <w:t>。</w:t>
      </w:r>
    </w:p>
    <w:p w14:paraId="6AC7ADF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（二）乙方及其工作人员违反本协议第一、三条规定。根据具体情节和造成的后果，甲方有权对乙方采取以下一种或多种处理办法：</w:t>
      </w:r>
    </w:p>
    <w:p w14:paraId="50D4629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1. 全额收取乙方合同履约保证金不予退还； </w:t>
      </w:r>
    </w:p>
    <w:p w14:paraId="245B133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2. 追究乙方其他违约责任；</w:t>
      </w:r>
    </w:p>
    <w:p w14:paraId="1808038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3. 终止或解除双方已签订的包括本合同在内的所有合同；</w:t>
      </w:r>
    </w:p>
    <w:p w14:paraId="66AA66B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4. 乙方一定期限内（6个月至3年，具体由甲方根据情况而定）不得参与甲方作为发包人（业主）的工程项目投标。</w:t>
      </w:r>
    </w:p>
    <w:p w14:paraId="3AA5A02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甲方作出的处理意见，乙方应无条件接受并承担给甲方造成的损失，全额返还通过不正当手段从甲方获取的非法所得，并承担相应的法律责任。</w:t>
      </w:r>
    </w:p>
    <w:p w14:paraId="5A666E93">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第五条 双方约定</w:t>
      </w:r>
    </w:p>
    <w:p w14:paraId="0E2B2AB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7D9B0E2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第六条  本协议有效期为甲乙双方签署之日起至合同终止。  </w:t>
      </w:r>
    </w:p>
    <w:p w14:paraId="6837E49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第七条  本协议作为合同的附件，与本合同具有同等法律效力。</w:t>
      </w:r>
    </w:p>
    <w:p w14:paraId="0CB8BC7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 </w:t>
      </w:r>
    </w:p>
    <w:p w14:paraId="0DF1481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甲方（盖章）： </w:t>
      </w:r>
      <w:r>
        <w:rPr>
          <w:rFonts w:hint="eastAsia" w:ascii="Times New Roman"/>
          <w:color w:val="000000"/>
          <w:sz w:val="24"/>
          <w:szCs w:val="24"/>
          <w:u w:val="single"/>
        </w:rPr>
        <w:t xml:space="preserve">                  </w:t>
      </w:r>
      <w:r>
        <w:rPr>
          <w:rFonts w:hint="eastAsia" w:ascii="Times New Roman"/>
          <w:color w:val="000000"/>
          <w:sz w:val="24"/>
          <w:szCs w:val="24"/>
        </w:rPr>
        <w:t xml:space="preserve">     乙方（盖章）：</w:t>
      </w:r>
      <w:r>
        <w:rPr>
          <w:rFonts w:hint="eastAsia" w:ascii="Times New Roman"/>
          <w:color w:val="000000"/>
          <w:sz w:val="24"/>
          <w:szCs w:val="24"/>
          <w:u w:val="single"/>
        </w:rPr>
        <w:t xml:space="preserve">             </w:t>
      </w:r>
    </w:p>
    <w:p w14:paraId="090DA82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法定代表人或                          法定代表人或</w:t>
      </w:r>
    </w:p>
    <w:p w14:paraId="398FBF5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授权代表：</w:t>
      </w:r>
      <w:r>
        <w:rPr>
          <w:rFonts w:hint="eastAsia" w:ascii="Times New Roman"/>
          <w:color w:val="000000"/>
          <w:sz w:val="24"/>
          <w:szCs w:val="24"/>
          <w:u w:val="single"/>
        </w:rPr>
        <w:t xml:space="preserve">              </w:t>
      </w:r>
      <w:r>
        <w:rPr>
          <w:rFonts w:hint="eastAsia" w:ascii="Times New Roman"/>
          <w:color w:val="000000"/>
          <w:sz w:val="24"/>
          <w:szCs w:val="24"/>
        </w:rPr>
        <w:t>(职务)         授权代表：</w:t>
      </w:r>
      <w:r>
        <w:rPr>
          <w:rFonts w:hint="eastAsia" w:ascii="Times New Roman"/>
          <w:color w:val="000000"/>
          <w:sz w:val="24"/>
          <w:szCs w:val="24"/>
          <w:u w:val="single"/>
        </w:rPr>
        <w:t xml:space="preserve">             </w:t>
      </w:r>
      <w:r>
        <w:rPr>
          <w:rFonts w:hint="eastAsia" w:ascii="Times New Roman"/>
          <w:color w:val="000000"/>
          <w:sz w:val="24"/>
          <w:szCs w:val="24"/>
        </w:rPr>
        <w:t>(职务)</w:t>
      </w:r>
    </w:p>
    <w:p w14:paraId="52EBE0B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4BABB9B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7D911574">
      <w:pPr>
        <w:widowControl/>
        <w:spacing w:line="360" w:lineRule="auto"/>
        <w:ind w:firstLine="480" w:firstLineChars="200"/>
        <w:jc w:val="left"/>
        <w:rPr>
          <w:rFonts w:ascii="Times New Roman"/>
          <w:color w:val="000000"/>
          <w:sz w:val="24"/>
          <w:szCs w:val="24"/>
        </w:rPr>
      </w:pPr>
    </w:p>
    <w:p w14:paraId="2ADC1A4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廉政监督联系人                        廉政监督联系人</w:t>
      </w:r>
    </w:p>
    <w:p w14:paraId="39620DB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02ADAAC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1A3B2A3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电话：</w:t>
      </w:r>
      <w:r>
        <w:rPr>
          <w:rFonts w:hint="eastAsia" w:ascii="Times New Roman"/>
          <w:color w:val="000000"/>
          <w:sz w:val="24"/>
          <w:szCs w:val="24"/>
          <w:u w:val="single"/>
        </w:rPr>
        <w:t xml:space="preserve">                       </w:t>
      </w:r>
      <w:r>
        <w:rPr>
          <w:rFonts w:hint="eastAsia" w:ascii="Times New Roman"/>
          <w:color w:val="000000"/>
          <w:sz w:val="24"/>
          <w:szCs w:val="24"/>
        </w:rPr>
        <w:t xml:space="preserve">         电话：</w:t>
      </w:r>
      <w:r>
        <w:rPr>
          <w:rFonts w:hint="eastAsia" w:ascii="Times New Roman"/>
          <w:color w:val="000000"/>
          <w:sz w:val="24"/>
          <w:szCs w:val="24"/>
          <w:u w:val="single"/>
        </w:rPr>
        <w:t xml:space="preserve">                     </w:t>
      </w:r>
    </w:p>
    <w:p w14:paraId="52C54D64">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地址：</w:t>
      </w:r>
      <w:r>
        <w:rPr>
          <w:rFonts w:hint="eastAsia" w:ascii="Times New Roman"/>
          <w:color w:val="000000"/>
          <w:sz w:val="24"/>
          <w:szCs w:val="24"/>
          <w:u w:val="single"/>
        </w:rPr>
        <w:t xml:space="preserve">                       </w:t>
      </w:r>
      <w:r>
        <w:rPr>
          <w:rFonts w:hint="eastAsia" w:ascii="Times New Roman"/>
          <w:color w:val="000000"/>
          <w:sz w:val="24"/>
          <w:szCs w:val="24"/>
        </w:rPr>
        <w:t xml:space="preserve">         地址：</w:t>
      </w:r>
      <w:r>
        <w:rPr>
          <w:rFonts w:hint="eastAsia" w:ascii="Times New Roman"/>
          <w:color w:val="000000"/>
          <w:sz w:val="24"/>
          <w:szCs w:val="24"/>
          <w:u w:val="single"/>
        </w:rPr>
        <w:t xml:space="preserve">                     </w:t>
      </w:r>
    </w:p>
    <w:p w14:paraId="7233EB2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日期：</w:t>
      </w:r>
      <w:r>
        <w:rPr>
          <w:rFonts w:hint="eastAsia" w:ascii="Times New Roman"/>
          <w:color w:val="000000"/>
          <w:sz w:val="24"/>
          <w:szCs w:val="24"/>
          <w:u w:val="single"/>
        </w:rPr>
        <w:t xml:space="preserve">                       </w:t>
      </w:r>
      <w:r>
        <w:rPr>
          <w:rFonts w:hint="eastAsia" w:ascii="Times New Roman"/>
          <w:color w:val="000000"/>
          <w:sz w:val="24"/>
          <w:szCs w:val="24"/>
        </w:rPr>
        <w:t xml:space="preserve">         日期：</w:t>
      </w:r>
      <w:r>
        <w:rPr>
          <w:rFonts w:hint="eastAsia" w:ascii="Times New Roman"/>
          <w:color w:val="000000"/>
          <w:sz w:val="24"/>
          <w:szCs w:val="24"/>
          <w:u w:val="single"/>
        </w:rPr>
        <w:t xml:space="preserve">                     </w:t>
      </w:r>
    </w:p>
    <w:p w14:paraId="71E1C425">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47" w:name="_Toc128950244"/>
      <w:r>
        <w:rPr>
          <w:rFonts w:hint="eastAsia" w:ascii="Times New Roman" w:eastAsia="黑体"/>
          <w:color w:val="000000"/>
          <w:sz w:val="24"/>
          <w:szCs w:val="24"/>
        </w:rPr>
        <w:t>附件9：履约保证金</w:t>
      </w:r>
      <w:bookmarkEnd w:id="647"/>
    </w:p>
    <w:p w14:paraId="1C09174C">
      <w:pPr>
        <w:spacing w:line="360" w:lineRule="auto"/>
        <w:jc w:val="center"/>
        <w:rPr>
          <w:rFonts w:hAnsi="宋体"/>
          <w:b/>
          <w:bCs/>
          <w:color w:val="000000"/>
          <w:sz w:val="24"/>
          <w:szCs w:val="24"/>
        </w:rPr>
      </w:pPr>
      <w:r>
        <w:rPr>
          <w:rFonts w:hint="eastAsia" w:hAnsi="宋体"/>
          <w:b/>
          <w:bCs/>
          <w:color w:val="000000"/>
          <w:sz w:val="24"/>
          <w:szCs w:val="24"/>
        </w:rPr>
        <w:t>履约保函示范文本</w:t>
      </w:r>
    </w:p>
    <w:p w14:paraId="78123AB7">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1F1DD76B">
      <w:pPr>
        <w:spacing w:line="360" w:lineRule="auto"/>
        <w:rPr>
          <w:rFonts w:ascii="Times New Roman"/>
          <w:color w:val="000000"/>
          <w:sz w:val="24"/>
          <w:szCs w:val="24"/>
        </w:rPr>
      </w:pPr>
    </w:p>
    <w:p w14:paraId="61FAF567">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16554E92">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（以下简称“基础合同”），开立人根据基础合同了解到申请人为基础合同项下之承包人，受益人为基础合同项下之发包人，基于申请人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项下的义务</w:t>
      </w:r>
      <w:r>
        <w:rPr>
          <w:rFonts w:hint="eastAsia" w:ascii="Times New Roman"/>
          <w:color w:val="000000"/>
          <w:sz w:val="24"/>
          <w:szCs w:val="24"/>
        </w:rPr>
        <w:t>，</w:t>
      </w:r>
      <w:r>
        <w:rPr>
          <w:rFonts w:ascii="Times New Roman"/>
          <w:color w:val="000000"/>
          <w:sz w:val="24"/>
          <w:szCs w:val="24"/>
        </w:rPr>
        <w:t>向</w:t>
      </w:r>
      <w:r>
        <w:rPr>
          <w:rFonts w:hint="eastAsia" w:ascii="Times New Roman"/>
          <w:color w:val="000000"/>
          <w:sz w:val="24"/>
          <w:szCs w:val="24"/>
        </w:rPr>
        <w:t>受益人</w:t>
      </w:r>
      <w:r>
        <w:rPr>
          <w:rFonts w:ascii="Times New Roman"/>
          <w:color w:val="000000"/>
          <w:sz w:val="24"/>
          <w:szCs w:val="24"/>
        </w:rPr>
        <w:t>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7597A0D0">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一、本保函担保范围：承包人未按照基础合同的约定履行义务，应当向受益人承担的违约责任和赔偿因此造成的损失、利息、律师费、诉讼费用等实现债权的费用。</w:t>
      </w:r>
    </w:p>
    <w:p w14:paraId="03C61C56">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s="宋体"/>
          <w:color w:val="000000"/>
          <w:sz w:val="24"/>
          <w:szCs w:val="24"/>
        </w:rPr>
        <w:t>¥</w:t>
      </w:r>
      <w:r>
        <w:rPr>
          <w:rFonts w:ascii="Times New Roman"/>
          <w:color w:val="000000"/>
          <w:sz w:val="24"/>
          <w:szCs w:val="24"/>
          <w:u w:val="single"/>
        </w:rPr>
        <w:t xml:space="preserve">       </w:t>
      </w:r>
      <w:r>
        <w:rPr>
          <w:rFonts w:ascii="Times New Roman"/>
          <w:color w:val="000000"/>
          <w:sz w:val="24"/>
          <w:szCs w:val="24"/>
        </w:rPr>
        <w:t xml:space="preserve">）。 </w:t>
      </w:r>
    </w:p>
    <w:p w14:paraId="678923F6">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基础合同约定的缺陷责任期满之日止</w:t>
      </w:r>
      <w:r>
        <w:rPr>
          <w:rFonts w:ascii="Times New Roman"/>
          <w:color w:val="000000"/>
          <w:sz w:val="24"/>
          <w:szCs w:val="24"/>
        </w:rPr>
        <w:t xml:space="preserve">。 </w:t>
      </w:r>
    </w:p>
    <w:p w14:paraId="005ED96D">
      <w:pPr>
        <w:spacing w:line="360" w:lineRule="auto"/>
        <w:ind w:firstLine="480"/>
        <w:rPr>
          <w:rFonts w:ascii="Times New Roman"/>
          <w:color w:val="000000"/>
          <w:sz w:val="24"/>
          <w:szCs w:val="24"/>
        </w:rPr>
      </w:pPr>
      <w:bookmarkStart w:id="648" w:name="_Hlk40302764"/>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bookmarkEnd w:id="648"/>
    <w:p w14:paraId="30E41B85">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72D07482">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4B5BEA42">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3D70D9C4">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1E4FE86F">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5074C53B">
      <w:pPr>
        <w:spacing w:line="360" w:lineRule="auto"/>
        <w:ind w:firstLine="480" w:firstLineChars="200"/>
        <w:rPr>
          <w:rFonts w:ascii="Times New Roman"/>
          <w:color w:val="000000"/>
          <w:sz w:val="24"/>
          <w:szCs w:val="24"/>
        </w:rPr>
      </w:pPr>
      <w:bookmarkStart w:id="649" w:name="_Hlk40303486"/>
      <w:r>
        <w:rPr>
          <w:rFonts w:hint="eastAsia" w:ascii="Times New Roman"/>
          <w:color w:val="000000"/>
          <w:sz w:val="24"/>
          <w:szCs w:val="24"/>
        </w:rPr>
        <w:t>受益人发出的书面付款通知应由其法定代表人（负责人）或授权代理人签字并加盖公章。</w:t>
      </w:r>
      <w:bookmarkEnd w:id="649"/>
    </w:p>
    <w:p w14:paraId="15BC04EE">
      <w:pPr>
        <w:spacing w:line="360" w:lineRule="auto"/>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未经我方书面同意转 让本保函或其项下任何权利，</w:t>
      </w:r>
      <w:r>
        <w:rPr>
          <w:rFonts w:hint="eastAsia" w:ascii="Times New Roman"/>
          <w:color w:val="000000"/>
          <w:sz w:val="24"/>
          <w:szCs w:val="24"/>
        </w:rPr>
        <w:t>对我方不发生法律效力</w:t>
      </w:r>
      <w:r>
        <w:rPr>
          <w:rFonts w:ascii="Times New Roman"/>
          <w:color w:val="000000"/>
          <w:sz w:val="24"/>
          <w:szCs w:val="24"/>
        </w:rPr>
        <w:t xml:space="preserve">。 </w:t>
      </w:r>
    </w:p>
    <w:p w14:paraId="47D68164">
      <w:pPr>
        <w:spacing w:line="360" w:lineRule="auto"/>
        <w:ind w:firstLine="480" w:firstLineChars="200"/>
        <w:rPr>
          <w:rFonts w:ascii="Times New Roman"/>
          <w:color w:val="000000"/>
          <w:sz w:val="24"/>
          <w:szCs w:val="24"/>
        </w:rPr>
      </w:pPr>
      <w:r>
        <w:rPr>
          <w:rFonts w:hint="eastAsia" w:ascii="Times New Roman"/>
          <w:color w:val="000000"/>
          <w:sz w:val="24"/>
          <w:szCs w:val="24"/>
        </w:rPr>
        <w:t>六、与</w:t>
      </w:r>
      <w:r>
        <w:rPr>
          <w:rFonts w:ascii="Times New Roman"/>
          <w:color w:val="000000"/>
          <w:sz w:val="24"/>
          <w:szCs w:val="24"/>
        </w:rPr>
        <w:t>本保函</w:t>
      </w:r>
      <w:r>
        <w:rPr>
          <w:rFonts w:hint="eastAsia" w:ascii="Times New Roman"/>
          <w:color w:val="000000"/>
          <w:sz w:val="24"/>
          <w:szCs w:val="24"/>
        </w:rPr>
        <w:t>有关</w:t>
      </w:r>
      <w:r>
        <w:rPr>
          <w:rFonts w:ascii="Times New Roman"/>
          <w:color w:val="000000"/>
          <w:sz w:val="24"/>
          <w:szCs w:val="24"/>
        </w:rPr>
        <w:t>的</w:t>
      </w:r>
      <w:r>
        <w:rPr>
          <w:rFonts w:hint="eastAsia" w:ascii="Times New Roman"/>
          <w:color w:val="000000"/>
          <w:sz w:val="24"/>
          <w:szCs w:val="24"/>
        </w:rPr>
        <w:t>基础</w:t>
      </w:r>
      <w:r>
        <w:rPr>
          <w:rFonts w:ascii="Times New Roman"/>
          <w:color w:val="000000"/>
          <w:sz w:val="24"/>
          <w:szCs w:val="24"/>
        </w:rPr>
        <w:t xml:space="preserve">合同不成立、不生效、无效、被撤销、被解除，不影响本保函的独立有效。 </w:t>
      </w:r>
    </w:p>
    <w:p w14:paraId="4252E5E6">
      <w:pPr>
        <w:spacing w:line="360" w:lineRule="auto"/>
        <w:ind w:firstLine="480" w:firstLineChars="200"/>
        <w:rPr>
          <w:rFonts w:ascii="Times New Roman"/>
          <w:color w:val="000000"/>
          <w:sz w:val="24"/>
          <w:szCs w:val="24"/>
        </w:rPr>
      </w:pPr>
      <w:bookmarkStart w:id="650" w:name="_Hlk40303383"/>
      <w:bookmarkStart w:id="651" w:name="_Hlk40354981"/>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080A7243">
      <w:pPr>
        <w:spacing w:line="360" w:lineRule="auto"/>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w:t>
      </w:r>
      <w:bookmarkEnd w:id="650"/>
      <w:r>
        <w:rPr>
          <w:rFonts w:hint="eastAsia" w:ascii="Times New Roman"/>
          <w:color w:val="000000"/>
          <w:sz w:val="24"/>
          <w:szCs w:val="24"/>
        </w:rPr>
        <w:t>由受益人所在地人民法院管辖。</w:t>
      </w:r>
      <w:r>
        <w:rPr>
          <w:rFonts w:ascii="Times New Roman"/>
          <w:color w:val="000000"/>
          <w:sz w:val="24"/>
          <w:szCs w:val="24"/>
        </w:rPr>
        <w:t xml:space="preserve"> </w:t>
      </w:r>
    </w:p>
    <w:bookmarkEnd w:id="651"/>
    <w:p w14:paraId="1F3DF534">
      <w:pPr>
        <w:spacing w:line="360" w:lineRule="auto"/>
        <w:ind w:firstLine="480" w:firstLineChars="200"/>
        <w:rPr>
          <w:rFonts w:hint="eastAsia"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61870FFD">
      <w:pPr>
        <w:spacing w:line="360" w:lineRule="auto"/>
        <w:ind w:firstLine="480" w:firstLineChars="200"/>
        <w:rPr>
          <w:rFonts w:hint="eastAsia" w:ascii="Times New Roman"/>
          <w:color w:val="000000"/>
          <w:sz w:val="24"/>
          <w:szCs w:val="24"/>
        </w:rPr>
      </w:pPr>
    </w:p>
    <w:p w14:paraId="7A0C4DA5">
      <w:pPr>
        <w:spacing w:line="360" w:lineRule="auto"/>
        <w:ind w:firstLine="480" w:firstLineChars="200"/>
        <w:rPr>
          <w:rFonts w:hint="eastAsia" w:ascii="Times New Roman"/>
          <w:color w:val="000000"/>
          <w:sz w:val="24"/>
          <w:szCs w:val="24"/>
        </w:rPr>
      </w:pPr>
    </w:p>
    <w:p w14:paraId="608134DB">
      <w:pPr>
        <w:spacing w:line="360" w:lineRule="auto"/>
        <w:ind w:firstLine="480" w:firstLineChars="200"/>
        <w:rPr>
          <w:rFonts w:ascii="Times New Roman"/>
          <w:color w:val="000000"/>
          <w:sz w:val="24"/>
          <w:szCs w:val="24"/>
        </w:rPr>
      </w:pPr>
    </w:p>
    <w:p w14:paraId="25340FA7">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3BE93369">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29F7D7DC">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04519D38">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3450CA5A">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287BFE00">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2AFDC5F">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5B45BA37">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52" w:name="_Toc128950245"/>
      <w:r>
        <w:rPr>
          <w:rFonts w:hint="eastAsia" w:ascii="Times New Roman" w:eastAsia="黑体"/>
          <w:color w:val="000000"/>
          <w:sz w:val="24"/>
          <w:szCs w:val="24"/>
        </w:rPr>
        <w:t>附</w:t>
      </w:r>
      <w:bookmarkStart w:id="653" w:name="_Toc296891272"/>
      <w:bookmarkStart w:id="654" w:name="_Toc296944571"/>
      <w:bookmarkStart w:id="655" w:name="_Toc296503232"/>
      <w:bookmarkStart w:id="656" w:name="_Toc296346733"/>
      <w:bookmarkStart w:id="657" w:name="_Toc296891060"/>
      <w:bookmarkStart w:id="658" w:name="_Toc296347231"/>
      <w:bookmarkStart w:id="659" w:name="_Toc267261702"/>
      <w:r>
        <w:rPr>
          <w:rFonts w:hint="eastAsia" w:ascii="Times New Roman" w:eastAsia="黑体"/>
          <w:color w:val="000000"/>
          <w:sz w:val="24"/>
          <w:szCs w:val="24"/>
        </w:rPr>
        <w:t>件10：预付款担保</w:t>
      </w:r>
      <w:bookmarkEnd w:id="652"/>
    </w:p>
    <w:bookmarkEnd w:id="653"/>
    <w:bookmarkEnd w:id="654"/>
    <w:bookmarkEnd w:id="655"/>
    <w:bookmarkEnd w:id="656"/>
    <w:bookmarkEnd w:id="657"/>
    <w:bookmarkEnd w:id="658"/>
    <w:bookmarkEnd w:id="659"/>
    <w:p w14:paraId="330D5129">
      <w:pPr>
        <w:spacing w:line="360" w:lineRule="auto"/>
        <w:jc w:val="center"/>
        <w:rPr>
          <w:rFonts w:ascii="Times New Roman"/>
          <w:b/>
          <w:bCs/>
          <w:color w:val="000000"/>
          <w:sz w:val="24"/>
          <w:szCs w:val="24"/>
        </w:rPr>
      </w:pPr>
      <w:r>
        <w:rPr>
          <w:rFonts w:hint="eastAsia" w:ascii="Times New Roman"/>
          <w:b/>
          <w:bCs/>
          <w:color w:val="000000"/>
          <w:sz w:val="24"/>
          <w:szCs w:val="24"/>
        </w:rPr>
        <w:t>预付款保函示范文本</w:t>
      </w:r>
    </w:p>
    <w:p w14:paraId="6CB3C1A0">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C3F3671">
      <w:pPr>
        <w:spacing w:line="360" w:lineRule="auto"/>
        <w:rPr>
          <w:rFonts w:ascii="Times New Roman"/>
          <w:color w:val="000000"/>
          <w:sz w:val="24"/>
          <w:szCs w:val="24"/>
        </w:rPr>
      </w:pPr>
    </w:p>
    <w:p w14:paraId="24332EC9">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1C96489C">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（以下简称“基础合同”），开立人根据主合同了解到申请人为主合同项下之承包人，受益人为主合同项下之发包人，基于申请人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申请人按照合同约定正确和合理地为合同目的使用预付款，</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4309411A">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一、本保函担保范围：申请人未按照合同约定正确和合理地为合同目的使用预付款，应当向受益人承担的违约责任和赔偿因此造成的损失、利息、律师费、诉讼费用等实现债权的费用。</w:t>
      </w:r>
    </w:p>
    <w:p w14:paraId="0AA4074E">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5A89D9C9">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发包人全额扣回预付款之日止。</w:t>
      </w:r>
    </w:p>
    <w:p w14:paraId="363E9DD4">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609BDBF6">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64C846EF">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07D74C6F">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773CD09F">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352BC2F0">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128A70D1">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352E965C">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1E6504EE">
      <w:pPr>
        <w:spacing w:line="400" w:lineRule="exact"/>
        <w:ind w:firstLine="480" w:firstLineChars="200"/>
        <w:rPr>
          <w:rStyle w:val="33"/>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044D155C">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4CB80869">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适用的法律为中华人民共和国法律，因本保函产生的纠纷案件，由受益人所在地人民法院管辖。</w:t>
      </w:r>
      <w:r>
        <w:rPr>
          <w:rFonts w:ascii="Times New Roman"/>
          <w:color w:val="000000"/>
          <w:sz w:val="24"/>
          <w:szCs w:val="24"/>
        </w:rPr>
        <w:t xml:space="preserve"> </w:t>
      </w:r>
    </w:p>
    <w:p w14:paraId="00F95FC6">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1EF2B71C">
      <w:pPr>
        <w:spacing w:line="360" w:lineRule="auto"/>
        <w:ind w:firstLine="480" w:firstLineChars="200"/>
        <w:rPr>
          <w:rFonts w:ascii="Times New Roman"/>
          <w:color w:val="000000"/>
          <w:sz w:val="24"/>
          <w:szCs w:val="24"/>
        </w:rPr>
      </w:pPr>
    </w:p>
    <w:p w14:paraId="65FC5ECB">
      <w:pPr>
        <w:spacing w:line="360" w:lineRule="auto"/>
        <w:ind w:firstLine="480" w:firstLineChars="200"/>
        <w:rPr>
          <w:rFonts w:ascii="Times New Roman"/>
          <w:color w:val="000000"/>
          <w:sz w:val="24"/>
          <w:szCs w:val="24"/>
        </w:rPr>
      </w:pPr>
    </w:p>
    <w:p w14:paraId="65D74D07">
      <w:pPr>
        <w:spacing w:line="360" w:lineRule="auto"/>
        <w:ind w:firstLine="480" w:firstLineChars="200"/>
        <w:rPr>
          <w:rFonts w:ascii="Times New Roman"/>
          <w:color w:val="000000"/>
          <w:sz w:val="24"/>
          <w:szCs w:val="24"/>
        </w:rPr>
      </w:pPr>
    </w:p>
    <w:p w14:paraId="5F4C3372">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74C1CFBA">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38F9759C">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0C90A595">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7F28D5A0">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3CC7E9CE">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61FB1278">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2D744D5B">
      <w:pPr>
        <w:spacing w:before="240" w:beforeLines="100" w:after="240" w:afterLines="100"/>
        <w:outlineLvl w:val="2"/>
        <w:rPr>
          <w:rFonts w:hint="eastAsia" w:ascii="Times New Roman" w:eastAsia="黑体"/>
          <w:color w:val="000000"/>
          <w:sz w:val="24"/>
          <w:szCs w:val="24"/>
        </w:rPr>
      </w:pPr>
      <w:r>
        <w:rPr>
          <w:rFonts w:ascii="Times New Roman" w:eastAsia="黑体"/>
          <w:b/>
          <w:bCs/>
          <w:color w:val="000000"/>
          <w:sz w:val="24"/>
          <w:szCs w:val="24"/>
        </w:rPr>
        <w:br w:type="page"/>
      </w:r>
      <w:bookmarkStart w:id="660" w:name="_Toc128950246"/>
      <w:r>
        <w:rPr>
          <w:rFonts w:hint="eastAsia" w:ascii="Times New Roman" w:eastAsia="黑体"/>
          <w:color w:val="000000"/>
          <w:sz w:val="24"/>
          <w:szCs w:val="24"/>
        </w:rPr>
        <w:t>附</w:t>
      </w:r>
      <w:bookmarkStart w:id="661" w:name="_Toc296944572"/>
      <w:bookmarkStart w:id="662" w:name="_Toc296503233"/>
      <w:bookmarkStart w:id="663" w:name="_Toc296891061"/>
      <w:bookmarkStart w:id="664" w:name="_Toc296346734"/>
      <w:bookmarkStart w:id="665" w:name="_Toc296347232"/>
      <w:bookmarkStart w:id="666" w:name="_Toc296891273"/>
      <w:r>
        <w:rPr>
          <w:rFonts w:hint="eastAsia" w:ascii="Times New Roman" w:eastAsia="黑体"/>
          <w:color w:val="000000"/>
          <w:sz w:val="24"/>
          <w:szCs w:val="24"/>
        </w:rPr>
        <w:t>件</w:t>
      </w:r>
      <w:r>
        <w:rPr>
          <w:rFonts w:ascii="Times New Roman" w:eastAsia="黑体"/>
          <w:color w:val="000000"/>
          <w:sz w:val="24"/>
          <w:szCs w:val="24"/>
        </w:rPr>
        <w:t>1</w:t>
      </w:r>
      <w:r>
        <w:rPr>
          <w:rFonts w:hint="eastAsia" w:ascii="Times New Roman" w:eastAsia="黑体"/>
          <w:color w:val="000000"/>
          <w:sz w:val="24"/>
          <w:szCs w:val="24"/>
        </w:rPr>
        <w:t>1：支付担保</w:t>
      </w:r>
      <w:bookmarkEnd w:id="660"/>
      <w:bookmarkEnd w:id="661"/>
      <w:bookmarkEnd w:id="662"/>
      <w:bookmarkEnd w:id="663"/>
      <w:bookmarkEnd w:id="664"/>
      <w:bookmarkEnd w:id="665"/>
      <w:bookmarkEnd w:id="666"/>
    </w:p>
    <w:p w14:paraId="59CECA72">
      <w:pPr>
        <w:spacing w:line="360" w:lineRule="auto"/>
        <w:jc w:val="center"/>
        <w:rPr>
          <w:rFonts w:ascii="Times New Roman"/>
          <w:b/>
          <w:bCs/>
          <w:color w:val="000000"/>
          <w:sz w:val="24"/>
          <w:szCs w:val="24"/>
        </w:rPr>
      </w:pPr>
      <w:r>
        <w:rPr>
          <w:rFonts w:hint="eastAsia" w:ascii="Times New Roman"/>
          <w:b/>
          <w:bCs/>
          <w:color w:val="000000"/>
          <w:sz w:val="24"/>
          <w:szCs w:val="24"/>
        </w:rPr>
        <w:t>支付保函示范文本</w:t>
      </w:r>
    </w:p>
    <w:p w14:paraId="3A46D086">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4481FE73">
      <w:pPr>
        <w:spacing w:line="360" w:lineRule="auto"/>
        <w:rPr>
          <w:rFonts w:ascii="Times New Roman"/>
          <w:color w:val="000000"/>
          <w:sz w:val="24"/>
          <w:szCs w:val="24"/>
        </w:rPr>
      </w:pPr>
    </w:p>
    <w:p w14:paraId="505E6DFB">
      <w:pPr>
        <w:spacing w:line="360" w:lineRule="auto"/>
        <w:rPr>
          <w:rFonts w:ascii="Times New Roman"/>
          <w:color w:val="000000"/>
          <w:sz w:val="24"/>
          <w:szCs w:val="24"/>
        </w:rPr>
      </w:pPr>
      <w:bookmarkStart w:id="667" w:name="_Hlk40355074"/>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bookmarkEnd w:id="667"/>
    <w:p w14:paraId="29B96434">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（以下简称基础合同”），开立人根据基础合同了解到申请人为基础合同项下之发包人，受益人为基础合同项下之承包人，基于申请人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w:t>
      </w:r>
      <w:r>
        <w:rPr>
          <w:rFonts w:hint="eastAsia" w:ascii="Times New Roman"/>
          <w:color w:val="000000"/>
          <w:sz w:val="24"/>
          <w:szCs w:val="24"/>
        </w:rPr>
        <w:t>工程款（指基础合同约定的除工程质量保修金以外的工程款）付款</w:t>
      </w:r>
      <w:r>
        <w:rPr>
          <w:rFonts w:ascii="Times New Roman"/>
          <w:color w:val="000000"/>
          <w:sz w:val="24"/>
          <w:szCs w:val="24"/>
        </w:rPr>
        <w:t>义务</w:t>
      </w:r>
      <w:r>
        <w:rPr>
          <w:rFonts w:hint="eastAsia" w:ascii="Times New Roman"/>
          <w:color w:val="000000"/>
          <w:sz w:val="24"/>
          <w:szCs w:val="24"/>
        </w:rPr>
        <w:t>，</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05906AAC">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一、本保函担保范围：申请人未履行基础合同约定的工程款支付义务，应当向受益人承担的违约责任和赔偿因此造成的损失、利息、律师费、诉讼费用等实现债权的费用。</w:t>
      </w:r>
    </w:p>
    <w:p w14:paraId="53866AC3">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787ACBC0">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基础合同约定的除工程质量保修金以外的全部工程结算款项支付之日后</w:t>
      </w:r>
      <w:r>
        <w:rPr>
          <w:rFonts w:hint="eastAsia" w:ascii="Times New Roman"/>
          <w:color w:val="000000"/>
          <w:sz w:val="24"/>
          <w:szCs w:val="24"/>
          <w:u w:val="single"/>
        </w:rPr>
        <w:t xml:space="preserve">    </w:t>
      </w:r>
      <w:r>
        <w:rPr>
          <w:rFonts w:hint="eastAsia" w:ascii="Times New Roman"/>
          <w:color w:val="000000"/>
          <w:sz w:val="24"/>
          <w:szCs w:val="24"/>
        </w:rPr>
        <w:t>日止</w:t>
      </w:r>
      <w:r>
        <w:rPr>
          <w:rFonts w:ascii="Times New Roman"/>
          <w:color w:val="000000"/>
          <w:sz w:val="24"/>
          <w:szCs w:val="24"/>
        </w:rPr>
        <w:t xml:space="preserve">。 </w:t>
      </w:r>
    </w:p>
    <w:p w14:paraId="215B7537">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2D8DA9AE">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16766640">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61E77100">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7AD054D4">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28A5048D">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388D0DD1">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3BB420C3">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6909F728">
      <w:pPr>
        <w:spacing w:line="400" w:lineRule="exact"/>
        <w:ind w:firstLine="480" w:firstLineChars="200"/>
        <w:rPr>
          <w:rStyle w:val="33"/>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1FA6AFFA">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046A0244">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适用的法律为中华人民共和国法律，因本保函产生的纠纷案件，由申请人所在地人民法院管辖。</w:t>
      </w:r>
      <w:r>
        <w:rPr>
          <w:rFonts w:ascii="Times New Roman"/>
          <w:color w:val="000000"/>
          <w:sz w:val="24"/>
          <w:szCs w:val="24"/>
        </w:rPr>
        <w:t xml:space="preserve"> </w:t>
      </w:r>
    </w:p>
    <w:p w14:paraId="01B35292">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6B8AA826">
      <w:pPr>
        <w:spacing w:line="360" w:lineRule="auto"/>
        <w:ind w:firstLine="480" w:firstLineChars="200"/>
        <w:rPr>
          <w:rFonts w:ascii="Times New Roman"/>
          <w:color w:val="000000"/>
          <w:sz w:val="24"/>
          <w:szCs w:val="24"/>
        </w:rPr>
      </w:pPr>
    </w:p>
    <w:p w14:paraId="397A9CB2">
      <w:pPr>
        <w:spacing w:line="360" w:lineRule="auto"/>
        <w:ind w:firstLine="480" w:firstLineChars="200"/>
        <w:rPr>
          <w:rFonts w:ascii="Times New Roman"/>
          <w:color w:val="000000"/>
          <w:sz w:val="24"/>
          <w:szCs w:val="24"/>
        </w:rPr>
      </w:pPr>
    </w:p>
    <w:p w14:paraId="22169F79">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422D699D">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5C07EBF9">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25E17161">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5FE14C8B">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0EA13048">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F6D4544">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44BAD74E">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68" w:name="_Toc128950247"/>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2：暂估价一览表</w:t>
      </w:r>
      <w:bookmarkEnd w:id="668"/>
    </w:p>
    <w:p w14:paraId="1B5D9F26">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-1</w:t>
      </w:r>
      <w:r>
        <w:rPr>
          <w:rFonts w:hint="eastAsia" w:ascii="Times New Roman"/>
          <w:color w:val="000000"/>
          <w:sz w:val="24"/>
          <w:szCs w:val="24"/>
        </w:rPr>
        <w:t>：材料暂估价表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D5E3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noWrap w:val="0"/>
            <w:vAlign w:val="center"/>
          </w:tcPr>
          <w:p w14:paraId="526A4009">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094" w:type="pct"/>
            <w:tcBorders>
              <w:top w:val="single" w:color="auto" w:sz="12" w:space="0"/>
              <w:bottom w:val="double" w:color="auto" w:sz="6" w:space="0"/>
            </w:tcBorders>
            <w:noWrap w:val="0"/>
            <w:vAlign w:val="center"/>
          </w:tcPr>
          <w:p w14:paraId="04A456A5">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468" w:type="pct"/>
            <w:tcBorders>
              <w:top w:val="single" w:color="auto" w:sz="12" w:space="0"/>
              <w:bottom w:val="double" w:color="auto" w:sz="6" w:space="0"/>
            </w:tcBorders>
            <w:noWrap w:val="0"/>
            <w:vAlign w:val="center"/>
          </w:tcPr>
          <w:p w14:paraId="17FFE34E">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426" w:type="pct"/>
            <w:tcBorders>
              <w:top w:val="single" w:color="auto" w:sz="12" w:space="0"/>
              <w:bottom w:val="double" w:color="auto" w:sz="6" w:space="0"/>
            </w:tcBorders>
            <w:noWrap w:val="0"/>
            <w:vAlign w:val="center"/>
          </w:tcPr>
          <w:p w14:paraId="4D9BED79">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745" w:type="pct"/>
            <w:tcBorders>
              <w:top w:val="single" w:color="auto" w:sz="12" w:space="0"/>
              <w:bottom w:val="double" w:color="auto" w:sz="6" w:space="0"/>
            </w:tcBorders>
            <w:noWrap w:val="0"/>
            <w:vAlign w:val="center"/>
          </w:tcPr>
          <w:p w14:paraId="4935CCF6">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781" w:type="pct"/>
            <w:tcBorders>
              <w:top w:val="single" w:color="auto" w:sz="12" w:space="0"/>
              <w:bottom w:val="double" w:color="auto" w:sz="6" w:space="0"/>
            </w:tcBorders>
            <w:noWrap w:val="0"/>
            <w:vAlign w:val="center"/>
          </w:tcPr>
          <w:p w14:paraId="52A0115C">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938" w:type="pct"/>
            <w:tcBorders>
              <w:top w:val="single" w:color="auto" w:sz="12" w:space="0"/>
              <w:bottom w:val="double" w:color="auto" w:sz="6" w:space="0"/>
            </w:tcBorders>
            <w:noWrap w:val="0"/>
            <w:vAlign w:val="center"/>
          </w:tcPr>
          <w:p w14:paraId="272E03DC">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69513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noWrap w:val="0"/>
            <w:vAlign w:val="center"/>
          </w:tcPr>
          <w:p w14:paraId="571BD913">
            <w:pPr>
              <w:keepNext/>
              <w:spacing w:line="440" w:lineRule="exact"/>
              <w:jc w:val="center"/>
              <w:rPr>
                <w:rFonts w:ascii="Times New Roman"/>
                <w:color w:val="000000"/>
                <w:sz w:val="24"/>
                <w:szCs w:val="24"/>
              </w:rPr>
            </w:pPr>
          </w:p>
        </w:tc>
        <w:tc>
          <w:tcPr>
            <w:tcW w:w="1094" w:type="pct"/>
            <w:tcBorders>
              <w:top w:val="double" w:color="auto" w:sz="6" w:space="0"/>
            </w:tcBorders>
            <w:noWrap w:val="0"/>
            <w:vAlign w:val="center"/>
          </w:tcPr>
          <w:p w14:paraId="0FD56C7A">
            <w:pPr>
              <w:keepNext/>
              <w:spacing w:line="440" w:lineRule="exact"/>
              <w:jc w:val="center"/>
              <w:rPr>
                <w:rFonts w:ascii="Times New Roman"/>
                <w:color w:val="000000"/>
                <w:sz w:val="24"/>
                <w:szCs w:val="24"/>
              </w:rPr>
            </w:pPr>
          </w:p>
        </w:tc>
        <w:tc>
          <w:tcPr>
            <w:tcW w:w="468" w:type="pct"/>
            <w:tcBorders>
              <w:top w:val="double" w:color="auto" w:sz="6" w:space="0"/>
            </w:tcBorders>
            <w:noWrap w:val="0"/>
            <w:vAlign w:val="center"/>
          </w:tcPr>
          <w:p w14:paraId="59CCB34B">
            <w:pPr>
              <w:keepNext/>
              <w:spacing w:line="440" w:lineRule="exact"/>
              <w:jc w:val="center"/>
              <w:rPr>
                <w:rFonts w:ascii="Times New Roman"/>
                <w:color w:val="000000"/>
                <w:sz w:val="24"/>
                <w:szCs w:val="24"/>
              </w:rPr>
            </w:pPr>
          </w:p>
        </w:tc>
        <w:tc>
          <w:tcPr>
            <w:tcW w:w="426" w:type="pct"/>
            <w:tcBorders>
              <w:top w:val="double" w:color="auto" w:sz="6" w:space="0"/>
            </w:tcBorders>
            <w:noWrap w:val="0"/>
            <w:vAlign w:val="center"/>
          </w:tcPr>
          <w:p w14:paraId="1B75804B">
            <w:pPr>
              <w:keepNext/>
              <w:spacing w:line="440" w:lineRule="exact"/>
              <w:jc w:val="center"/>
              <w:rPr>
                <w:rFonts w:ascii="Times New Roman"/>
                <w:color w:val="000000"/>
                <w:sz w:val="24"/>
                <w:szCs w:val="24"/>
              </w:rPr>
            </w:pPr>
          </w:p>
        </w:tc>
        <w:tc>
          <w:tcPr>
            <w:tcW w:w="745" w:type="pct"/>
            <w:tcBorders>
              <w:top w:val="double" w:color="auto" w:sz="6" w:space="0"/>
            </w:tcBorders>
            <w:noWrap w:val="0"/>
            <w:vAlign w:val="center"/>
          </w:tcPr>
          <w:p w14:paraId="6BA8B6FB">
            <w:pPr>
              <w:keepNext/>
              <w:spacing w:line="440" w:lineRule="exact"/>
              <w:jc w:val="center"/>
              <w:rPr>
                <w:rFonts w:ascii="Times New Roman"/>
                <w:color w:val="000000"/>
                <w:sz w:val="24"/>
                <w:szCs w:val="24"/>
              </w:rPr>
            </w:pPr>
          </w:p>
        </w:tc>
        <w:tc>
          <w:tcPr>
            <w:tcW w:w="781" w:type="pct"/>
            <w:tcBorders>
              <w:top w:val="double" w:color="auto" w:sz="6" w:space="0"/>
            </w:tcBorders>
            <w:noWrap w:val="0"/>
            <w:vAlign w:val="center"/>
          </w:tcPr>
          <w:p w14:paraId="0615BB55">
            <w:pPr>
              <w:keepNext/>
              <w:spacing w:line="440" w:lineRule="exact"/>
              <w:jc w:val="center"/>
              <w:rPr>
                <w:rFonts w:ascii="Times New Roman"/>
                <w:color w:val="000000"/>
                <w:sz w:val="24"/>
                <w:szCs w:val="24"/>
              </w:rPr>
            </w:pPr>
          </w:p>
        </w:tc>
        <w:tc>
          <w:tcPr>
            <w:tcW w:w="938" w:type="pct"/>
            <w:tcBorders>
              <w:top w:val="double" w:color="auto" w:sz="6" w:space="0"/>
            </w:tcBorders>
            <w:noWrap w:val="0"/>
            <w:vAlign w:val="center"/>
          </w:tcPr>
          <w:p w14:paraId="62635A88">
            <w:pPr>
              <w:keepNext/>
              <w:spacing w:line="440" w:lineRule="exact"/>
              <w:jc w:val="center"/>
              <w:rPr>
                <w:rFonts w:ascii="Times New Roman"/>
                <w:color w:val="000000"/>
                <w:sz w:val="24"/>
                <w:szCs w:val="24"/>
              </w:rPr>
            </w:pPr>
          </w:p>
        </w:tc>
      </w:tr>
      <w:tr w14:paraId="5AC16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noWrap w:val="0"/>
            <w:vAlign w:val="center"/>
          </w:tcPr>
          <w:p w14:paraId="31E10D13">
            <w:pPr>
              <w:keepNext/>
              <w:spacing w:line="440" w:lineRule="exact"/>
              <w:jc w:val="center"/>
              <w:rPr>
                <w:rFonts w:ascii="Times New Roman"/>
                <w:color w:val="000000"/>
                <w:sz w:val="24"/>
                <w:szCs w:val="24"/>
              </w:rPr>
            </w:pPr>
          </w:p>
        </w:tc>
        <w:tc>
          <w:tcPr>
            <w:tcW w:w="1094" w:type="pct"/>
            <w:tcBorders>
              <w:top w:val="nil"/>
            </w:tcBorders>
            <w:noWrap w:val="0"/>
            <w:vAlign w:val="center"/>
          </w:tcPr>
          <w:p w14:paraId="395D0797">
            <w:pPr>
              <w:keepNext/>
              <w:spacing w:line="440" w:lineRule="exact"/>
              <w:jc w:val="center"/>
              <w:rPr>
                <w:rFonts w:ascii="Times New Roman"/>
                <w:color w:val="000000"/>
                <w:sz w:val="24"/>
                <w:szCs w:val="24"/>
              </w:rPr>
            </w:pPr>
          </w:p>
        </w:tc>
        <w:tc>
          <w:tcPr>
            <w:tcW w:w="468" w:type="pct"/>
            <w:tcBorders>
              <w:top w:val="nil"/>
            </w:tcBorders>
            <w:noWrap w:val="0"/>
            <w:vAlign w:val="center"/>
          </w:tcPr>
          <w:p w14:paraId="15236007">
            <w:pPr>
              <w:keepNext/>
              <w:spacing w:line="440" w:lineRule="exact"/>
              <w:jc w:val="center"/>
              <w:rPr>
                <w:rFonts w:ascii="Times New Roman"/>
                <w:color w:val="000000"/>
                <w:sz w:val="24"/>
                <w:szCs w:val="24"/>
              </w:rPr>
            </w:pPr>
          </w:p>
        </w:tc>
        <w:tc>
          <w:tcPr>
            <w:tcW w:w="426" w:type="pct"/>
            <w:tcBorders>
              <w:top w:val="nil"/>
            </w:tcBorders>
            <w:noWrap w:val="0"/>
            <w:vAlign w:val="center"/>
          </w:tcPr>
          <w:p w14:paraId="1D61C7E4">
            <w:pPr>
              <w:keepNext/>
              <w:spacing w:line="440" w:lineRule="exact"/>
              <w:jc w:val="center"/>
              <w:rPr>
                <w:rFonts w:ascii="Times New Roman"/>
                <w:color w:val="000000"/>
                <w:sz w:val="24"/>
                <w:szCs w:val="24"/>
              </w:rPr>
            </w:pPr>
          </w:p>
        </w:tc>
        <w:tc>
          <w:tcPr>
            <w:tcW w:w="745" w:type="pct"/>
            <w:tcBorders>
              <w:top w:val="nil"/>
            </w:tcBorders>
            <w:noWrap w:val="0"/>
            <w:vAlign w:val="center"/>
          </w:tcPr>
          <w:p w14:paraId="51E0063A">
            <w:pPr>
              <w:keepNext/>
              <w:spacing w:line="440" w:lineRule="exact"/>
              <w:jc w:val="center"/>
              <w:rPr>
                <w:rFonts w:ascii="Times New Roman"/>
                <w:color w:val="000000"/>
                <w:sz w:val="24"/>
                <w:szCs w:val="24"/>
              </w:rPr>
            </w:pPr>
          </w:p>
        </w:tc>
        <w:tc>
          <w:tcPr>
            <w:tcW w:w="781" w:type="pct"/>
            <w:tcBorders>
              <w:top w:val="nil"/>
            </w:tcBorders>
            <w:noWrap w:val="0"/>
            <w:vAlign w:val="center"/>
          </w:tcPr>
          <w:p w14:paraId="5EB5ECC2">
            <w:pPr>
              <w:keepNext/>
              <w:spacing w:line="440" w:lineRule="exact"/>
              <w:jc w:val="center"/>
              <w:rPr>
                <w:rFonts w:ascii="Times New Roman"/>
                <w:color w:val="000000"/>
                <w:sz w:val="24"/>
                <w:szCs w:val="24"/>
              </w:rPr>
            </w:pPr>
          </w:p>
        </w:tc>
        <w:tc>
          <w:tcPr>
            <w:tcW w:w="938" w:type="pct"/>
            <w:tcBorders>
              <w:top w:val="nil"/>
            </w:tcBorders>
            <w:noWrap w:val="0"/>
            <w:vAlign w:val="center"/>
          </w:tcPr>
          <w:p w14:paraId="60B990E5">
            <w:pPr>
              <w:keepNext/>
              <w:spacing w:line="440" w:lineRule="exact"/>
              <w:jc w:val="center"/>
              <w:rPr>
                <w:rFonts w:ascii="Times New Roman"/>
                <w:color w:val="000000"/>
                <w:sz w:val="24"/>
                <w:szCs w:val="24"/>
              </w:rPr>
            </w:pPr>
          </w:p>
        </w:tc>
      </w:tr>
      <w:tr w14:paraId="59570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6177B49E">
            <w:pPr>
              <w:keepNext/>
              <w:spacing w:line="440" w:lineRule="exact"/>
              <w:jc w:val="center"/>
              <w:rPr>
                <w:rFonts w:ascii="Times New Roman"/>
                <w:color w:val="000000"/>
                <w:sz w:val="24"/>
                <w:szCs w:val="24"/>
              </w:rPr>
            </w:pPr>
          </w:p>
        </w:tc>
        <w:tc>
          <w:tcPr>
            <w:tcW w:w="1094" w:type="pct"/>
            <w:noWrap w:val="0"/>
            <w:vAlign w:val="center"/>
          </w:tcPr>
          <w:p w14:paraId="686C433B">
            <w:pPr>
              <w:keepNext/>
              <w:spacing w:line="440" w:lineRule="exact"/>
              <w:jc w:val="center"/>
              <w:rPr>
                <w:rFonts w:ascii="Times New Roman"/>
                <w:color w:val="000000"/>
                <w:sz w:val="24"/>
                <w:szCs w:val="24"/>
              </w:rPr>
            </w:pPr>
          </w:p>
        </w:tc>
        <w:tc>
          <w:tcPr>
            <w:tcW w:w="468" w:type="pct"/>
            <w:noWrap w:val="0"/>
            <w:vAlign w:val="center"/>
          </w:tcPr>
          <w:p w14:paraId="74EE843F">
            <w:pPr>
              <w:keepNext/>
              <w:spacing w:line="440" w:lineRule="exact"/>
              <w:jc w:val="center"/>
              <w:rPr>
                <w:rFonts w:ascii="Times New Roman"/>
                <w:color w:val="000000"/>
                <w:sz w:val="24"/>
                <w:szCs w:val="24"/>
              </w:rPr>
            </w:pPr>
          </w:p>
        </w:tc>
        <w:tc>
          <w:tcPr>
            <w:tcW w:w="426" w:type="pct"/>
            <w:noWrap w:val="0"/>
            <w:vAlign w:val="center"/>
          </w:tcPr>
          <w:p w14:paraId="293ED40F">
            <w:pPr>
              <w:keepNext/>
              <w:spacing w:line="440" w:lineRule="exact"/>
              <w:jc w:val="center"/>
              <w:rPr>
                <w:rFonts w:ascii="Times New Roman"/>
                <w:color w:val="000000"/>
                <w:sz w:val="24"/>
                <w:szCs w:val="24"/>
              </w:rPr>
            </w:pPr>
          </w:p>
        </w:tc>
        <w:tc>
          <w:tcPr>
            <w:tcW w:w="745" w:type="pct"/>
            <w:noWrap w:val="0"/>
            <w:vAlign w:val="center"/>
          </w:tcPr>
          <w:p w14:paraId="6AFCCF02">
            <w:pPr>
              <w:keepNext/>
              <w:spacing w:line="440" w:lineRule="exact"/>
              <w:jc w:val="center"/>
              <w:rPr>
                <w:rFonts w:ascii="Times New Roman"/>
                <w:color w:val="000000"/>
                <w:sz w:val="24"/>
                <w:szCs w:val="24"/>
              </w:rPr>
            </w:pPr>
          </w:p>
        </w:tc>
        <w:tc>
          <w:tcPr>
            <w:tcW w:w="781" w:type="pct"/>
            <w:noWrap w:val="0"/>
            <w:vAlign w:val="center"/>
          </w:tcPr>
          <w:p w14:paraId="1A564F2F">
            <w:pPr>
              <w:keepNext/>
              <w:spacing w:line="440" w:lineRule="exact"/>
              <w:jc w:val="center"/>
              <w:rPr>
                <w:rFonts w:ascii="Times New Roman"/>
                <w:color w:val="000000"/>
                <w:sz w:val="24"/>
                <w:szCs w:val="24"/>
              </w:rPr>
            </w:pPr>
          </w:p>
        </w:tc>
        <w:tc>
          <w:tcPr>
            <w:tcW w:w="938" w:type="pct"/>
            <w:noWrap w:val="0"/>
            <w:vAlign w:val="center"/>
          </w:tcPr>
          <w:p w14:paraId="630625E1">
            <w:pPr>
              <w:keepNext/>
              <w:spacing w:line="440" w:lineRule="exact"/>
              <w:jc w:val="center"/>
              <w:rPr>
                <w:rFonts w:ascii="Times New Roman"/>
                <w:color w:val="000000"/>
                <w:sz w:val="24"/>
                <w:szCs w:val="24"/>
              </w:rPr>
            </w:pPr>
          </w:p>
        </w:tc>
      </w:tr>
      <w:tr w14:paraId="23F11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5A3DD772">
            <w:pPr>
              <w:keepNext/>
              <w:spacing w:line="440" w:lineRule="exact"/>
              <w:jc w:val="center"/>
              <w:rPr>
                <w:rFonts w:ascii="Times New Roman"/>
                <w:color w:val="000000"/>
                <w:sz w:val="24"/>
                <w:szCs w:val="24"/>
              </w:rPr>
            </w:pPr>
          </w:p>
        </w:tc>
        <w:tc>
          <w:tcPr>
            <w:tcW w:w="1094" w:type="pct"/>
            <w:noWrap w:val="0"/>
            <w:vAlign w:val="center"/>
          </w:tcPr>
          <w:p w14:paraId="5331F3BF">
            <w:pPr>
              <w:keepNext/>
              <w:spacing w:line="440" w:lineRule="exact"/>
              <w:jc w:val="center"/>
              <w:rPr>
                <w:rFonts w:ascii="Times New Roman"/>
                <w:color w:val="000000"/>
                <w:sz w:val="24"/>
                <w:szCs w:val="24"/>
              </w:rPr>
            </w:pPr>
          </w:p>
        </w:tc>
        <w:tc>
          <w:tcPr>
            <w:tcW w:w="468" w:type="pct"/>
            <w:noWrap w:val="0"/>
            <w:vAlign w:val="center"/>
          </w:tcPr>
          <w:p w14:paraId="75E42CEA">
            <w:pPr>
              <w:keepNext/>
              <w:spacing w:line="440" w:lineRule="exact"/>
              <w:jc w:val="center"/>
              <w:rPr>
                <w:rFonts w:ascii="Times New Roman"/>
                <w:color w:val="000000"/>
                <w:sz w:val="24"/>
                <w:szCs w:val="24"/>
              </w:rPr>
            </w:pPr>
          </w:p>
        </w:tc>
        <w:tc>
          <w:tcPr>
            <w:tcW w:w="426" w:type="pct"/>
            <w:noWrap w:val="0"/>
            <w:vAlign w:val="center"/>
          </w:tcPr>
          <w:p w14:paraId="3AE5CB28">
            <w:pPr>
              <w:keepNext/>
              <w:spacing w:line="440" w:lineRule="exact"/>
              <w:jc w:val="center"/>
              <w:rPr>
                <w:rFonts w:ascii="Times New Roman"/>
                <w:color w:val="000000"/>
                <w:sz w:val="24"/>
                <w:szCs w:val="24"/>
              </w:rPr>
            </w:pPr>
          </w:p>
        </w:tc>
        <w:tc>
          <w:tcPr>
            <w:tcW w:w="745" w:type="pct"/>
            <w:noWrap w:val="0"/>
            <w:vAlign w:val="center"/>
          </w:tcPr>
          <w:p w14:paraId="3AEDA38A">
            <w:pPr>
              <w:keepNext/>
              <w:spacing w:line="440" w:lineRule="exact"/>
              <w:jc w:val="center"/>
              <w:rPr>
                <w:rFonts w:ascii="Times New Roman"/>
                <w:color w:val="000000"/>
                <w:sz w:val="24"/>
                <w:szCs w:val="24"/>
              </w:rPr>
            </w:pPr>
          </w:p>
        </w:tc>
        <w:tc>
          <w:tcPr>
            <w:tcW w:w="781" w:type="pct"/>
            <w:noWrap w:val="0"/>
            <w:vAlign w:val="center"/>
          </w:tcPr>
          <w:p w14:paraId="41A0DFD3">
            <w:pPr>
              <w:keepNext/>
              <w:spacing w:line="440" w:lineRule="exact"/>
              <w:jc w:val="center"/>
              <w:rPr>
                <w:rFonts w:ascii="Times New Roman"/>
                <w:color w:val="000000"/>
                <w:sz w:val="24"/>
                <w:szCs w:val="24"/>
              </w:rPr>
            </w:pPr>
          </w:p>
        </w:tc>
        <w:tc>
          <w:tcPr>
            <w:tcW w:w="938" w:type="pct"/>
            <w:noWrap w:val="0"/>
            <w:vAlign w:val="center"/>
          </w:tcPr>
          <w:p w14:paraId="6DC3B965">
            <w:pPr>
              <w:keepNext/>
              <w:spacing w:line="440" w:lineRule="exact"/>
              <w:jc w:val="center"/>
              <w:rPr>
                <w:rFonts w:ascii="Times New Roman"/>
                <w:color w:val="000000"/>
                <w:sz w:val="24"/>
                <w:szCs w:val="24"/>
              </w:rPr>
            </w:pPr>
          </w:p>
        </w:tc>
      </w:tr>
      <w:tr w14:paraId="0569E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noWrap w:val="0"/>
            <w:vAlign w:val="center"/>
          </w:tcPr>
          <w:p w14:paraId="46695CDF">
            <w:pPr>
              <w:keepNext/>
              <w:spacing w:line="440" w:lineRule="exact"/>
              <w:jc w:val="center"/>
              <w:rPr>
                <w:rFonts w:ascii="Times New Roman"/>
                <w:color w:val="000000"/>
                <w:sz w:val="24"/>
                <w:szCs w:val="24"/>
              </w:rPr>
            </w:pPr>
          </w:p>
        </w:tc>
        <w:tc>
          <w:tcPr>
            <w:tcW w:w="1094" w:type="pct"/>
            <w:tcBorders>
              <w:bottom w:val="single" w:color="auto" w:sz="12" w:space="0"/>
            </w:tcBorders>
            <w:noWrap w:val="0"/>
            <w:vAlign w:val="center"/>
          </w:tcPr>
          <w:p w14:paraId="1098203E">
            <w:pPr>
              <w:keepNext/>
              <w:spacing w:line="440" w:lineRule="exact"/>
              <w:jc w:val="center"/>
              <w:rPr>
                <w:rFonts w:ascii="Times New Roman"/>
                <w:color w:val="000000"/>
                <w:sz w:val="24"/>
                <w:szCs w:val="24"/>
              </w:rPr>
            </w:pPr>
          </w:p>
        </w:tc>
        <w:tc>
          <w:tcPr>
            <w:tcW w:w="468" w:type="pct"/>
            <w:tcBorders>
              <w:bottom w:val="single" w:color="auto" w:sz="12" w:space="0"/>
            </w:tcBorders>
            <w:noWrap w:val="0"/>
            <w:vAlign w:val="center"/>
          </w:tcPr>
          <w:p w14:paraId="6D242F62">
            <w:pPr>
              <w:keepNext/>
              <w:spacing w:line="440" w:lineRule="exact"/>
              <w:jc w:val="center"/>
              <w:rPr>
                <w:rFonts w:ascii="Times New Roman"/>
                <w:color w:val="000000"/>
                <w:sz w:val="24"/>
                <w:szCs w:val="24"/>
              </w:rPr>
            </w:pPr>
          </w:p>
        </w:tc>
        <w:tc>
          <w:tcPr>
            <w:tcW w:w="426" w:type="pct"/>
            <w:tcBorders>
              <w:bottom w:val="single" w:color="auto" w:sz="12" w:space="0"/>
            </w:tcBorders>
            <w:noWrap w:val="0"/>
            <w:vAlign w:val="center"/>
          </w:tcPr>
          <w:p w14:paraId="54EB18E1">
            <w:pPr>
              <w:keepNext/>
              <w:spacing w:line="440" w:lineRule="exact"/>
              <w:jc w:val="center"/>
              <w:rPr>
                <w:rFonts w:ascii="Times New Roman"/>
                <w:color w:val="000000"/>
                <w:sz w:val="24"/>
                <w:szCs w:val="24"/>
              </w:rPr>
            </w:pPr>
          </w:p>
        </w:tc>
        <w:tc>
          <w:tcPr>
            <w:tcW w:w="745" w:type="pct"/>
            <w:tcBorders>
              <w:bottom w:val="single" w:color="auto" w:sz="12" w:space="0"/>
            </w:tcBorders>
            <w:noWrap w:val="0"/>
            <w:vAlign w:val="center"/>
          </w:tcPr>
          <w:p w14:paraId="1332F5DD">
            <w:pPr>
              <w:keepNext/>
              <w:spacing w:line="440" w:lineRule="exact"/>
              <w:jc w:val="center"/>
              <w:rPr>
                <w:rFonts w:ascii="Times New Roman"/>
                <w:color w:val="000000"/>
                <w:sz w:val="24"/>
                <w:szCs w:val="24"/>
              </w:rPr>
            </w:pPr>
          </w:p>
        </w:tc>
        <w:tc>
          <w:tcPr>
            <w:tcW w:w="781" w:type="pct"/>
            <w:tcBorders>
              <w:bottom w:val="single" w:color="auto" w:sz="12" w:space="0"/>
            </w:tcBorders>
            <w:noWrap w:val="0"/>
            <w:vAlign w:val="center"/>
          </w:tcPr>
          <w:p w14:paraId="616E03D3">
            <w:pPr>
              <w:keepNext/>
              <w:spacing w:line="440" w:lineRule="exact"/>
              <w:jc w:val="center"/>
              <w:rPr>
                <w:rFonts w:ascii="Times New Roman"/>
                <w:color w:val="000000"/>
                <w:sz w:val="24"/>
                <w:szCs w:val="24"/>
              </w:rPr>
            </w:pPr>
          </w:p>
        </w:tc>
        <w:tc>
          <w:tcPr>
            <w:tcW w:w="938" w:type="pct"/>
            <w:tcBorders>
              <w:bottom w:val="single" w:color="auto" w:sz="12" w:space="0"/>
            </w:tcBorders>
            <w:noWrap w:val="0"/>
            <w:vAlign w:val="center"/>
          </w:tcPr>
          <w:p w14:paraId="33482159">
            <w:pPr>
              <w:keepNext/>
              <w:spacing w:line="440" w:lineRule="exact"/>
              <w:jc w:val="center"/>
              <w:rPr>
                <w:rFonts w:ascii="Times New Roman"/>
                <w:color w:val="000000"/>
                <w:sz w:val="24"/>
                <w:szCs w:val="24"/>
              </w:rPr>
            </w:pPr>
          </w:p>
        </w:tc>
      </w:tr>
    </w:tbl>
    <w:p w14:paraId="40CC5978">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-2</w:t>
      </w:r>
      <w:r>
        <w:rPr>
          <w:rFonts w:hint="eastAsia" w:ascii="Times New Roman"/>
          <w:color w:val="000000"/>
          <w:sz w:val="24"/>
          <w:szCs w:val="24"/>
        </w:rPr>
        <w:t>：工程设备暂估价表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3759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noWrap w:val="0"/>
            <w:vAlign w:val="center"/>
          </w:tcPr>
          <w:p w14:paraId="3BD276BD">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094" w:type="pct"/>
            <w:tcBorders>
              <w:top w:val="single" w:color="auto" w:sz="12" w:space="0"/>
              <w:bottom w:val="double" w:color="auto" w:sz="6" w:space="0"/>
            </w:tcBorders>
            <w:noWrap w:val="0"/>
            <w:vAlign w:val="center"/>
          </w:tcPr>
          <w:p w14:paraId="7246D056">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468" w:type="pct"/>
            <w:tcBorders>
              <w:top w:val="single" w:color="auto" w:sz="12" w:space="0"/>
              <w:bottom w:val="double" w:color="auto" w:sz="6" w:space="0"/>
            </w:tcBorders>
            <w:noWrap w:val="0"/>
            <w:vAlign w:val="center"/>
          </w:tcPr>
          <w:p w14:paraId="0BDB06D4">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426" w:type="pct"/>
            <w:tcBorders>
              <w:top w:val="single" w:color="auto" w:sz="12" w:space="0"/>
              <w:bottom w:val="double" w:color="auto" w:sz="6" w:space="0"/>
            </w:tcBorders>
            <w:noWrap w:val="0"/>
            <w:vAlign w:val="center"/>
          </w:tcPr>
          <w:p w14:paraId="5CE626AC">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745" w:type="pct"/>
            <w:tcBorders>
              <w:top w:val="single" w:color="auto" w:sz="12" w:space="0"/>
              <w:bottom w:val="double" w:color="auto" w:sz="6" w:space="0"/>
            </w:tcBorders>
            <w:noWrap w:val="0"/>
            <w:vAlign w:val="center"/>
          </w:tcPr>
          <w:p w14:paraId="43C142DF">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781" w:type="pct"/>
            <w:tcBorders>
              <w:top w:val="single" w:color="auto" w:sz="12" w:space="0"/>
              <w:bottom w:val="double" w:color="auto" w:sz="6" w:space="0"/>
            </w:tcBorders>
            <w:noWrap w:val="0"/>
            <w:vAlign w:val="center"/>
          </w:tcPr>
          <w:p w14:paraId="28BF4826">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938" w:type="pct"/>
            <w:tcBorders>
              <w:top w:val="single" w:color="auto" w:sz="12" w:space="0"/>
              <w:bottom w:val="double" w:color="auto" w:sz="6" w:space="0"/>
            </w:tcBorders>
            <w:noWrap w:val="0"/>
            <w:vAlign w:val="center"/>
          </w:tcPr>
          <w:p w14:paraId="1D66C092">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7C9F2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noWrap w:val="0"/>
            <w:vAlign w:val="center"/>
          </w:tcPr>
          <w:p w14:paraId="61A2564C">
            <w:pPr>
              <w:keepNext/>
              <w:spacing w:line="440" w:lineRule="exact"/>
              <w:jc w:val="center"/>
              <w:rPr>
                <w:rFonts w:ascii="Times New Roman"/>
                <w:color w:val="000000"/>
                <w:sz w:val="24"/>
                <w:szCs w:val="24"/>
              </w:rPr>
            </w:pPr>
          </w:p>
        </w:tc>
        <w:tc>
          <w:tcPr>
            <w:tcW w:w="1094" w:type="pct"/>
            <w:tcBorders>
              <w:top w:val="double" w:color="auto" w:sz="6" w:space="0"/>
            </w:tcBorders>
            <w:noWrap w:val="0"/>
            <w:vAlign w:val="center"/>
          </w:tcPr>
          <w:p w14:paraId="11B6635F">
            <w:pPr>
              <w:keepNext/>
              <w:spacing w:line="440" w:lineRule="exact"/>
              <w:jc w:val="center"/>
              <w:rPr>
                <w:rFonts w:ascii="Times New Roman"/>
                <w:color w:val="000000"/>
                <w:sz w:val="24"/>
                <w:szCs w:val="24"/>
              </w:rPr>
            </w:pPr>
          </w:p>
        </w:tc>
        <w:tc>
          <w:tcPr>
            <w:tcW w:w="468" w:type="pct"/>
            <w:tcBorders>
              <w:top w:val="double" w:color="auto" w:sz="6" w:space="0"/>
            </w:tcBorders>
            <w:noWrap w:val="0"/>
            <w:vAlign w:val="center"/>
          </w:tcPr>
          <w:p w14:paraId="141B6528">
            <w:pPr>
              <w:keepNext/>
              <w:spacing w:line="440" w:lineRule="exact"/>
              <w:jc w:val="center"/>
              <w:rPr>
                <w:rFonts w:ascii="Times New Roman"/>
                <w:color w:val="000000"/>
                <w:sz w:val="24"/>
                <w:szCs w:val="24"/>
              </w:rPr>
            </w:pPr>
          </w:p>
        </w:tc>
        <w:tc>
          <w:tcPr>
            <w:tcW w:w="426" w:type="pct"/>
            <w:tcBorders>
              <w:top w:val="double" w:color="auto" w:sz="6" w:space="0"/>
            </w:tcBorders>
            <w:noWrap w:val="0"/>
            <w:vAlign w:val="center"/>
          </w:tcPr>
          <w:p w14:paraId="7F045FC2">
            <w:pPr>
              <w:keepNext/>
              <w:spacing w:line="440" w:lineRule="exact"/>
              <w:jc w:val="center"/>
              <w:rPr>
                <w:rFonts w:ascii="Times New Roman"/>
                <w:color w:val="000000"/>
                <w:sz w:val="24"/>
                <w:szCs w:val="24"/>
              </w:rPr>
            </w:pPr>
          </w:p>
        </w:tc>
        <w:tc>
          <w:tcPr>
            <w:tcW w:w="745" w:type="pct"/>
            <w:tcBorders>
              <w:top w:val="double" w:color="auto" w:sz="6" w:space="0"/>
            </w:tcBorders>
            <w:noWrap w:val="0"/>
            <w:vAlign w:val="center"/>
          </w:tcPr>
          <w:p w14:paraId="5F5CA975">
            <w:pPr>
              <w:keepNext/>
              <w:spacing w:line="440" w:lineRule="exact"/>
              <w:jc w:val="center"/>
              <w:rPr>
                <w:rFonts w:ascii="Times New Roman"/>
                <w:color w:val="000000"/>
                <w:sz w:val="24"/>
                <w:szCs w:val="24"/>
              </w:rPr>
            </w:pPr>
          </w:p>
        </w:tc>
        <w:tc>
          <w:tcPr>
            <w:tcW w:w="781" w:type="pct"/>
            <w:tcBorders>
              <w:top w:val="double" w:color="auto" w:sz="6" w:space="0"/>
            </w:tcBorders>
            <w:noWrap w:val="0"/>
            <w:vAlign w:val="center"/>
          </w:tcPr>
          <w:p w14:paraId="22D2547D">
            <w:pPr>
              <w:keepNext/>
              <w:spacing w:line="440" w:lineRule="exact"/>
              <w:jc w:val="center"/>
              <w:rPr>
                <w:rFonts w:ascii="Times New Roman"/>
                <w:color w:val="000000"/>
                <w:sz w:val="24"/>
                <w:szCs w:val="24"/>
              </w:rPr>
            </w:pPr>
          </w:p>
        </w:tc>
        <w:tc>
          <w:tcPr>
            <w:tcW w:w="938" w:type="pct"/>
            <w:tcBorders>
              <w:top w:val="double" w:color="auto" w:sz="6" w:space="0"/>
            </w:tcBorders>
            <w:noWrap w:val="0"/>
            <w:vAlign w:val="center"/>
          </w:tcPr>
          <w:p w14:paraId="0B36965A">
            <w:pPr>
              <w:keepNext/>
              <w:spacing w:line="440" w:lineRule="exact"/>
              <w:jc w:val="center"/>
              <w:rPr>
                <w:rFonts w:ascii="Times New Roman"/>
                <w:color w:val="000000"/>
                <w:sz w:val="24"/>
                <w:szCs w:val="24"/>
              </w:rPr>
            </w:pPr>
          </w:p>
        </w:tc>
      </w:tr>
      <w:tr w14:paraId="6056A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noWrap w:val="0"/>
            <w:vAlign w:val="center"/>
          </w:tcPr>
          <w:p w14:paraId="7BC044CA">
            <w:pPr>
              <w:keepNext/>
              <w:spacing w:line="440" w:lineRule="exact"/>
              <w:jc w:val="center"/>
              <w:rPr>
                <w:rFonts w:ascii="Times New Roman"/>
                <w:color w:val="000000"/>
                <w:sz w:val="24"/>
                <w:szCs w:val="24"/>
              </w:rPr>
            </w:pPr>
          </w:p>
        </w:tc>
        <w:tc>
          <w:tcPr>
            <w:tcW w:w="1094" w:type="pct"/>
            <w:tcBorders>
              <w:top w:val="nil"/>
            </w:tcBorders>
            <w:noWrap w:val="0"/>
            <w:vAlign w:val="center"/>
          </w:tcPr>
          <w:p w14:paraId="214F02FF">
            <w:pPr>
              <w:keepNext/>
              <w:spacing w:line="440" w:lineRule="exact"/>
              <w:jc w:val="center"/>
              <w:rPr>
                <w:rFonts w:ascii="Times New Roman"/>
                <w:color w:val="000000"/>
                <w:sz w:val="24"/>
                <w:szCs w:val="24"/>
              </w:rPr>
            </w:pPr>
          </w:p>
        </w:tc>
        <w:tc>
          <w:tcPr>
            <w:tcW w:w="468" w:type="pct"/>
            <w:tcBorders>
              <w:top w:val="nil"/>
            </w:tcBorders>
            <w:noWrap w:val="0"/>
            <w:vAlign w:val="center"/>
          </w:tcPr>
          <w:p w14:paraId="3D7FB2D0">
            <w:pPr>
              <w:keepNext/>
              <w:spacing w:line="440" w:lineRule="exact"/>
              <w:jc w:val="center"/>
              <w:rPr>
                <w:rFonts w:ascii="Times New Roman"/>
                <w:color w:val="000000"/>
                <w:sz w:val="24"/>
                <w:szCs w:val="24"/>
              </w:rPr>
            </w:pPr>
          </w:p>
        </w:tc>
        <w:tc>
          <w:tcPr>
            <w:tcW w:w="426" w:type="pct"/>
            <w:tcBorders>
              <w:top w:val="nil"/>
            </w:tcBorders>
            <w:noWrap w:val="0"/>
            <w:vAlign w:val="center"/>
          </w:tcPr>
          <w:p w14:paraId="5FC361E6">
            <w:pPr>
              <w:keepNext/>
              <w:spacing w:line="440" w:lineRule="exact"/>
              <w:jc w:val="center"/>
              <w:rPr>
                <w:rFonts w:ascii="Times New Roman"/>
                <w:color w:val="000000"/>
                <w:sz w:val="24"/>
                <w:szCs w:val="24"/>
              </w:rPr>
            </w:pPr>
          </w:p>
        </w:tc>
        <w:tc>
          <w:tcPr>
            <w:tcW w:w="745" w:type="pct"/>
            <w:tcBorders>
              <w:top w:val="nil"/>
            </w:tcBorders>
            <w:noWrap w:val="0"/>
            <w:vAlign w:val="center"/>
          </w:tcPr>
          <w:p w14:paraId="729FD296">
            <w:pPr>
              <w:keepNext/>
              <w:spacing w:line="440" w:lineRule="exact"/>
              <w:jc w:val="center"/>
              <w:rPr>
                <w:rFonts w:ascii="Times New Roman"/>
                <w:color w:val="000000"/>
                <w:sz w:val="24"/>
                <w:szCs w:val="24"/>
              </w:rPr>
            </w:pPr>
          </w:p>
        </w:tc>
        <w:tc>
          <w:tcPr>
            <w:tcW w:w="781" w:type="pct"/>
            <w:tcBorders>
              <w:top w:val="nil"/>
            </w:tcBorders>
            <w:noWrap w:val="0"/>
            <w:vAlign w:val="center"/>
          </w:tcPr>
          <w:p w14:paraId="1FA517F7">
            <w:pPr>
              <w:keepNext/>
              <w:spacing w:line="440" w:lineRule="exact"/>
              <w:jc w:val="center"/>
              <w:rPr>
                <w:rFonts w:ascii="Times New Roman"/>
                <w:color w:val="000000"/>
                <w:sz w:val="24"/>
                <w:szCs w:val="24"/>
              </w:rPr>
            </w:pPr>
          </w:p>
        </w:tc>
        <w:tc>
          <w:tcPr>
            <w:tcW w:w="938" w:type="pct"/>
            <w:tcBorders>
              <w:top w:val="nil"/>
            </w:tcBorders>
            <w:noWrap w:val="0"/>
            <w:vAlign w:val="center"/>
          </w:tcPr>
          <w:p w14:paraId="5C00B3F5">
            <w:pPr>
              <w:keepNext/>
              <w:spacing w:line="440" w:lineRule="exact"/>
              <w:jc w:val="center"/>
              <w:rPr>
                <w:rFonts w:ascii="Times New Roman"/>
                <w:color w:val="000000"/>
                <w:sz w:val="24"/>
                <w:szCs w:val="24"/>
              </w:rPr>
            </w:pPr>
          </w:p>
        </w:tc>
      </w:tr>
      <w:tr w14:paraId="60576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62FE8994">
            <w:pPr>
              <w:keepNext/>
              <w:spacing w:line="440" w:lineRule="exact"/>
              <w:jc w:val="center"/>
              <w:rPr>
                <w:rFonts w:ascii="Times New Roman"/>
                <w:color w:val="000000"/>
                <w:sz w:val="24"/>
                <w:szCs w:val="24"/>
              </w:rPr>
            </w:pPr>
          </w:p>
        </w:tc>
        <w:tc>
          <w:tcPr>
            <w:tcW w:w="1094" w:type="pct"/>
            <w:noWrap w:val="0"/>
            <w:vAlign w:val="center"/>
          </w:tcPr>
          <w:p w14:paraId="12C836CE">
            <w:pPr>
              <w:keepNext/>
              <w:spacing w:line="440" w:lineRule="exact"/>
              <w:jc w:val="center"/>
              <w:rPr>
                <w:rFonts w:ascii="Times New Roman"/>
                <w:color w:val="000000"/>
                <w:sz w:val="24"/>
                <w:szCs w:val="24"/>
              </w:rPr>
            </w:pPr>
          </w:p>
        </w:tc>
        <w:tc>
          <w:tcPr>
            <w:tcW w:w="468" w:type="pct"/>
            <w:noWrap w:val="0"/>
            <w:vAlign w:val="center"/>
          </w:tcPr>
          <w:p w14:paraId="3978ADEA">
            <w:pPr>
              <w:keepNext/>
              <w:spacing w:line="440" w:lineRule="exact"/>
              <w:jc w:val="center"/>
              <w:rPr>
                <w:rFonts w:ascii="Times New Roman"/>
                <w:color w:val="000000"/>
                <w:sz w:val="24"/>
                <w:szCs w:val="24"/>
              </w:rPr>
            </w:pPr>
          </w:p>
        </w:tc>
        <w:tc>
          <w:tcPr>
            <w:tcW w:w="426" w:type="pct"/>
            <w:noWrap w:val="0"/>
            <w:vAlign w:val="center"/>
          </w:tcPr>
          <w:p w14:paraId="4D6A0942">
            <w:pPr>
              <w:keepNext/>
              <w:spacing w:line="440" w:lineRule="exact"/>
              <w:jc w:val="center"/>
              <w:rPr>
                <w:rFonts w:ascii="Times New Roman"/>
                <w:color w:val="000000"/>
                <w:sz w:val="24"/>
                <w:szCs w:val="24"/>
              </w:rPr>
            </w:pPr>
          </w:p>
        </w:tc>
        <w:tc>
          <w:tcPr>
            <w:tcW w:w="745" w:type="pct"/>
            <w:noWrap w:val="0"/>
            <w:vAlign w:val="center"/>
          </w:tcPr>
          <w:p w14:paraId="0A536CD1">
            <w:pPr>
              <w:keepNext/>
              <w:spacing w:line="440" w:lineRule="exact"/>
              <w:jc w:val="center"/>
              <w:rPr>
                <w:rFonts w:ascii="Times New Roman"/>
                <w:color w:val="000000"/>
                <w:sz w:val="24"/>
                <w:szCs w:val="24"/>
              </w:rPr>
            </w:pPr>
          </w:p>
        </w:tc>
        <w:tc>
          <w:tcPr>
            <w:tcW w:w="781" w:type="pct"/>
            <w:noWrap w:val="0"/>
            <w:vAlign w:val="center"/>
          </w:tcPr>
          <w:p w14:paraId="165DDFD5">
            <w:pPr>
              <w:keepNext/>
              <w:spacing w:line="440" w:lineRule="exact"/>
              <w:jc w:val="center"/>
              <w:rPr>
                <w:rFonts w:ascii="Times New Roman"/>
                <w:color w:val="000000"/>
                <w:sz w:val="24"/>
                <w:szCs w:val="24"/>
              </w:rPr>
            </w:pPr>
          </w:p>
        </w:tc>
        <w:tc>
          <w:tcPr>
            <w:tcW w:w="938" w:type="pct"/>
            <w:noWrap w:val="0"/>
            <w:vAlign w:val="center"/>
          </w:tcPr>
          <w:p w14:paraId="418B443B">
            <w:pPr>
              <w:keepNext/>
              <w:spacing w:line="440" w:lineRule="exact"/>
              <w:jc w:val="center"/>
              <w:rPr>
                <w:rFonts w:ascii="Times New Roman"/>
                <w:color w:val="000000"/>
                <w:sz w:val="24"/>
                <w:szCs w:val="24"/>
              </w:rPr>
            </w:pPr>
          </w:p>
        </w:tc>
      </w:tr>
      <w:tr w14:paraId="6FE30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noWrap w:val="0"/>
            <w:vAlign w:val="center"/>
          </w:tcPr>
          <w:p w14:paraId="15E57840">
            <w:pPr>
              <w:keepNext/>
              <w:spacing w:line="440" w:lineRule="exact"/>
              <w:jc w:val="center"/>
              <w:rPr>
                <w:rFonts w:ascii="Times New Roman"/>
                <w:color w:val="000000"/>
                <w:sz w:val="24"/>
                <w:szCs w:val="24"/>
              </w:rPr>
            </w:pPr>
          </w:p>
        </w:tc>
        <w:tc>
          <w:tcPr>
            <w:tcW w:w="1094" w:type="pct"/>
            <w:tcBorders>
              <w:bottom w:val="single" w:color="auto" w:sz="12" w:space="0"/>
            </w:tcBorders>
            <w:noWrap w:val="0"/>
            <w:vAlign w:val="center"/>
          </w:tcPr>
          <w:p w14:paraId="678A58AF">
            <w:pPr>
              <w:keepNext/>
              <w:spacing w:line="440" w:lineRule="exact"/>
              <w:jc w:val="center"/>
              <w:rPr>
                <w:rFonts w:ascii="Times New Roman"/>
                <w:color w:val="000000"/>
                <w:sz w:val="24"/>
                <w:szCs w:val="24"/>
              </w:rPr>
            </w:pPr>
          </w:p>
        </w:tc>
        <w:tc>
          <w:tcPr>
            <w:tcW w:w="468" w:type="pct"/>
            <w:tcBorders>
              <w:bottom w:val="single" w:color="auto" w:sz="12" w:space="0"/>
            </w:tcBorders>
            <w:noWrap w:val="0"/>
            <w:vAlign w:val="center"/>
          </w:tcPr>
          <w:p w14:paraId="3CCF29F4">
            <w:pPr>
              <w:keepNext/>
              <w:spacing w:line="440" w:lineRule="exact"/>
              <w:jc w:val="center"/>
              <w:rPr>
                <w:rFonts w:ascii="Times New Roman"/>
                <w:color w:val="000000"/>
                <w:sz w:val="24"/>
                <w:szCs w:val="24"/>
              </w:rPr>
            </w:pPr>
          </w:p>
        </w:tc>
        <w:tc>
          <w:tcPr>
            <w:tcW w:w="426" w:type="pct"/>
            <w:tcBorders>
              <w:bottom w:val="single" w:color="auto" w:sz="12" w:space="0"/>
            </w:tcBorders>
            <w:noWrap w:val="0"/>
            <w:vAlign w:val="center"/>
          </w:tcPr>
          <w:p w14:paraId="4D289EE5">
            <w:pPr>
              <w:keepNext/>
              <w:spacing w:line="440" w:lineRule="exact"/>
              <w:jc w:val="center"/>
              <w:rPr>
                <w:rFonts w:ascii="Times New Roman"/>
                <w:color w:val="000000"/>
                <w:sz w:val="24"/>
                <w:szCs w:val="24"/>
              </w:rPr>
            </w:pPr>
          </w:p>
        </w:tc>
        <w:tc>
          <w:tcPr>
            <w:tcW w:w="745" w:type="pct"/>
            <w:tcBorders>
              <w:bottom w:val="single" w:color="auto" w:sz="12" w:space="0"/>
            </w:tcBorders>
            <w:noWrap w:val="0"/>
            <w:vAlign w:val="center"/>
          </w:tcPr>
          <w:p w14:paraId="2F05D7A2">
            <w:pPr>
              <w:keepNext/>
              <w:spacing w:line="440" w:lineRule="exact"/>
              <w:jc w:val="center"/>
              <w:rPr>
                <w:rFonts w:ascii="Times New Roman"/>
                <w:color w:val="000000"/>
                <w:sz w:val="24"/>
                <w:szCs w:val="24"/>
              </w:rPr>
            </w:pPr>
          </w:p>
        </w:tc>
        <w:tc>
          <w:tcPr>
            <w:tcW w:w="781" w:type="pct"/>
            <w:tcBorders>
              <w:bottom w:val="single" w:color="auto" w:sz="12" w:space="0"/>
            </w:tcBorders>
            <w:noWrap w:val="0"/>
            <w:vAlign w:val="center"/>
          </w:tcPr>
          <w:p w14:paraId="5F214E0F">
            <w:pPr>
              <w:keepNext/>
              <w:spacing w:line="440" w:lineRule="exact"/>
              <w:jc w:val="center"/>
              <w:rPr>
                <w:rFonts w:ascii="Times New Roman"/>
                <w:color w:val="000000"/>
                <w:sz w:val="24"/>
                <w:szCs w:val="24"/>
              </w:rPr>
            </w:pPr>
          </w:p>
        </w:tc>
        <w:tc>
          <w:tcPr>
            <w:tcW w:w="938" w:type="pct"/>
            <w:tcBorders>
              <w:bottom w:val="single" w:color="auto" w:sz="12" w:space="0"/>
            </w:tcBorders>
            <w:noWrap w:val="0"/>
            <w:vAlign w:val="center"/>
          </w:tcPr>
          <w:p w14:paraId="6156CBF8">
            <w:pPr>
              <w:keepNext/>
              <w:spacing w:line="440" w:lineRule="exact"/>
              <w:jc w:val="center"/>
              <w:rPr>
                <w:rFonts w:ascii="Times New Roman"/>
                <w:color w:val="000000"/>
                <w:sz w:val="24"/>
                <w:szCs w:val="24"/>
              </w:rPr>
            </w:pPr>
          </w:p>
        </w:tc>
      </w:tr>
    </w:tbl>
    <w:p w14:paraId="5FCA5B35">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-3</w:t>
      </w:r>
      <w:r>
        <w:rPr>
          <w:rFonts w:hint="eastAsia" w:ascii="Times New Roman"/>
          <w:color w:val="000000"/>
          <w:sz w:val="24"/>
          <w:szCs w:val="24"/>
        </w:rPr>
        <w:t>：专业工程暂估价表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549A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noWrap w:val="0"/>
            <w:vAlign w:val="center"/>
          </w:tcPr>
          <w:p w14:paraId="3128308F">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094" w:type="pct"/>
            <w:tcBorders>
              <w:top w:val="single" w:color="auto" w:sz="12" w:space="0"/>
              <w:bottom w:val="double" w:color="auto" w:sz="6" w:space="0"/>
            </w:tcBorders>
            <w:noWrap w:val="0"/>
            <w:vAlign w:val="center"/>
          </w:tcPr>
          <w:p w14:paraId="4A602ECA">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468" w:type="pct"/>
            <w:tcBorders>
              <w:top w:val="single" w:color="auto" w:sz="12" w:space="0"/>
              <w:bottom w:val="double" w:color="auto" w:sz="6" w:space="0"/>
            </w:tcBorders>
            <w:noWrap w:val="0"/>
            <w:vAlign w:val="center"/>
          </w:tcPr>
          <w:p w14:paraId="05E9F827">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426" w:type="pct"/>
            <w:tcBorders>
              <w:top w:val="single" w:color="auto" w:sz="12" w:space="0"/>
              <w:bottom w:val="double" w:color="auto" w:sz="6" w:space="0"/>
            </w:tcBorders>
            <w:noWrap w:val="0"/>
            <w:vAlign w:val="center"/>
          </w:tcPr>
          <w:p w14:paraId="1C997E8B">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745" w:type="pct"/>
            <w:tcBorders>
              <w:top w:val="single" w:color="auto" w:sz="12" w:space="0"/>
              <w:bottom w:val="double" w:color="auto" w:sz="6" w:space="0"/>
            </w:tcBorders>
            <w:noWrap w:val="0"/>
            <w:vAlign w:val="center"/>
          </w:tcPr>
          <w:p w14:paraId="574A6C7B">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781" w:type="pct"/>
            <w:tcBorders>
              <w:top w:val="single" w:color="auto" w:sz="12" w:space="0"/>
              <w:bottom w:val="double" w:color="auto" w:sz="6" w:space="0"/>
            </w:tcBorders>
            <w:noWrap w:val="0"/>
            <w:vAlign w:val="center"/>
          </w:tcPr>
          <w:p w14:paraId="2479EDD1">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938" w:type="pct"/>
            <w:tcBorders>
              <w:top w:val="single" w:color="auto" w:sz="12" w:space="0"/>
              <w:bottom w:val="double" w:color="auto" w:sz="6" w:space="0"/>
            </w:tcBorders>
            <w:noWrap w:val="0"/>
            <w:vAlign w:val="center"/>
          </w:tcPr>
          <w:p w14:paraId="7F9D309F">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2014F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noWrap w:val="0"/>
            <w:vAlign w:val="center"/>
          </w:tcPr>
          <w:p w14:paraId="4B18453C">
            <w:pPr>
              <w:keepNext/>
              <w:spacing w:line="440" w:lineRule="exact"/>
              <w:jc w:val="center"/>
              <w:rPr>
                <w:rFonts w:ascii="Times New Roman"/>
                <w:color w:val="000000"/>
                <w:sz w:val="24"/>
                <w:szCs w:val="24"/>
              </w:rPr>
            </w:pPr>
          </w:p>
        </w:tc>
        <w:tc>
          <w:tcPr>
            <w:tcW w:w="1094" w:type="pct"/>
            <w:tcBorders>
              <w:top w:val="double" w:color="auto" w:sz="6" w:space="0"/>
            </w:tcBorders>
            <w:noWrap w:val="0"/>
            <w:vAlign w:val="center"/>
          </w:tcPr>
          <w:p w14:paraId="42263518">
            <w:pPr>
              <w:keepNext/>
              <w:spacing w:line="440" w:lineRule="exact"/>
              <w:jc w:val="center"/>
              <w:rPr>
                <w:rFonts w:ascii="Times New Roman"/>
                <w:color w:val="000000"/>
                <w:sz w:val="24"/>
                <w:szCs w:val="24"/>
              </w:rPr>
            </w:pPr>
          </w:p>
        </w:tc>
        <w:tc>
          <w:tcPr>
            <w:tcW w:w="468" w:type="pct"/>
            <w:tcBorders>
              <w:top w:val="double" w:color="auto" w:sz="6" w:space="0"/>
            </w:tcBorders>
            <w:noWrap w:val="0"/>
            <w:vAlign w:val="center"/>
          </w:tcPr>
          <w:p w14:paraId="160DD635">
            <w:pPr>
              <w:keepNext/>
              <w:spacing w:line="440" w:lineRule="exact"/>
              <w:jc w:val="center"/>
              <w:rPr>
                <w:rFonts w:ascii="Times New Roman"/>
                <w:color w:val="000000"/>
                <w:sz w:val="24"/>
                <w:szCs w:val="24"/>
              </w:rPr>
            </w:pPr>
          </w:p>
        </w:tc>
        <w:tc>
          <w:tcPr>
            <w:tcW w:w="426" w:type="pct"/>
            <w:tcBorders>
              <w:top w:val="double" w:color="auto" w:sz="6" w:space="0"/>
            </w:tcBorders>
            <w:noWrap w:val="0"/>
            <w:vAlign w:val="center"/>
          </w:tcPr>
          <w:p w14:paraId="12E606A0">
            <w:pPr>
              <w:keepNext/>
              <w:spacing w:line="440" w:lineRule="exact"/>
              <w:jc w:val="center"/>
              <w:rPr>
                <w:rFonts w:ascii="Times New Roman"/>
                <w:color w:val="000000"/>
                <w:sz w:val="24"/>
                <w:szCs w:val="24"/>
              </w:rPr>
            </w:pPr>
          </w:p>
        </w:tc>
        <w:tc>
          <w:tcPr>
            <w:tcW w:w="745" w:type="pct"/>
            <w:tcBorders>
              <w:top w:val="double" w:color="auto" w:sz="6" w:space="0"/>
            </w:tcBorders>
            <w:noWrap w:val="0"/>
            <w:vAlign w:val="center"/>
          </w:tcPr>
          <w:p w14:paraId="3C53E0CC">
            <w:pPr>
              <w:keepNext/>
              <w:spacing w:line="440" w:lineRule="exact"/>
              <w:jc w:val="center"/>
              <w:rPr>
                <w:rFonts w:ascii="Times New Roman"/>
                <w:color w:val="000000"/>
                <w:sz w:val="24"/>
                <w:szCs w:val="24"/>
              </w:rPr>
            </w:pPr>
          </w:p>
        </w:tc>
        <w:tc>
          <w:tcPr>
            <w:tcW w:w="781" w:type="pct"/>
            <w:tcBorders>
              <w:top w:val="double" w:color="auto" w:sz="6" w:space="0"/>
            </w:tcBorders>
            <w:noWrap w:val="0"/>
            <w:vAlign w:val="center"/>
          </w:tcPr>
          <w:p w14:paraId="6B7CD78A">
            <w:pPr>
              <w:keepNext/>
              <w:spacing w:line="440" w:lineRule="exact"/>
              <w:jc w:val="center"/>
              <w:rPr>
                <w:rFonts w:ascii="Times New Roman"/>
                <w:color w:val="000000"/>
                <w:sz w:val="24"/>
                <w:szCs w:val="24"/>
              </w:rPr>
            </w:pPr>
          </w:p>
        </w:tc>
        <w:tc>
          <w:tcPr>
            <w:tcW w:w="938" w:type="pct"/>
            <w:tcBorders>
              <w:top w:val="double" w:color="auto" w:sz="6" w:space="0"/>
            </w:tcBorders>
            <w:noWrap w:val="0"/>
            <w:vAlign w:val="center"/>
          </w:tcPr>
          <w:p w14:paraId="7EF0988D">
            <w:pPr>
              <w:keepNext/>
              <w:spacing w:line="440" w:lineRule="exact"/>
              <w:jc w:val="center"/>
              <w:rPr>
                <w:rFonts w:ascii="Times New Roman"/>
                <w:color w:val="000000"/>
                <w:sz w:val="24"/>
                <w:szCs w:val="24"/>
              </w:rPr>
            </w:pPr>
          </w:p>
        </w:tc>
      </w:tr>
      <w:tr w14:paraId="7C35B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noWrap w:val="0"/>
            <w:vAlign w:val="center"/>
          </w:tcPr>
          <w:p w14:paraId="20A9E0C1">
            <w:pPr>
              <w:keepNext/>
              <w:spacing w:line="440" w:lineRule="exact"/>
              <w:jc w:val="center"/>
              <w:rPr>
                <w:rFonts w:ascii="Times New Roman"/>
                <w:color w:val="000000"/>
                <w:sz w:val="24"/>
                <w:szCs w:val="24"/>
              </w:rPr>
            </w:pPr>
          </w:p>
        </w:tc>
        <w:tc>
          <w:tcPr>
            <w:tcW w:w="1094" w:type="pct"/>
            <w:tcBorders>
              <w:top w:val="nil"/>
            </w:tcBorders>
            <w:noWrap w:val="0"/>
            <w:vAlign w:val="center"/>
          </w:tcPr>
          <w:p w14:paraId="36801A3B">
            <w:pPr>
              <w:keepNext/>
              <w:spacing w:line="440" w:lineRule="exact"/>
              <w:jc w:val="center"/>
              <w:rPr>
                <w:rFonts w:ascii="Times New Roman"/>
                <w:color w:val="000000"/>
                <w:sz w:val="24"/>
                <w:szCs w:val="24"/>
              </w:rPr>
            </w:pPr>
          </w:p>
        </w:tc>
        <w:tc>
          <w:tcPr>
            <w:tcW w:w="468" w:type="pct"/>
            <w:tcBorders>
              <w:top w:val="nil"/>
            </w:tcBorders>
            <w:noWrap w:val="0"/>
            <w:vAlign w:val="center"/>
          </w:tcPr>
          <w:p w14:paraId="09D8011E">
            <w:pPr>
              <w:keepNext/>
              <w:spacing w:line="440" w:lineRule="exact"/>
              <w:jc w:val="center"/>
              <w:rPr>
                <w:rFonts w:ascii="Times New Roman"/>
                <w:color w:val="000000"/>
                <w:sz w:val="24"/>
                <w:szCs w:val="24"/>
              </w:rPr>
            </w:pPr>
          </w:p>
        </w:tc>
        <w:tc>
          <w:tcPr>
            <w:tcW w:w="426" w:type="pct"/>
            <w:tcBorders>
              <w:top w:val="nil"/>
            </w:tcBorders>
            <w:noWrap w:val="0"/>
            <w:vAlign w:val="center"/>
          </w:tcPr>
          <w:p w14:paraId="2BFAA177">
            <w:pPr>
              <w:keepNext/>
              <w:spacing w:line="440" w:lineRule="exact"/>
              <w:jc w:val="center"/>
              <w:rPr>
                <w:rFonts w:ascii="Times New Roman"/>
                <w:color w:val="000000"/>
                <w:sz w:val="24"/>
                <w:szCs w:val="24"/>
              </w:rPr>
            </w:pPr>
          </w:p>
        </w:tc>
        <w:tc>
          <w:tcPr>
            <w:tcW w:w="745" w:type="pct"/>
            <w:tcBorders>
              <w:top w:val="nil"/>
            </w:tcBorders>
            <w:noWrap w:val="0"/>
            <w:vAlign w:val="center"/>
          </w:tcPr>
          <w:p w14:paraId="1209B9EA">
            <w:pPr>
              <w:keepNext/>
              <w:spacing w:line="440" w:lineRule="exact"/>
              <w:jc w:val="center"/>
              <w:rPr>
                <w:rFonts w:ascii="Times New Roman"/>
                <w:color w:val="000000"/>
                <w:sz w:val="24"/>
                <w:szCs w:val="24"/>
              </w:rPr>
            </w:pPr>
          </w:p>
        </w:tc>
        <w:tc>
          <w:tcPr>
            <w:tcW w:w="781" w:type="pct"/>
            <w:tcBorders>
              <w:top w:val="nil"/>
            </w:tcBorders>
            <w:noWrap w:val="0"/>
            <w:vAlign w:val="center"/>
          </w:tcPr>
          <w:p w14:paraId="6955DB7D">
            <w:pPr>
              <w:keepNext/>
              <w:spacing w:line="440" w:lineRule="exact"/>
              <w:jc w:val="center"/>
              <w:rPr>
                <w:rFonts w:ascii="Times New Roman"/>
                <w:color w:val="000000"/>
                <w:sz w:val="24"/>
                <w:szCs w:val="24"/>
              </w:rPr>
            </w:pPr>
          </w:p>
        </w:tc>
        <w:tc>
          <w:tcPr>
            <w:tcW w:w="938" w:type="pct"/>
            <w:tcBorders>
              <w:top w:val="nil"/>
            </w:tcBorders>
            <w:noWrap w:val="0"/>
            <w:vAlign w:val="center"/>
          </w:tcPr>
          <w:p w14:paraId="686284A4">
            <w:pPr>
              <w:keepNext/>
              <w:spacing w:line="440" w:lineRule="exact"/>
              <w:jc w:val="center"/>
              <w:rPr>
                <w:rFonts w:ascii="Times New Roman"/>
                <w:color w:val="000000"/>
                <w:sz w:val="24"/>
                <w:szCs w:val="24"/>
              </w:rPr>
            </w:pPr>
          </w:p>
        </w:tc>
      </w:tr>
      <w:tr w14:paraId="08030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7AC3C186">
            <w:pPr>
              <w:keepNext/>
              <w:spacing w:line="440" w:lineRule="exact"/>
              <w:jc w:val="center"/>
              <w:rPr>
                <w:rFonts w:ascii="Times New Roman"/>
                <w:color w:val="000000"/>
                <w:sz w:val="24"/>
                <w:szCs w:val="24"/>
              </w:rPr>
            </w:pPr>
          </w:p>
        </w:tc>
        <w:tc>
          <w:tcPr>
            <w:tcW w:w="1094" w:type="pct"/>
            <w:noWrap w:val="0"/>
            <w:vAlign w:val="center"/>
          </w:tcPr>
          <w:p w14:paraId="2D82AFA0">
            <w:pPr>
              <w:keepNext/>
              <w:spacing w:line="440" w:lineRule="exact"/>
              <w:jc w:val="center"/>
              <w:rPr>
                <w:rFonts w:ascii="Times New Roman"/>
                <w:color w:val="000000"/>
                <w:sz w:val="24"/>
                <w:szCs w:val="24"/>
              </w:rPr>
            </w:pPr>
          </w:p>
        </w:tc>
        <w:tc>
          <w:tcPr>
            <w:tcW w:w="468" w:type="pct"/>
            <w:noWrap w:val="0"/>
            <w:vAlign w:val="center"/>
          </w:tcPr>
          <w:p w14:paraId="7E429397">
            <w:pPr>
              <w:keepNext/>
              <w:spacing w:line="440" w:lineRule="exact"/>
              <w:jc w:val="center"/>
              <w:rPr>
                <w:rFonts w:ascii="Times New Roman"/>
                <w:color w:val="000000"/>
                <w:sz w:val="24"/>
                <w:szCs w:val="24"/>
              </w:rPr>
            </w:pPr>
          </w:p>
        </w:tc>
        <w:tc>
          <w:tcPr>
            <w:tcW w:w="426" w:type="pct"/>
            <w:noWrap w:val="0"/>
            <w:vAlign w:val="center"/>
          </w:tcPr>
          <w:p w14:paraId="569FDB1E">
            <w:pPr>
              <w:keepNext/>
              <w:spacing w:line="440" w:lineRule="exact"/>
              <w:jc w:val="center"/>
              <w:rPr>
                <w:rFonts w:ascii="Times New Roman"/>
                <w:color w:val="000000"/>
                <w:sz w:val="24"/>
                <w:szCs w:val="24"/>
              </w:rPr>
            </w:pPr>
          </w:p>
        </w:tc>
        <w:tc>
          <w:tcPr>
            <w:tcW w:w="745" w:type="pct"/>
            <w:noWrap w:val="0"/>
            <w:vAlign w:val="center"/>
          </w:tcPr>
          <w:p w14:paraId="35A93AFF">
            <w:pPr>
              <w:keepNext/>
              <w:spacing w:line="440" w:lineRule="exact"/>
              <w:jc w:val="center"/>
              <w:rPr>
                <w:rFonts w:ascii="Times New Roman"/>
                <w:color w:val="000000"/>
                <w:sz w:val="24"/>
                <w:szCs w:val="24"/>
              </w:rPr>
            </w:pPr>
          </w:p>
        </w:tc>
        <w:tc>
          <w:tcPr>
            <w:tcW w:w="781" w:type="pct"/>
            <w:noWrap w:val="0"/>
            <w:vAlign w:val="center"/>
          </w:tcPr>
          <w:p w14:paraId="03F13D4A">
            <w:pPr>
              <w:keepNext/>
              <w:spacing w:line="440" w:lineRule="exact"/>
              <w:jc w:val="center"/>
              <w:rPr>
                <w:rFonts w:ascii="Times New Roman"/>
                <w:color w:val="000000"/>
                <w:sz w:val="24"/>
                <w:szCs w:val="24"/>
              </w:rPr>
            </w:pPr>
          </w:p>
        </w:tc>
        <w:tc>
          <w:tcPr>
            <w:tcW w:w="938" w:type="pct"/>
            <w:noWrap w:val="0"/>
            <w:vAlign w:val="center"/>
          </w:tcPr>
          <w:p w14:paraId="25017265">
            <w:pPr>
              <w:keepNext/>
              <w:spacing w:line="440" w:lineRule="exact"/>
              <w:jc w:val="center"/>
              <w:rPr>
                <w:rFonts w:ascii="Times New Roman"/>
                <w:color w:val="000000"/>
                <w:sz w:val="24"/>
                <w:szCs w:val="24"/>
              </w:rPr>
            </w:pPr>
          </w:p>
        </w:tc>
      </w:tr>
      <w:tr w14:paraId="1C9B3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noWrap w:val="0"/>
            <w:vAlign w:val="center"/>
          </w:tcPr>
          <w:p w14:paraId="269DB760">
            <w:pPr>
              <w:keepNext/>
              <w:spacing w:line="440" w:lineRule="exact"/>
              <w:jc w:val="center"/>
              <w:rPr>
                <w:rFonts w:ascii="Times New Roman"/>
                <w:color w:val="000000"/>
                <w:sz w:val="24"/>
                <w:szCs w:val="24"/>
              </w:rPr>
            </w:pPr>
          </w:p>
        </w:tc>
        <w:tc>
          <w:tcPr>
            <w:tcW w:w="1094" w:type="pct"/>
            <w:tcBorders>
              <w:bottom w:val="single" w:color="auto" w:sz="12" w:space="0"/>
            </w:tcBorders>
            <w:noWrap w:val="0"/>
            <w:vAlign w:val="center"/>
          </w:tcPr>
          <w:p w14:paraId="797D5977">
            <w:pPr>
              <w:keepNext/>
              <w:spacing w:line="440" w:lineRule="exact"/>
              <w:jc w:val="center"/>
              <w:rPr>
                <w:rFonts w:ascii="Times New Roman"/>
                <w:color w:val="000000"/>
                <w:sz w:val="24"/>
                <w:szCs w:val="24"/>
              </w:rPr>
            </w:pPr>
          </w:p>
        </w:tc>
        <w:tc>
          <w:tcPr>
            <w:tcW w:w="468" w:type="pct"/>
            <w:tcBorders>
              <w:bottom w:val="single" w:color="auto" w:sz="12" w:space="0"/>
            </w:tcBorders>
            <w:noWrap w:val="0"/>
            <w:vAlign w:val="center"/>
          </w:tcPr>
          <w:p w14:paraId="0E5C4B47">
            <w:pPr>
              <w:keepNext/>
              <w:spacing w:line="440" w:lineRule="exact"/>
              <w:jc w:val="center"/>
              <w:rPr>
                <w:rFonts w:ascii="Times New Roman"/>
                <w:color w:val="000000"/>
                <w:sz w:val="24"/>
                <w:szCs w:val="24"/>
              </w:rPr>
            </w:pPr>
          </w:p>
        </w:tc>
        <w:tc>
          <w:tcPr>
            <w:tcW w:w="426" w:type="pct"/>
            <w:tcBorders>
              <w:bottom w:val="single" w:color="auto" w:sz="12" w:space="0"/>
            </w:tcBorders>
            <w:noWrap w:val="0"/>
            <w:vAlign w:val="center"/>
          </w:tcPr>
          <w:p w14:paraId="72D03B00">
            <w:pPr>
              <w:keepNext/>
              <w:spacing w:line="440" w:lineRule="exact"/>
              <w:jc w:val="center"/>
              <w:rPr>
                <w:rFonts w:ascii="Times New Roman"/>
                <w:color w:val="000000"/>
                <w:sz w:val="24"/>
                <w:szCs w:val="24"/>
              </w:rPr>
            </w:pPr>
          </w:p>
        </w:tc>
        <w:tc>
          <w:tcPr>
            <w:tcW w:w="745" w:type="pct"/>
            <w:tcBorders>
              <w:bottom w:val="single" w:color="auto" w:sz="12" w:space="0"/>
            </w:tcBorders>
            <w:noWrap w:val="0"/>
            <w:vAlign w:val="center"/>
          </w:tcPr>
          <w:p w14:paraId="475EEF10">
            <w:pPr>
              <w:keepNext/>
              <w:spacing w:line="440" w:lineRule="exact"/>
              <w:jc w:val="center"/>
              <w:rPr>
                <w:rFonts w:ascii="Times New Roman"/>
                <w:color w:val="000000"/>
                <w:sz w:val="24"/>
                <w:szCs w:val="24"/>
              </w:rPr>
            </w:pPr>
          </w:p>
        </w:tc>
        <w:tc>
          <w:tcPr>
            <w:tcW w:w="781" w:type="pct"/>
            <w:tcBorders>
              <w:bottom w:val="single" w:color="auto" w:sz="12" w:space="0"/>
            </w:tcBorders>
            <w:noWrap w:val="0"/>
            <w:vAlign w:val="center"/>
          </w:tcPr>
          <w:p w14:paraId="4E2D302F">
            <w:pPr>
              <w:keepNext/>
              <w:spacing w:line="440" w:lineRule="exact"/>
              <w:jc w:val="center"/>
              <w:rPr>
                <w:rFonts w:ascii="Times New Roman"/>
                <w:color w:val="000000"/>
                <w:sz w:val="24"/>
                <w:szCs w:val="24"/>
              </w:rPr>
            </w:pPr>
          </w:p>
        </w:tc>
        <w:tc>
          <w:tcPr>
            <w:tcW w:w="938" w:type="pct"/>
            <w:tcBorders>
              <w:bottom w:val="single" w:color="auto" w:sz="12" w:space="0"/>
            </w:tcBorders>
            <w:noWrap w:val="0"/>
            <w:vAlign w:val="center"/>
          </w:tcPr>
          <w:p w14:paraId="10A69C45">
            <w:pPr>
              <w:keepNext/>
              <w:spacing w:line="440" w:lineRule="exact"/>
              <w:jc w:val="center"/>
              <w:rPr>
                <w:rFonts w:ascii="Times New Roman"/>
                <w:color w:val="000000"/>
                <w:sz w:val="24"/>
                <w:szCs w:val="24"/>
              </w:rPr>
            </w:pPr>
          </w:p>
        </w:tc>
      </w:tr>
    </w:tbl>
    <w:p w14:paraId="116710A0">
      <w:pPr>
        <w:rPr>
          <w:rFonts w:ascii="Times New Roman"/>
          <w:color w:val="000000"/>
          <w:sz w:val="24"/>
          <w:szCs w:val="24"/>
        </w:rPr>
      </w:pPr>
    </w:p>
    <w:p w14:paraId="59F7EEDA">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69" w:name="_Toc128950248"/>
      <w:r>
        <w:rPr>
          <w:rFonts w:hint="eastAsia" w:ascii="Times New Roman" w:eastAsia="黑体"/>
          <w:color w:val="000000"/>
          <w:sz w:val="24"/>
          <w:szCs w:val="24"/>
        </w:rPr>
        <w:t>附件13：安全生产合同</w:t>
      </w:r>
      <w:bookmarkEnd w:id="669"/>
    </w:p>
    <w:p w14:paraId="6609F9E0">
      <w:pPr>
        <w:spacing w:before="120" w:beforeLines="50" w:after="120" w:afterLines="50" w:line="360" w:lineRule="auto"/>
        <w:jc w:val="center"/>
        <w:rPr>
          <w:rFonts w:hint="eastAsia" w:ascii="Times New Roman"/>
          <w:b/>
          <w:color w:val="000000"/>
          <w:sz w:val="24"/>
          <w:szCs w:val="24"/>
        </w:rPr>
      </w:pPr>
      <w:bookmarkStart w:id="670" w:name="_Toc11475"/>
      <w:bookmarkStart w:id="671" w:name="_Toc23792"/>
      <w:r>
        <w:rPr>
          <w:rFonts w:hint="eastAsia" w:ascii="Times New Roman"/>
          <w:b/>
          <w:color w:val="000000"/>
          <w:sz w:val="24"/>
          <w:szCs w:val="24"/>
        </w:rPr>
        <w:t>安全生产合同</w:t>
      </w:r>
      <w:bookmarkEnd w:id="670"/>
      <w:bookmarkEnd w:id="671"/>
    </w:p>
    <w:p w14:paraId="630BA260">
      <w:pPr>
        <w:spacing w:line="360" w:lineRule="auto"/>
        <w:ind w:firstLine="480" w:firstLineChars="200"/>
        <w:rPr>
          <w:rFonts w:hint="eastAsia" w:ascii="Times New Roman"/>
          <w:color w:val="000000"/>
          <w:sz w:val="24"/>
          <w:szCs w:val="24"/>
        </w:rPr>
      </w:pPr>
      <w:r>
        <w:rPr>
          <w:rFonts w:hint="eastAsia" w:ascii="Times New Roman"/>
          <w:color w:val="000000"/>
          <w:sz w:val="24"/>
          <w:szCs w:val="24"/>
        </w:rPr>
        <w:t>为在</w:t>
      </w:r>
      <w:r>
        <w:rPr>
          <w:rFonts w:hint="eastAsia" w:ascii="Times New Roman"/>
          <w:color w:val="000000"/>
          <w:sz w:val="24"/>
          <w:szCs w:val="24"/>
          <w:u w:val="single"/>
        </w:rPr>
        <w:t xml:space="preserve">            </w:t>
      </w:r>
      <w:r>
        <w:rPr>
          <w:rFonts w:hint="eastAsia" w:ascii="Times New Roman"/>
          <w:color w:val="000000"/>
          <w:sz w:val="24"/>
          <w:szCs w:val="24"/>
        </w:rPr>
        <w:t>（项目名称）</w:t>
      </w:r>
      <w:r>
        <w:rPr>
          <w:rFonts w:hint="eastAsia" w:ascii="Times New Roman"/>
          <w:color w:val="000000"/>
          <w:sz w:val="24"/>
          <w:szCs w:val="24"/>
          <w:u w:val="single"/>
        </w:rPr>
        <w:t xml:space="preserve">    </w:t>
      </w:r>
      <w:r>
        <w:rPr>
          <w:rFonts w:hint="eastAsia" w:ascii="Times New Roman"/>
          <w:color w:val="000000"/>
          <w:sz w:val="24"/>
          <w:szCs w:val="24"/>
        </w:rPr>
        <w:t>（标段）施工合同的实施过程中创造安全、高效的施工环境，切实搞好本项目的安全管理工作，本项目发包人</w:t>
      </w:r>
      <w:r>
        <w:rPr>
          <w:rFonts w:hint="eastAsia" w:ascii="Times New Roman"/>
          <w:color w:val="000000"/>
          <w:sz w:val="24"/>
          <w:szCs w:val="24"/>
          <w:u w:val="single"/>
        </w:rPr>
        <w:t xml:space="preserve">       </w:t>
      </w:r>
      <w:r>
        <w:rPr>
          <w:rFonts w:hint="eastAsia" w:ascii="Times New Roman"/>
          <w:color w:val="000000"/>
          <w:sz w:val="24"/>
          <w:szCs w:val="24"/>
        </w:rPr>
        <w:t>（发包人名称，以下简称“发包人”）与承包人</w:t>
      </w:r>
      <w:r>
        <w:rPr>
          <w:rFonts w:hint="eastAsia" w:ascii="Times New Roman"/>
          <w:color w:val="000000"/>
          <w:sz w:val="24"/>
          <w:szCs w:val="24"/>
          <w:u w:val="single"/>
        </w:rPr>
        <w:t xml:space="preserve">         </w:t>
      </w:r>
      <w:r>
        <w:rPr>
          <w:rFonts w:hint="eastAsia" w:ascii="Times New Roman"/>
          <w:color w:val="000000"/>
          <w:sz w:val="24"/>
          <w:szCs w:val="24"/>
        </w:rPr>
        <w:t>（承包人名称，以下简称“承包人”）特此签订安全生产合同：</w:t>
      </w:r>
    </w:p>
    <w:p w14:paraId="46FFA5C5">
      <w:pPr>
        <w:spacing w:line="360" w:lineRule="auto"/>
        <w:ind w:firstLine="480" w:firstLineChars="200"/>
        <w:rPr>
          <w:rFonts w:hint="eastAsia" w:ascii="Times New Roman"/>
          <w:color w:val="000000"/>
          <w:sz w:val="24"/>
          <w:szCs w:val="24"/>
        </w:rPr>
      </w:pPr>
      <w:r>
        <w:rPr>
          <w:rFonts w:hint="eastAsia" w:ascii="Times New Roman"/>
          <w:color w:val="000000"/>
          <w:sz w:val="24"/>
          <w:szCs w:val="24"/>
        </w:rPr>
        <w:t>1.发包人职责</w:t>
      </w:r>
    </w:p>
    <w:p w14:paraId="0B9C493E">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（1）严格遵守国家有关安全生产的法律法规，认真执行工程承包合同中的有关安全要求。</w:t>
      </w:r>
    </w:p>
    <w:p w14:paraId="0603D2D8">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（2）按照“安全第一、预防为主”和坚持“管生产必须管安全”的原则进行安全生产管理，做到生产与安全工作同时计划、布置、检查、总结和评比。</w:t>
      </w:r>
    </w:p>
    <w:p w14:paraId="1DA22EC9">
      <w:pPr>
        <w:spacing w:line="360" w:lineRule="auto"/>
        <w:ind w:firstLine="480" w:firstLineChars="200"/>
        <w:rPr>
          <w:rFonts w:hint="eastAsia" w:ascii="Times New Roman"/>
          <w:color w:val="000000"/>
          <w:sz w:val="24"/>
          <w:szCs w:val="24"/>
        </w:rPr>
      </w:pPr>
      <w:r>
        <w:rPr>
          <w:rFonts w:hint="eastAsia" w:ascii="Times New Roman"/>
          <w:color w:val="000000"/>
          <w:sz w:val="24"/>
          <w:szCs w:val="24"/>
        </w:rPr>
        <w:t>（3）重要的安全设施必须坚持与主体工程“三同时”的原则，即：同时设计、审批，同时施工，同时验收，投入使用。</w:t>
      </w:r>
    </w:p>
    <w:p w14:paraId="69CFF3EE">
      <w:pPr>
        <w:spacing w:line="360" w:lineRule="auto"/>
        <w:ind w:firstLine="480" w:firstLineChars="200"/>
        <w:rPr>
          <w:rFonts w:hint="eastAsia" w:ascii="Times New Roman"/>
          <w:color w:val="000000"/>
          <w:sz w:val="24"/>
          <w:szCs w:val="24"/>
        </w:rPr>
      </w:pPr>
      <w:r>
        <w:rPr>
          <w:rFonts w:hint="eastAsia" w:ascii="Times New Roman"/>
          <w:color w:val="000000"/>
          <w:sz w:val="24"/>
          <w:szCs w:val="24"/>
        </w:rPr>
        <w:t>（4）定期召开安全生产调度会，及时传达中央及地方有关安全生产的精神。</w:t>
      </w:r>
    </w:p>
    <w:p w14:paraId="0B30A6E3">
      <w:pPr>
        <w:spacing w:line="360" w:lineRule="auto"/>
        <w:ind w:firstLine="480" w:firstLineChars="200"/>
        <w:rPr>
          <w:rFonts w:hint="eastAsia" w:ascii="Times New Roman"/>
          <w:color w:val="000000"/>
          <w:sz w:val="24"/>
          <w:szCs w:val="24"/>
        </w:rPr>
      </w:pPr>
      <w:r>
        <w:rPr>
          <w:rFonts w:hint="eastAsia" w:ascii="Times New Roman"/>
          <w:color w:val="000000"/>
          <w:sz w:val="24"/>
          <w:szCs w:val="24"/>
        </w:rPr>
        <w:t>（5）组织对承包人施工现场安全生产检查，监督承包人及时处理发现的各种安全隐患。</w:t>
      </w:r>
    </w:p>
    <w:p w14:paraId="208445A2">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2.承包人职责</w:t>
      </w:r>
    </w:p>
    <w:p w14:paraId="5865ED81">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20A350A">
      <w:pPr>
        <w:spacing w:line="360" w:lineRule="auto"/>
        <w:ind w:firstLine="480" w:firstLineChars="200"/>
        <w:rPr>
          <w:rFonts w:hint="eastAsia" w:ascii="Times New Roman"/>
          <w:color w:val="000000"/>
          <w:sz w:val="24"/>
          <w:szCs w:val="24"/>
        </w:rPr>
      </w:pPr>
      <w:r>
        <w:rPr>
          <w:rFonts w:hint="eastAsia" w:ascii="Times New Roman"/>
          <w:color w:val="000000"/>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484ECFD">
      <w:pPr>
        <w:spacing w:line="360" w:lineRule="auto"/>
        <w:ind w:firstLine="480" w:firstLineChars="200"/>
        <w:rPr>
          <w:rFonts w:hint="eastAsia" w:ascii="Times New Roman"/>
          <w:color w:val="000000"/>
          <w:sz w:val="24"/>
          <w:szCs w:val="24"/>
        </w:rPr>
      </w:pPr>
      <w:r>
        <w:rPr>
          <w:rFonts w:hint="eastAsia" w:ascii="Times New Roman"/>
          <w:color w:val="000000"/>
          <w:sz w:val="24"/>
          <w:szCs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65D0B4A">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（4）承包人在任何时候都应采取各种合理的预防措施，防止其员工发生任何违法、违禁、暴力或妨碍治安的行为。</w:t>
      </w:r>
    </w:p>
    <w:p w14:paraId="2C5865B5">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2AEBC94">
      <w:pPr>
        <w:spacing w:line="360" w:lineRule="auto"/>
        <w:ind w:firstLine="480" w:firstLineChars="200"/>
        <w:rPr>
          <w:rFonts w:hint="eastAsia" w:ascii="Times New Roman"/>
          <w:color w:val="000000"/>
          <w:sz w:val="24"/>
          <w:szCs w:val="24"/>
        </w:rPr>
      </w:pPr>
      <w:r>
        <w:rPr>
          <w:rFonts w:hint="eastAsia" w:ascii="Times New Roman"/>
          <w:color w:val="000000"/>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FEFA327">
      <w:pPr>
        <w:spacing w:line="360" w:lineRule="auto"/>
        <w:ind w:firstLine="480" w:firstLineChars="200"/>
        <w:rPr>
          <w:rFonts w:hint="eastAsia" w:ascii="Times New Roman"/>
          <w:color w:val="000000"/>
          <w:sz w:val="24"/>
          <w:szCs w:val="24"/>
        </w:rPr>
      </w:pPr>
      <w:r>
        <w:rPr>
          <w:rFonts w:hint="eastAsia" w:ascii="Times New Roman"/>
          <w:color w:val="000000"/>
          <w:sz w:val="24"/>
          <w:szCs w:val="24"/>
        </w:rPr>
        <w:t>（7）操作人员上岗，必须按规定穿戴防护用品。施工负责人和安全检查员应随时检查劳动防护用品的穿戴情况，不按规定穿戴防护用品的人员不得上岗。</w:t>
      </w:r>
    </w:p>
    <w:p w14:paraId="1064C20A">
      <w:pPr>
        <w:spacing w:line="360" w:lineRule="auto"/>
        <w:ind w:firstLine="480" w:firstLineChars="200"/>
        <w:rPr>
          <w:rFonts w:hint="eastAsia" w:ascii="Times New Roman"/>
          <w:color w:val="000000"/>
          <w:sz w:val="24"/>
          <w:szCs w:val="24"/>
        </w:rPr>
      </w:pPr>
      <w:r>
        <w:rPr>
          <w:rFonts w:hint="eastAsia" w:ascii="Times New Roman"/>
          <w:color w:val="000000"/>
          <w:sz w:val="24"/>
          <w:szCs w:val="24"/>
        </w:rPr>
        <w:t>（8）所有施工机具设备和高空作业的设备均应定期检查，并有安全员的签字记录，保证其经常处于完好状态；不合格的机具、设备和劳动保护用品严禁使用：</w:t>
      </w:r>
    </w:p>
    <w:p w14:paraId="5822827C">
      <w:pPr>
        <w:spacing w:line="360" w:lineRule="auto"/>
        <w:ind w:firstLine="480" w:firstLineChars="200"/>
        <w:rPr>
          <w:rFonts w:hint="eastAsia" w:ascii="Times New Roman"/>
          <w:color w:val="000000"/>
          <w:sz w:val="24"/>
          <w:szCs w:val="24"/>
        </w:rPr>
      </w:pPr>
      <w:r>
        <w:rPr>
          <w:rFonts w:hint="eastAsia" w:ascii="Times New Roman"/>
          <w:color w:val="000000"/>
          <w:sz w:val="24"/>
          <w:szCs w:val="24"/>
        </w:rPr>
        <w:t>（9）施工中采用新技术、新工艺、新设备、新材料时，必须制定相应的安全技术措施，施工现场必须具有相关的安全标志牌。</w:t>
      </w:r>
    </w:p>
    <w:p w14:paraId="260F52FA">
      <w:pPr>
        <w:spacing w:line="360" w:lineRule="auto"/>
        <w:ind w:firstLine="480" w:firstLineChars="200"/>
        <w:rPr>
          <w:rFonts w:hint="eastAsia" w:ascii="Times New Roman"/>
          <w:color w:val="000000"/>
          <w:sz w:val="24"/>
          <w:szCs w:val="24"/>
        </w:rPr>
      </w:pPr>
      <w:r>
        <w:rPr>
          <w:rFonts w:hint="eastAsia" w:ascii="Times New Roman"/>
          <w:color w:val="000000"/>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34078A7">
      <w:pPr>
        <w:spacing w:line="360" w:lineRule="auto"/>
        <w:ind w:firstLine="480" w:firstLineChars="200"/>
        <w:rPr>
          <w:rFonts w:hint="eastAsia" w:ascii="Times New Roman"/>
          <w:color w:val="000000"/>
          <w:sz w:val="24"/>
          <w:szCs w:val="24"/>
        </w:rPr>
      </w:pPr>
      <w:r>
        <w:rPr>
          <w:rFonts w:hint="eastAsia" w:ascii="Times New Roman"/>
          <w:color w:val="000000"/>
          <w:sz w:val="24"/>
          <w:szCs w:val="24"/>
        </w:rPr>
        <w:t>（11）安全生产费用按照《建设工程安全生产管理条例》的相关规定使用和管理。</w:t>
      </w:r>
    </w:p>
    <w:p w14:paraId="4A4E6212">
      <w:pPr>
        <w:spacing w:line="360" w:lineRule="auto"/>
        <w:ind w:firstLine="480" w:firstLineChars="200"/>
        <w:rPr>
          <w:rFonts w:hint="eastAsia" w:ascii="Times New Roman"/>
          <w:color w:val="000000"/>
          <w:sz w:val="24"/>
          <w:szCs w:val="24"/>
        </w:rPr>
      </w:pPr>
      <w:r>
        <w:rPr>
          <w:rFonts w:hint="eastAsia" w:ascii="Times New Roman"/>
          <w:color w:val="000000"/>
          <w:sz w:val="24"/>
          <w:szCs w:val="24"/>
        </w:rPr>
        <w:t>3.违约责任</w:t>
      </w:r>
    </w:p>
    <w:p w14:paraId="4CDF9976">
      <w:pPr>
        <w:spacing w:line="360" w:lineRule="auto"/>
        <w:ind w:firstLine="480" w:firstLineChars="200"/>
        <w:rPr>
          <w:rFonts w:hint="eastAsia" w:ascii="Times New Roman"/>
          <w:color w:val="000000"/>
          <w:sz w:val="24"/>
          <w:szCs w:val="24"/>
        </w:rPr>
      </w:pPr>
      <w:r>
        <w:rPr>
          <w:rFonts w:hint="eastAsia" w:ascii="Times New Roman"/>
          <w:color w:val="000000"/>
          <w:sz w:val="24"/>
          <w:szCs w:val="24"/>
        </w:rPr>
        <w:t>如因发包人或承包人违约造成安全事故，将依法追究责任。</w:t>
      </w:r>
    </w:p>
    <w:p w14:paraId="1E2E4E47">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4.本合同由双方法定代表人或其授权的代理人签署并加盖单位章后生效，全部工程竣工验收后失效。</w:t>
      </w:r>
    </w:p>
    <w:p w14:paraId="26D7A12D">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5.本合同正本—式</w:t>
      </w:r>
      <w:r>
        <w:rPr>
          <w:rFonts w:hint="eastAsia" w:ascii="Times New Roman"/>
          <w:color w:val="000000"/>
          <w:sz w:val="24"/>
          <w:szCs w:val="24"/>
          <w:u w:val="single"/>
        </w:rPr>
        <w:t xml:space="preserve">   </w:t>
      </w:r>
      <w:r>
        <w:rPr>
          <w:rFonts w:hint="eastAsia" w:ascii="Times New Roman"/>
          <w:color w:val="000000"/>
          <w:sz w:val="24"/>
          <w:szCs w:val="24"/>
        </w:rPr>
        <w:t>份，副本</w:t>
      </w:r>
      <w:r>
        <w:rPr>
          <w:rFonts w:hint="eastAsia" w:ascii="Times New Roman"/>
          <w:color w:val="000000"/>
          <w:sz w:val="24"/>
          <w:szCs w:val="24"/>
          <w:u w:val="single"/>
        </w:rPr>
        <w:t xml:space="preserve">  </w:t>
      </w:r>
      <w:r>
        <w:rPr>
          <w:rFonts w:hint="eastAsia" w:ascii="Times New Roman"/>
          <w:color w:val="000000"/>
          <w:sz w:val="24"/>
          <w:szCs w:val="24"/>
        </w:rPr>
        <w:t>份，合同双方各执正本—份，副本</w:t>
      </w:r>
      <w:r>
        <w:rPr>
          <w:rFonts w:hint="eastAsia" w:ascii="Times New Roman"/>
          <w:color w:val="000000"/>
          <w:sz w:val="24"/>
          <w:szCs w:val="24"/>
          <w:u w:val="single"/>
        </w:rPr>
        <w:t xml:space="preserve">  </w:t>
      </w:r>
      <w:r>
        <w:rPr>
          <w:rFonts w:hint="eastAsia" w:ascii="Times New Roman"/>
          <w:color w:val="000000"/>
          <w:sz w:val="24"/>
          <w:szCs w:val="24"/>
        </w:rPr>
        <w:t>份，当正本与副本的内容不一致时，以正本为准。</w:t>
      </w:r>
    </w:p>
    <w:p w14:paraId="116A78AB">
      <w:pPr>
        <w:spacing w:line="360" w:lineRule="auto"/>
        <w:rPr>
          <w:rFonts w:hint="eastAsia" w:ascii="Times New Roman" w:eastAsia="隶书"/>
          <w:color w:val="000000"/>
          <w:sz w:val="24"/>
          <w:szCs w:val="24"/>
        </w:rPr>
      </w:pPr>
    </w:p>
    <w:p w14:paraId="790DE258">
      <w:pPr>
        <w:spacing w:line="360" w:lineRule="auto"/>
        <w:rPr>
          <w:rFonts w:hint="eastAsia" w:ascii="Times New Roman" w:eastAsia="隶书"/>
          <w:color w:val="000000"/>
          <w:sz w:val="24"/>
          <w:szCs w:val="24"/>
        </w:rPr>
      </w:pPr>
    </w:p>
    <w:p w14:paraId="75937448">
      <w:pPr>
        <w:spacing w:line="360" w:lineRule="auto"/>
        <w:rPr>
          <w:rFonts w:hint="eastAsia" w:ascii="Times New Roman"/>
          <w:color w:val="000000"/>
          <w:sz w:val="24"/>
          <w:szCs w:val="24"/>
        </w:rPr>
      </w:pPr>
      <w:r>
        <w:rPr>
          <w:rFonts w:hint="eastAsia" w:ascii="Times New Roman"/>
          <w:color w:val="000000"/>
          <w:sz w:val="24"/>
          <w:szCs w:val="24"/>
        </w:rPr>
        <w:t>发包人：</w:t>
      </w:r>
      <w:r>
        <w:rPr>
          <w:rFonts w:hint="eastAsia" w:ascii="Times New Roman"/>
          <w:color w:val="000000"/>
          <w:sz w:val="24"/>
          <w:szCs w:val="24"/>
          <w:u w:val="single"/>
        </w:rPr>
        <w:t xml:space="preserve">            </w:t>
      </w:r>
      <w:r>
        <w:rPr>
          <w:rFonts w:hint="eastAsia" w:ascii="Times New Roman"/>
          <w:color w:val="000000"/>
          <w:sz w:val="24"/>
          <w:szCs w:val="24"/>
        </w:rPr>
        <w:t>（盖单位章）          承包人：</w:t>
      </w:r>
      <w:r>
        <w:rPr>
          <w:rFonts w:hint="eastAsia" w:ascii="Times New Roman"/>
          <w:color w:val="000000"/>
          <w:sz w:val="24"/>
          <w:szCs w:val="24"/>
          <w:u w:val="single"/>
        </w:rPr>
        <w:t xml:space="preserve">        </w:t>
      </w:r>
      <w:r>
        <w:rPr>
          <w:rFonts w:hint="eastAsia" w:ascii="Times New Roman"/>
          <w:color w:val="000000"/>
          <w:sz w:val="24"/>
          <w:szCs w:val="24"/>
        </w:rPr>
        <w:t>（盖单位章）</w:t>
      </w:r>
    </w:p>
    <w:p w14:paraId="18BA2B86">
      <w:pPr>
        <w:spacing w:line="360" w:lineRule="auto"/>
        <w:rPr>
          <w:rFonts w:hint="eastAsia" w:ascii="Times New Roman"/>
          <w:color w:val="000000"/>
          <w:sz w:val="24"/>
          <w:szCs w:val="24"/>
        </w:rPr>
      </w:pPr>
    </w:p>
    <w:p w14:paraId="52A4D4B2">
      <w:pPr>
        <w:spacing w:line="360" w:lineRule="auto"/>
        <w:rPr>
          <w:rFonts w:hint="eastAsia" w:ascii="Times New Roman"/>
          <w:color w:val="000000"/>
          <w:sz w:val="24"/>
          <w:szCs w:val="24"/>
        </w:rPr>
      </w:pPr>
      <w:r>
        <w:rPr>
          <w:rFonts w:hint="eastAsia" w:ascii="Times New Roman"/>
          <w:color w:val="000000"/>
          <w:sz w:val="24"/>
          <w:szCs w:val="24"/>
        </w:rPr>
        <w:t>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     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w:t>
      </w:r>
    </w:p>
    <w:p w14:paraId="41CAA1C8">
      <w:pPr>
        <w:spacing w:line="360" w:lineRule="auto"/>
        <w:rPr>
          <w:rFonts w:hint="eastAsia" w:ascii="Times New Roman"/>
          <w:color w:val="000000"/>
          <w:sz w:val="24"/>
          <w:szCs w:val="24"/>
        </w:rPr>
      </w:pPr>
    </w:p>
    <w:p w14:paraId="0E782656">
      <w:pPr>
        <w:spacing w:line="360" w:lineRule="auto"/>
        <w:ind w:firstLine="840"/>
        <w:rPr>
          <w:rFonts w:hint="eastAsia" w:ascii="Times New Roman"/>
          <w:color w:val="000000"/>
          <w:sz w:val="24"/>
          <w:szCs w:val="24"/>
        </w:rPr>
      </w:pP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 xml:space="preserve">日                </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w:t>
      </w:r>
    </w:p>
    <w:p w14:paraId="32DD45F0">
      <w:pPr>
        <w:spacing w:before="240" w:beforeLines="100" w:after="240" w:afterLines="100"/>
        <w:outlineLvl w:val="2"/>
        <w:rPr>
          <w:rFonts w:hint="eastAsia" w:ascii="Times New Roman" w:eastAsia="黑体"/>
          <w:color w:val="000000"/>
          <w:sz w:val="24"/>
          <w:szCs w:val="24"/>
        </w:rPr>
      </w:pPr>
      <w:r>
        <w:rPr>
          <w:rFonts w:ascii="Times New Roman" w:eastAsia="黑体"/>
          <w:bCs/>
          <w:color w:val="000000"/>
          <w:kern w:val="44"/>
          <w:sz w:val="24"/>
          <w:szCs w:val="24"/>
        </w:rPr>
        <w:br w:type="page"/>
      </w:r>
      <w:bookmarkStart w:id="672" w:name="_Toc128950249"/>
      <w:r>
        <w:rPr>
          <w:rFonts w:hint="eastAsia" w:ascii="Times New Roman" w:eastAsia="黑体"/>
          <w:color w:val="000000"/>
          <w:sz w:val="24"/>
          <w:szCs w:val="24"/>
        </w:rPr>
        <w:t>附件14：项目经理质量终身责任制承诺</w:t>
      </w:r>
      <w:bookmarkEnd w:id="672"/>
    </w:p>
    <w:p w14:paraId="527A6AB0">
      <w:pPr>
        <w:spacing w:before="120" w:beforeLines="50" w:after="120" w:afterLines="50" w:line="360" w:lineRule="auto"/>
        <w:jc w:val="center"/>
        <w:rPr>
          <w:rFonts w:hint="eastAsia" w:ascii="Times New Roman"/>
          <w:b/>
          <w:color w:val="000000"/>
          <w:sz w:val="24"/>
          <w:szCs w:val="24"/>
        </w:rPr>
      </w:pPr>
      <w:bookmarkStart w:id="673" w:name="_Toc14540"/>
      <w:bookmarkStart w:id="674" w:name="_Toc128950250"/>
      <w:bookmarkStart w:id="675" w:name="_Toc19417"/>
      <w:r>
        <w:rPr>
          <w:rFonts w:hint="eastAsia" w:ascii="Times New Roman"/>
          <w:b/>
          <w:color w:val="000000"/>
          <w:sz w:val="24"/>
          <w:szCs w:val="24"/>
        </w:rPr>
        <w:t>项目经理质量终身责任制承诺</w:t>
      </w:r>
      <w:bookmarkEnd w:id="673"/>
      <w:bookmarkEnd w:id="674"/>
      <w:bookmarkEnd w:id="675"/>
    </w:p>
    <w:p w14:paraId="48A3AE8F">
      <w:pPr>
        <w:spacing w:line="360" w:lineRule="auto"/>
        <w:rPr>
          <w:rFonts w:hint="eastAsia" w:ascii="Times New Roman"/>
          <w:bCs/>
          <w:color w:val="000000"/>
          <w:sz w:val="24"/>
          <w:szCs w:val="24"/>
        </w:rPr>
      </w:pPr>
      <w:r>
        <w:rPr>
          <w:rFonts w:hint="eastAsia" w:ascii="Times New Roman" w:cs="宋体"/>
          <w:bCs/>
          <w:color w:val="000000"/>
          <w:sz w:val="24"/>
          <w:szCs w:val="24"/>
          <w:u w:val="none"/>
        </w:rPr>
        <w:t>致：</w:t>
      </w:r>
      <w:r>
        <w:rPr>
          <w:rFonts w:hint="eastAsia" w:ascii="Times New Roman" w:cs="宋体"/>
          <w:bCs/>
          <w:color w:val="000000"/>
          <w:sz w:val="24"/>
          <w:szCs w:val="24"/>
          <w:u w:val="single"/>
        </w:rPr>
        <w:t>（招标人）</w:t>
      </w:r>
    </w:p>
    <w:p w14:paraId="5A93B30F">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本人作为施工项目经理，承担相关质量终身责任，现郑重承诺如下：</w:t>
      </w:r>
    </w:p>
    <w:p w14:paraId="48D6CFB4">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一、在取得施工许可证后进行施工。</w:t>
      </w:r>
    </w:p>
    <w:p w14:paraId="248E550C">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二、严格执行施工规范及标准。</w:t>
      </w:r>
    </w:p>
    <w:p w14:paraId="4AD9C7CF">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三、严格按规定配备施工项目部关键岗位人员，并确保所有人员到岗履职。</w:t>
      </w:r>
    </w:p>
    <w:p w14:paraId="2FD7F35D">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四、严格按照经施工图审查机构审查合格的工程设计文件及合同约定的质量标准精心组织施工。</w:t>
      </w:r>
    </w:p>
    <w:p w14:paraId="58DDB252">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五、施工中采用合格的建筑材料、建筑构配件和设备等，并严格按规定执行见证取样制度。</w:t>
      </w:r>
    </w:p>
    <w:p w14:paraId="7334B523">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六、建立、健全质量检查、验收制度，严格工序管理，做好隐蔽工程质量的检查和记录。</w:t>
      </w:r>
    </w:p>
    <w:p w14:paraId="27782951">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七、对施工中出现的质量问题，及时进行整改。严格依法依规履行义务。</w:t>
      </w:r>
    </w:p>
    <w:p w14:paraId="5380308E">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八、履行相关工程质量检查、验收及事故处理等职责。</w:t>
      </w:r>
    </w:p>
    <w:p w14:paraId="690CA3C6">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九、履行其他法律法规规定的职责。</w:t>
      </w:r>
    </w:p>
    <w:p w14:paraId="0F9E4A98">
      <w:pPr>
        <w:spacing w:line="360" w:lineRule="auto"/>
        <w:ind w:left="342" w:leftChars="171" w:firstLine="720" w:firstLineChars="300"/>
        <w:rPr>
          <w:rFonts w:hint="eastAsia" w:ascii="Times New Roman"/>
          <w:bCs/>
          <w:color w:val="000000"/>
          <w:sz w:val="24"/>
          <w:szCs w:val="24"/>
        </w:rPr>
      </w:pPr>
    </w:p>
    <w:p w14:paraId="1F13A765">
      <w:pPr>
        <w:spacing w:line="360" w:lineRule="auto"/>
        <w:ind w:left="342" w:leftChars="171" w:firstLine="720" w:firstLineChars="300"/>
        <w:rPr>
          <w:rFonts w:hint="eastAsia" w:ascii="Times New Roman"/>
          <w:bCs/>
          <w:color w:val="000000"/>
          <w:sz w:val="24"/>
          <w:szCs w:val="24"/>
        </w:rPr>
      </w:pPr>
    </w:p>
    <w:p w14:paraId="35CA650C">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项目经理：</w:t>
      </w:r>
      <w:r>
        <w:rPr>
          <w:rFonts w:hint="eastAsia" w:ascii="Times New Roman"/>
          <w:bCs/>
          <w:color w:val="000000"/>
          <w:sz w:val="24"/>
          <w:szCs w:val="24"/>
          <w:u w:val="single"/>
        </w:rPr>
        <w:t xml:space="preserve">                   </w:t>
      </w:r>
      <w:r>
        <w:rPr>
          <w:rFonts w:hint="eastAsia" w:ascii="Times New Roman"/>
          <w:bCs/>
          <w:color w:val="000000"/>
          <w:sz w:val="24"/>
          <w:szCs w:val="24"/>
        </w:rPr>
        <w:t>（签字）</w:t>
      </w:r>
    </w:p>
    <w:p w14:paraId="491A35E1">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日期：_____年____月____日</w:t>
      </w:r>
    </w:p>
    <w:p w14:paraId="1E3433D3">
      <w:pPr>
        <w:rPr>
          <w:sz w:val="24"/>
          <w:szCs w:val="24"/>
        </w:rPr>
      </w:pPr>
    </w:p>
    <w:p w14:paraId="537AB369">
      <w:pPr>
        <w:rPr>
          <w:rFonts w:hint="eastAsia"/>
          <w:b/>
          <w:color w:val="auto"/>
          <w:sz w:val="28"/>
          <w:highlight w:val="none"/>
        </w:rPr>
      </w:pPr>
      <w:r>
        <w:rPr>
          <w:rFonts w:hint="eastAsia"/>
          <w:b/>
          <w:color w:val="auto"/>
          <w:sz w:val="28"/>
          <w:highlight w:val="none"/>
        </w:rPr>
        <w:br w:type="page"/>
      </w:r>
    </w:p>
    <w:p w14:paraId="691D7D43">
      <w:pPr>
        <w:spacing w:line="360" w:lineRule="auto"/>
        <w:jc w:val="center"/>
        <w:outlineLvl w:val="0"/>
        <w:rPr>
          <w:rFonts w:hint="eastAsia" w:ascii="宋体" w:hAnsi="宋体" w:eastAsia="宋体" w:cs="Times New Roman"/>
          <w:b/>
          <w:color w:val="auto"/>
          <w:sz w:val="28"/>
          <w:highlight w:val="none"/>
        </w:rPr>
      </w:pPr>
      <w:bookmarkStart w:id="676" w:name="_Toc30959"/>
      <w:r>
        <w:rPr>
          <w:rFonts w:hint="eastAsia" w:ascii="宋体" w:hAnsi="宋体" w:eastAsia="宋体" w:cs="Times New Roman"/>
          <w:b/>
          <w:color w:val="auto"/>
          <w:sz w:val="28"/>
          <w:highlight w:val="none"/>
        </w:rPr>
        <w:t>第六章  响应文件格式</w:t>
      </w:r>
      <w:bookmarkEnd w:id="676"/>
    </w:p>
    <w:p w14:paraId="53CF82C1">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上派中学、肥西三中手球及排球考试场地新建项目</w:t>
      </w:r>
    </w:p>
    <w:p w14:paraId="0510187C">
      <w:pPr>
        <w:spacing w:line="900" w:lineRule="exact"/>
        <w:jc w:val="center"/>
        <w:outlineLvl w:val="2"/>
        <w:rPr>
          <w:rFonts w:hint="eastAsia"/>
          <w:b/>
          <w:color w:val="auto"/>
          <w:sz w:val="72"/>
          <w:highlight w:val="none"/>
        </w:rPr>
      </w:pPr>
    </w:p>
    <w:p w14:paraId="604C9E7C">
      <w:pPr>
        <w:spacing w:line="900" w:lineRule="exact"/>
        <w:jc w:val="center"/>
        <w:outlineLvl w:val="2"/>
        <w:rPr>
          <w:b/>
          <w:color w:val="auto"/>
          <w:sz w:val="72"/>
          <w:highlight w:val="none"/>
        </w:rPr>
      </w:pPr>
      <w:r>
        <w:rPr>
          <w:rFonts w:hint="eastAsia"/>
          <w:b/>
          <w:color w:val="auto"/>
          <w:sz w:val="72"/>
          <w:highlight w:val="none"/>
        </w:rPr>
        <w:t>响</w:t>
      </w:r>
    </w:p>
    <w:p w14:paraId="46CE53EE">
      <w:pPr>
        <w:spacing w:line="900" w:lineRule="exact"/>
        <w:jc w:val="center"/>
        <w:rPr>
          <w:b/>
          <w:color w:val="auto"/>
          <w:sz w:val="72"/>
          <w:highlight w:val="none"/>
        </w:rPr>
      </w:pPr>
    </w:p>
    <w:p w14:paraId="2E4484CE">
      <w:pPr>
        <w:spacing w:line="900" w:lineRule="exact"/>
        <w:jc w:val="center"/>
        <w:outlineLvl w:val="2"/>
        <w:rPr>
          <w:b/>
          <w:color w:val="auto"/>
          <w:sz w:val="72"/>
          <w:highlight w:val="none"/>
        </w:rPr>
      </w:pPr>
      <w:r>
        <w:rPr>
          <w:rFonts w:hint="eastAsia"/>
          <w:b/>
          <w:color w:val="auto"/>
          <w:sz w:val="72"/>
          <w:highlight w:val="none"/>
        </w:rPr>
        <w:t>应</w:t>
      </w:r>
    </w:p>
    <w:p w14:paraId="1F308070">
      <w:pPr>
        <w:spacing w:line="900" w:lineRule="exact"/>
        <w:jc w:val="center"/>
        <w:rPr>
          <w:b/>
          <w:color w:val="auto"/>
          <w:sz w:val="72"/>
          <w:highlight w:val="none"/>
        </w:rPr>
      </w:pPr>
    </w:p>
    <w:p w14:paraId="2F901558">
      <w:pPr>
        <w:spacing w:line="900" w:lineRule="exact"/>
        <w:jc w:val="center"/>
        <w:outlineLvl w:val="2"/>
        <w:rPr>
          <w:b/>
          <w:color w:val="auto"/>
          <w:sz w:val="72"/>
          <w:highlight w:val="none"/>
        </w:rPr>
      </w:pPr>
      <w:r>
        <w:rPr>
          <w:rFonts w:hint="eastAsia"/>
          <w:b/>
          <w:color w:val="auto"/>
          <w:sz w:val="72"/>
          <w:highlight w:val="none"/>
        </w:rPr>
        <w:t>文</w:t>
      </w:r>
    </w:p>
    <w:p w14:paraId="07AB88C5">
      <w:pPr>
        <w:spacing w:line="900" w:lineRule="exact"/>
        <w:jc w:val="center"/>
        <w:rPr>
          <w:b/>
          <w:color w:val="auto"/>
          <w:sz w:val="72"/>
          <w:highlight w:val="none"/>
        </w:rPr>
      </w:pPr>
    </w:p>
    <w:p w14:paraId="6714C872">
      <w:pPr>
        <w:jc w:val="center"/>
        <w:outlineLvl w:val="2"/>
        <w:rPr>
          <w:b/>
          <w:color w:val="auto"/>
          <w:sz w:val="72"/>
          <w:highlight w:val="none"/>
        </w:rPr>
      </w:pPr>
      <w:r>
        <w:rPr>
          <w:rFonts w:hint="eastAsia"/>
          <w:b/>
          <w:color w:val="auto"/>
          <w:sz w:val="72"/>
          <w:highlight w:val="none"/>
        </w:rPr>
        <w:t>件</w:t>
      </w:r>
    </w:p>
    <w:p w14:paraId="79B56687">
      <w:pPr>
        <w:spacing w:after="156" w:afterLines="50"/>
        <w:jc w:val="center"/>
        <w:rPr>
          <w:b/>
          <w:color w:val="auto"/>
          <w:sz w:val="72"/>
          <w:highlight w:val="none"/>
        </w:rPr>
      </w:pPr>
    </w:p>
    <w:p w14:paraId="1A3E24E4">
      <w:pPr>
        <w:spacing w:after="156" w:afterLines="50" w:line="500" w:lineRule="exact"/>
        <w:jc w:val="center"/>
        <w:rPr>
          <w:b/>
          <w:color w:val="auto"/>
          <w:sz w:val="28"/>
          <w:szCs w:val="28"/>
          <w:highlight w:val="none"/>
        </w:rPr>
      </w:pPr>
    </w:p>
    <w:p w14:paraId="03DC0EBC">
      <w:pPr>
        <w:spacing w:after="156" w:afterLines="50" w:line="500" w:lineRule="exact"/>
        <w:jc w:val="center"/>
        <w:rPr>
          <w:b/>
          <w:color w:val="auto"/>
          <w:sz w:val="72"/>
          <w:highlight w:val="none"/>
        </w:rPr>
      </w:pPr>
    </w:p>
    <w:p w14:paraId="7DD6A0B0">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供应商</w:t>
      </w:r>
      <w:r>
        <w:rPr>
          <w:rFonts w:hint="eastAsia"/>
          <w:b/>
          <w:color w:val="auto"/>
          <w:sz w:val="32"/>
          <w:highlight w:val="none"/>
        </w:rPr>
        <w:t>：</w:t>
      </w:r>
      <w:r>
        <w:rPr>
          <w:rFonts w:hint="eastAsia"/>
          <w:b/>
          <w:color w:val="auto"/>
          <w:sz w:val="32"/>
          <w:highlight w:val="none"/>
          <w:u w:val="single"/>
        </w:rPr>
        <w:t xml:space="preserve">               </w:t>
      </w:r>
    </w:p>
    <w:p w14:paraId="32611BAA">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677" w:name="_Toc328"/>
      <w:bookmarkStart w:id="678" w:name="_Toc3471"/>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677"/>
      <w:bookmarkEnd w:id="678"/>
    </w:p>
    <w:p w14:paraId="1E0D8F57">
      <w:pPr>
        <w:widowControl/>
        <w:jc w:val="center"/>
        <w:rPr>
          <w:b/>
          <w:color w:val="auto"/>
          <w:sz w:val="24"/>
          <w:highlight w:val="none"/>
        </w:rPr>
      </w:pPr>
      <w:r>
        <w:rPr>
          <w:b/>
          <w:color w:val="auto"/>
          <w:sz w:val="28"/>
          <w:highlight w:val="none"/>
        </w:rPr>
        <w:br w:type="page"/>
      </w:r>
      <w:bookmarkStart w:id="679" w:name="_Toc461056631"/>
      <w:bookmarkStart w:id="680" w:name="_Toc461053086"/>
      <w:bookmarkStart w:id="681" w:name="_Toc520983587"/>
      <w:r>
        <w:rPr>
          <w:rFonts w:hint="eastAsia"/>
          <w:b/>
          <w:color w:val="auto"/>
          <w:sz w:val="24"/>
          <w:highlight w:val="none"/>
        </w:rPr>
        <w:t>一</w:t>
      </w:r>
      <w:bookmarkEnd w:id="679"/>
      <w:bookmarkEnd w:id="680"/>
      <w:r>
        <w:rPr>
          <w:rFonts w:hint="eastAsia"/>
          <w:b/>
          <w:color w:val="auto"/>
          <w:sz w:val="24"/>
          <w:highlight w:val="none"/>
        </w:rPr>
        <w:t>、报价表格式</w:t>
      </w:r>
      <w:bookmarkEnd w:id="681"/>
    </w:p>
    <w:p w14:paraId="6B77D281">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2DCD25F3">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上派中学、肥西三中手球及排球考试场地新建项目</w:t>
      </w:r>
    </w:p>
    <w:p w14:paraId="3A988E55">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2026PHGN115</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F9A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1A1FDAB">
            <w:pPr>
              <w:jc w:val="center"/>
              <w:rPr>
                <w:rFonts w:cs="宋体"/>
                <w:b/>
                <w:color w:val="auto"/>
                <w:kern w:val="2"/>
                <w:sz w:val="24"/>
                <w:szCs w:val="24"/>
                <w:highlight w:val="none"/>
              </w:rPr>
            </w:pPr>
            <w:r>
              <w:rPr>
                <w:rFonts w:hint="eastAsia"/>
                <w:b/>
                <w:color w:val="auto"/>
                <w:sz w:val="24"/>
                <w:szCs w:val="18"/>
                <w:highlight w:val="none"/>
                <w:lang w:eastAsia="zh-CN"/>
              </w:rPr>
              <w:t>供应商</w:t>
            </w:r>
            <w:r>
              <w:rPr>
                <w:rFonts w:hint="eastAsia" w:cs="宋体"/>
                <w:b/>
                <w:color w:val="auto"/>
                <w:kern w:val="2"/>
                <w:sz w:val="24"/>
                <w:szCs w:val="24"/>
                <w:highlight w:val="none"/>
              </w:rPr>
              <w:t>名称</w:t>
            </w:r>
          </w:p>
        </w:tc>
        <w:tc>
          <w:tcPr>
            <w:tcW w:w="6063" w:type="dxa"/>
            <w:tcBorders>
              <w:left w:val="single" w:color="auto" w:sz="4" w:space="0"/>
            </w:tcBorders>
          </w:tcPr>
          <w:p w14:paraId="49EA1268">
            <w:pPr>
              <w:rPr>
                <w:rFonts w:cs="宋体"/>
                <w:b/>
                <w:color w:val="auto"/>
                <w:kern w:val="2"/>
                <w:sz w:val="24"/>
                <w:szCs w:val="24"/>
                <w:highlight w:val="none"/>
              </w:rPr>
            </w:pPr>
          </w:p>
        </w:tc>
      </w:tr>
      <w:tr w14:paraId="780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75D1390">
            <w:pPr>
              <w:jc w:val="center"/>
              <w:rPr>
                <w:rFonts w:cs="宋体"/>
                <w:b/>
                <w:color w:val="auto"/>
                <w:kern w:val="2"/>
                <w:sz w:val="24"/>
                <w:szCs w:val="24"/>
                <w:highlight w:val="none"/>
              </w:rPr>
            </w:pPr>
            <w:r>
              <w:rPr>
                <w:rFonts w:hint="eastAsia" w:cs="宋体"/>
                <w:b/>
                <w:bCs/>
                <w:color w:val="auto"/>
                <w:kern w:val="2"/>
                <w:sz w:val="24"/>
                <w:szCs w:val="24"/>
                <w:highlight w:val="none"/>
                <w:lang w:eastAsia="zh-CN"/>
              </w:rPr>
              <w:t>磋商</w:t>
            </w:r>
            <w:r>
              <w:rPr>
                <w:rFonts w:hint="eastAsia" w:cs="宋体"/>
                <w:b/>
                <w:color w:val="auto"/>
                <w:kern w:val="2"/>
                <w:sz w:val="24"/>
                <w:szCs w:val="24"/>
                <w:highlight w:val="none"/>
              </w:rPr>
              <w:t>范围</w:t>
            </w:r>
          </w:p>
        </w:tc>
        <w:tc>
          <w:tcPr>
            <w:tcW w:w="6063" w:type="dxa"/>
            <w:tcBorders>
              <w:left w:val="single" w:color="auto" w:sz="4" w:space="0"/>
            </w:tcBorders>
            <w:vAlign w:val="center"/>
          </w:tcPr>
          <w:p w14:paraId="71E7AE5A">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1F68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118D7A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000C9B94">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4DB5430D">
            <w:pPr>
              <w:snapToGrid w:val="0"/>
              <w:rPr>
                <w:rFonts w:cs="宋体"/>
                <w:color w:val="auto"/>
                <w:kern w:val="2"/>
                <w:sz w:val="24"/>
                <w:szCs w:val="24"/>
                <w:highlight w:val="none"/>
              </w:rPr>
            </w:pPr>
          </w:p>
          <w:p w14:paraId="05E2159A">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2F05BE64">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30A4127E">
            <w:pPr>
              <w:snapToGrid w:val="0"/>
              <w:rPr>
                <w:rFonts w:cs="宋体"/>
                <w:b/>
                <w:color w:val="auto"/>
                <w:kern w:val="2"/>
                <w:sz w:val="24"/>
                <w:szCs w:val="24"/>
                <w:highlight w:val="none"/>
              </w:rPr>
            </w:pPr>
          </w:p>
        </w:tc>
      </w:tr>
      <w:tr w14:paraId="5D5E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688AFC5">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36AE3994">
            <w:pPr>
              <w:snapToGrid w:val="0"/>
              <w:rPr>
                <w:rFonts w:cs="宋体"/>
                <w:b/>
                <w:color w:val="auto"/>
                <w:kern w:val="2"/>
                <w:sz w:val="24"/>
                <w:szCs w:val="24"/>
                <w:highlight w:val="none"/>
              </w:rPr>
            </w:pPr>
          </w:p>
        </w:tc>
      </w:tr>
      <w:tr w14:paraId="2F33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84EC815">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320C95C4">
            <w:pPr>
              <w:snapToGrid w:val="0"/>
              <w:rPr>
                <w:rFonts w:cs="宋体"/>
                <w:b/>
                <w:color w:val="auto"/>
                <w:kern w:val="2"/>
                <w:sz w:val="24"/>
                <w:szCs w:val="24"/>
                <w:highlight w:val="none"/>
              </w:rPr>
            </w:pPr>
          </w:p>
        </w:tc>
      </w:tr>
      <w:tr w14:paraId="14EA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F0B12E4">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15E44430">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1382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E4A6CC5">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5B984B76">
            <w:pPr>
              <w:rPr>
                <w:rFonts w:cs="宋体"/>
                <w:b/>
                <w:color w:val="auto"/>
                <w:kern w:val="2"/>
                <w:sz w:val="24"/>
                <w:szCs w:val="24"/>
                <w:highlight w:val="none"/>
              </w:rPr>
            </w:pPr>
          </w:p>
        </w:tc>
      </w:tr>
    </w:tbl>
    <w:p w14:paraId="33A647D5">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69C2D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040327B">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0D120EFF">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文件要求提供的全部内容的所有费用。</w:t>
      </w:r>
    </w:p>
    <w:p w14:paraId="7C6D2857">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4A3A218D">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供应商</w:t>
      </w:r>
      <w:r>
        <w:rPr>
          <w:rFonts w:hint="eastAsia"/>
          <w:b/>
          <w:bCs/>
          <w:color w:val="auto"/>
          <w:sz w:val="24"/>
          <w:szCs w:val="24"/>
          <w:highlight w:val="none"/>
        </w:rPr>
        <w:t>填写的唱标信息不作为评审依据。</w:t>
      </w:r>
    </w:p>
    <w:p w14:paraId="055AC5FC">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74941302">
      <w:pPr>
        <w:autoSpaceDE w:val="0"/>
        <w:autoSpaceDN w:val="0"/>
        <w:adjustRightInd w:val="0"/>
        <w:spacing w:before="20" w:after="20" w:line="360" w:lineRule="auto"/>
        <w:jc w:val="center"/>
        <w:rPr>
          <w:rFonts w:cs="宋体"/>
          <w:b/>
          <w:color w:val="auto"/>
          <w:sz w:val="24"/>
          <w:szCs w:val="24"/>
          <w:highlight w:val="none"/>
        </w:rPr>
      </w:pPr>
    </w:p>
    <w:p w14:paraId="4751BFE9">
      <w:pPr>
        <w:autoSpaceDE w:val="0"/>
        <w:autoSpaceDN w:val="0"/>
        <w:adjustRightInd w:val="0"/>
        <w:spacing w:before="20" w:after="20" w:line="360" w:lineRule="auto"/>
        <w:jc w:val="center"/>
        <w:outlineLvl w:val="1"/>
        <w:rPr>
          <w:rFonts w:cs="宋体"/>
          <w:b/>
          <w:color w:val="auto"/>
          <w:sz w:val="24"/>
          <w:szCs w:val="24"/>
          <w:highlight w:val="none"/>
        </w:rPr>
      </w:pPr>
      <w:bookmarkStart w:id="682" w:name="_Toc22545"/>
      <w:bookmarkStart w:id="683" w:name="_Toc32660"/>
      <w:r>
        <w:rPr>
          <w:rFonts w:hint="eastAsia" w:cs="宋体"/>
          <w:b/>
          <w:color w:val="auto"/>
          <w:sz w:val="24"/>
          <w:szCs w:val="24"/>
          <w:highlight w:val="none"/>
        </w:rPr>
        <w:t>工程量清单报价书</w:t>
      </w:r>
      <w:bookmarkEnd w:id="682"/>
      <w:bookmarkEnd w:id="683"/>
    </w:p>
    <w:p w14:paraId="5C969317">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447DCEFC">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6CED7C6">
      <w:pPr>
        <w:widowControl/>
        <w:jc w:val="center"/>
        <w:rPr>
          <w:rFonts w:cs="@仿宋_GB2312"/>
          <w:b/>
          <w:bCs/>
          <w:color w:val="auto"/>
          <w:kern w:val="2"/>
          <w:sz w:val="24"/>
          <w:szCs w:val="24"/>
          <w:highlight w:val="none"/>
        </w:rPr>
      </w:pPr>
      <w:bookmarkStart w:id="684"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供应商</w:t>
      </w:r>
      <w:r>
        <w:rPr>
          <w:rFonts w:hint="eastAsia"/>
          <w:b/>
          <w:color w:val="auto"/>
          <w:sz w:val="24"/>
          <w:highlight w:val="none"/>
        </w:rPr>
        <w:t>综合情况简介</w:t>
      </w:r>
    </w:p>
    <w:p w14:paraId="1A0CB63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供应商</w:t>
      </w:r>
      <w:r>
        <w:rPr>
          <w:rFonts w:hint="eastAsia"/>
          <w:color w:val="auto"/>
          <w:sz w:val="24"/>
          <w:szCs w:val="28"/>
          <w:highlight w:val="none"/>
        </w:rPr>
        <w:t>可自行制作格式）</w:t>
      </w:r>
    </w:p>
    <w:p w14:paraId="33C45276">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磋商</w:t>
      </w:r>
      <w:r>
        <w:rPr>
          <w:rFonts w:hint="eastAsia"/>
          <w:b/>
          <w:color w:val="auto"/>
          <w:sz w:val="24"/>
          <w:highlight w:val="none"/>
        </w:rPr>
        <w:t>响应函</w:t>
      </w:r>
      <w:bookmarkEnd w:id="684"/>
    </w:p>
    <w:p w14:paraId="1B4DE3BA">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p>
    <w:p w14:paraId="0E7EB60E">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3625D5E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磋商</w:t>
      </w:r>
      <w:r>
        <w:rPr>
          <w:rFonts w:hint="eastAsia" w:cs="宋体"/>
          <w:color w:val="auto"/>
          <w:kern w:val="2"/>
          <w:sz w:val="24"/>
          <w:szCs w:val="24"/>
          <w:highlight w:val="none"/>
        </w:rPr>
        <w:t>公告和</w:t>
      </w:r>
      <w:r>
        <w:rPr>
          <w:rFonts w:hint="eastAsia" w:cs="宋体"/>
          <w:color w:val="auto"/>
          <w:kern w:val="2"/>
          <w:sz w:val="24"/>
          <w:szCs w:val="24"/>
          <w:highlight w:val="none"/>
          <w:lang w:eastAsia="zh-CN"/>
        </w:rPr>
        <w:t>磋商</w:t>
      </w:r>
      <w:r>
        <w:rPr>
          <w:rFonts w:hint="eastAsia" w:cs="宋体"/>
          <w:color w:val="auto"/>
          <w:kern w:val="2"/>
          <w:sz w:val="24"/>
          <w:szCs w:val="24"/>
          <w:highlight w:val="none"/>
        </w:rPr>
        <w:t>邀请，我方兹宣布同意如下：</w:t>
      </w:r>
    </w:p>
    <w:p w14:paraId="1DD5631B">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文件的</w:t>
      </w:r>
      <w:r>
        <w:rPr>
          <w:rFonts w:hint="eastAsia" w:cs="宋体"/>
          <w:color w:val="auto"/>
          <w:kern w:val="2"/>
          <w:sz w:val="24"/>
          <w:szCs w:val="24"/>
          <w:highlight w:val="none"/>
          <w:lang w:eastAsia="zh-CN"/>
        </w:rPr>
        <w:t>磋商</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磋商</w:t>
      </w:r>
      <w:r>
        <w:rPr>
          <w:rFonts w:hint="eastAsia" w:cs="宋体"/>
          <w:bCs/>
          <w:color w:val="auto"/>
          <w:kern w:val="2"/>
          <w:sz w:val="24"/>
          <w:szCs w:val="24"/>
          <w:highlight w:val="none"/>
        </w:rPr>
        <w:t>文件、施工图纸、合同条款和工程建设技术标准的条件、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如我方成交，我方承诺愿意按</w:t>
      </w:r>
      <w:r>
        <w:rPr>
          <w:rFonts w:hint="eastAsia" w:cs="宋体"/>
          <w:color w:val="auto"/>
          <w:sz w:val="24"/>
          <w:highlight w:val="none"/>
          <w:lang w:eastAsia="zh-CN"/>
        </w:rPr>
        <w:t>磋商</w:t>
      </w:r>
      <w:r>
        <w:rPr>
          <w:rFonts w:hint="eastAsia" w:cs="宋体"/>
          <w:color w:val="auto"/>
          <w:sz w:val="24"/>
          <w:highlight w:val="none"/>
        </w:rPr>
        <w:t>文件规定缴纳履约保证金和代理费。【成交时间，以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发出网上成交通知书之时为准，如不交纳代理费，我公司愿意承担违约责任。】</w:t>
      </w:r>
    </w:p>
    <w:p w14:paraId="1D1994E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文件及有关附件，充分理解</w:t>
      </w:r>
      <w:r>
        <w:rPr>
          <w:rFonts w:hint="eastAsia" w:cs="宋体"/>
          <w:color w:val="auto"/>
          <w:kern w:val="2"/>
          <w:sz w:val="24"/>
          <w:szCs w:val="24"/>
          <w:highlight w:val="none"/>
          <w:lang w:eastAsia="zh-CN"/>
        </w:rPr>
        <w:t>磋商</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报价不低于企业个别成本。</w:t>
      </w:r>
    </w:p>
    <w:p w14:paraId="1C6A4DD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3．一旦我方成交，我方保证按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文件约定的工期和</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文件或业主开工令的要求如期开工、竣工并移交整个工程。</w:t>
      </w:r>
    </w:p>
    <w:p w14:paraId="2AA08D4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4．一旦我方成交，我方保证工程质量达到合格标准。</w:t>
      </w:r>
    </w:p>
    <w:p w14:paraId="09FA33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5．一旦我方成交，我方保证响应文件中承诺的项目管理班子及施工机械设备到位，并按响应文件中的施工组织设计组织施工。</w:t>
      </w:r>
    </w:p>
    <w:p w14:paraId="38059BC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6．一旦我方成交，我方保证用于本工程的主要材料、设备，符合</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文件规定和响应文件承诺，并在使用之前经建设、监理、设计单位确认后使用。</w:t>
      </w:r>
    </w:p>
    <w:p w14:paraId="098E345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7．一旦我方成交，我方保证在规定的时间内由我方法定代表人亲自签订合同以及及时进场施工，并认真履行合同和其它各项承诺。</w:t>
      </w:r>
    </w:p>
    <w:p w14:paraId="148747A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8．一旦我方成交，我方保证在规定的时间内按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文件规定的方式、金额向</w:t>
      </w:r>
      <w:r>
        <w:rPr>
          <w:rFonts w:hint="eastAsia"/>
          <w:color w:val="auto"/>
          <w:sz w:val="24"/>
          <w:szCs w:val="18"/>
          <w:highlight w:val="none"/>
        </w:rPr>
        <w:t>业主单位</w:t>
      </w:r>
      <w:r>
        <w:rPr>
          <w:rFonts w:hint="eastAsia" w:cs="宋体"/>
          <w:color w:val="auto"/>
          <w:kern w:val="2"/>
          <w:sz w:val="24"/>
          <w:szCs w:val="24"/>
          <w:highlight w:val="none"/>
        </w:rPr>
        <w:t>提交履约担保。</w:t>
      </w:r>
    </w:p>
    <w:p w14:paraId="3CA1B55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9．我方同意所提交的响应文件在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有效期内有效，在此期间内如果成交，我方将受此约束。</w:t>
      </w:r>
    </w:p>
    <w:p w14:paraId="046F175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10．除非另外达成协议并生效，你方的成交通知书和本响应文件以及</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文件澄清、修改、补充将成为约束双方的合同文件的组成部分。</w:t>
      </w:r>
    </w:p>
    <w:p w14:paraId="193458E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2C58B97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rPr>
        <w:t>业主单位</w:t>
      </w:r>
      <w:r>
        <w:rPr>
          <w:rFonts w:hint="eastAsia" w:cs="宋体"/>
          <w:color w:val="auto"/>
          <w:kern w:val="2"/>
          <w:sz w:val="24"/>
          <w:szCs w:val="24"/>
          <w:highlight w:val="none"/>
        </w:rPr>
        <w:t>提供的工程量清单和最高限价（控制价）进行认真复核，确认无误，成交后不再另行调整。</w:t>
      </w:r>
    </w:p>
    <w:p w14:paraId="6DF8DEB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磋商</w:t>
      </w:r>
      <w:r>
        <w:rPr>
          <w:rFonts w:hint="eastAsia" w:cs="宋体"/>
          <w:color w:val="auto"/>
          <w:kern w:val="2"/>
          <w:sz w:val="24"/>
          <w:szCs w:val="24"/>
          <w:highlight w:val="none"/>
        </w:rPr>
        <w:t>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color w:val="auto"/>
          <w:sz w:val="24"/>
          <w:szCs w:val="18"/>
          <w:highlight w:val="none"/>
        </w:rPr>
        <w:t>业主单位</w:t>
      </w:r>
      <w:r>
        <w:rPr>
          <w:rFonts w:hint="eastAsia" w:cs="宋体"/>
          <w:color w:val="auto"/>
          <w:kern w:val="2"/>
          <w:sz w:val="24"/>
          <w:szCs w:val="24"/>
          <w:highlight w:val="none"/>
        </w:rPr>
        <w:t>可取消我单位成交资格。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p>
    <w:p w14:paraId="2F5496BA">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文件公布的施工扬尘污染防治措施费用，一旦我方成交，将严格遵守国家、省、市增值税相关规定的要求。我方将按照</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文件的要求对农民工工资、扬尘污染防治进行办理专户设立、工资支付等事宜。</w:t>
      </w:r>
    </w:p>
    <w:p w14:paraId="6509245B">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03A47390">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2DACC39E">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2BC31354">
      <w:pPr>
        <w:widowControl/>
        <w:jc w:val="center"/>
        <w:rPr>
          <w:color w:val="auto"/>
          <w:sz w:val="24"/>
          <w:szCs w:val="24"/>
          <w:highlight w:val="none"/>
        </w:rPr>
      </w:pPr>
      <w:r>
        <w:rPr>
          <w:color w:val="auto"/>
          <w:sz w:val="24"/>
          <w:highlight w:val="none"/>
        </w:rPr>
        <w:br w:type="page"/>
      </w:r>
      <w:bookmarkStart w:id="685" w:name="_Toc520983592"/>
      <w:r>
        <w:rPr>
          <w:rFonts w:hint="eastAsia"/>
          <w:b/>
          <w:color w:val="auto"/>
          <w:sz w:val="24"/>
          <w:highlight w:val="none"/>
        </w:rPr>
        <w:t>五、无不良信用记录声明函</w:t>
      </w:r>
      <w:bookmarkEnd w:id="685"/>
    </w:p>
    <w:p w14:paraId="0715348A">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磋商</w:t>
      </w:r>
      <w:r>
        <w:rPr>
          <w:rFonts w:hint="eastAsia"/>
          <w:i/>
          <w:color w:val="auto"/>
          <w:sz w:val="24"/>
          <w:highlight w:val="none"/>
        </w:rPr>
        <w:t>的，联合体双方均须提供）</w:t>
      </w:r>
    </w:p>
    <w:p w14:paraId="116A5F61">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258B6969">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615BF965">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0FEF2FEC">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08213623">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138A08C3">
      <w:pPr>
        <w:spacing w:line="360" w:lineRule="auto"/>
        <w:ind w:firstLine="3840" w:firstLineChars="1600"/>
        <w:rPr>
          <w:rFonts w:cs="宋体"/>
          <w:color w:val="auto"/>
          <w:sz w:val="24"/>
          <w:szCs w:val="24"/>
          <w:highlight w:val="none"/>
        </w:rPr>
      </w:pPr>
    </w:p>
    <w:p w14:paraId="37C7E6F3">
      <w:pPr>
        <w:spacing w:line="360" w:lineRule="auto"/>
        <w:ind w:firstLine="3840" w:firstLineChars="1600"/>
        <w:rPr>
          <w:rFonts w:cs="宋体"/>
          <w:color w:val="auto"/>
          <w:sz w:val="24"/>
          <w:szCs w:val="24"/>
          <w:highlight w:val="none"/>
        </w:rPr>
      </w:pPr>
    </w:p>
    <w:p w14:paraId="5D23C570">
      <w:pPr>
        <w:spacing w:line="360" w:lineRule="auto"/>
        <w:ind w:firstLine="3840" w:firstLineChars="1600"/>
        <w:rPr>
          <w:rFonts w:cs="宋体"/>
          <w:color w:val="auto"/>
          <w:sz w:val="24"/>
          <w:szCs w:val="24"/>
          <w:highlight w:val="none"/>
        </w:rPr>
      </w:pPr>
    </w:p>
    <w:p w14:paraId="33EB0F07">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5B761C98">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40120B18">
      <w:pPr>
        <w:spacing w:line="440" w:lineRule="exact"/>
        <w:ind w:firstLine="4800" w:firstLineChars="2000"/>
        <w:rPr>
          <w:color w:val="auto"/>
          <w:sz w:val="24"/>
          <w:szCs w:val="24"/>
          <w:highlight w:val="none"/>
          <w:u w:val="single"/>
        </w:rPr>
      </w:pPr>
    </w:p>
    <w:p w14:paraId="7160F1AC">
      <w:pPr>
        <w:spacing w:line="440" w:lineRule="exact"/>
        <w:ind w:firstLine="4800" w:firstLineChars="2000"/>
        <w:rPr>
          <w:color w:val="auto"/>
          <w:sz w:val="24"/>
          <w:szCs w:val="24"/>
          <w:highlight w:val="none"/>
          <w:u w:val="single"/>
        </w:rPr>
      </w:pPr>
    </w:p>
    <w:p w14:paraId="2B2F7146">
      <w:pPr>
        <w:widowControl/>
        <w:jc w:val="center"/>
        <w:rPr>
          <w:b/>
          <w:color w:val="auto"/>
          <w:sz w:val="24"/>
          <w:highlight w:val="none"/>
        </w:rPr>
      </w:pPr>
      <w:r>
        <w:rPr>
          <w:color w:val="auto"/>
          <w:sz w:val="24"/>
          <w:highlight w:val="none"/>
        </w:rPr>
        <w:br w:type="page"/>
      </w:r>
      <w:bookmarkStart w:id="686" w:name="_Toc520983594"/>
      <w:bookmarkStart w:id="687" w:name="_Toc516969106"/>
      <w:bookmarkStart w:id="688" w:name="_Toc121626298"/>
      <w:bookmarkStart w:id="689" w:name="_Toc204594911"/>
      <w:r>
        <w:rPr>
          <w:rFonts w:hint="eastAsia"/>
          <w:b/>
          <w:color w:val="auto"/>
          <w:sz w:val="24"/>
          <w:highlight w:val="none"/>
        </w:rPr>
        <w:t>六、授权书</w:t>
      </w:r>
      <w:bookmarkEnd w:id="686"/>
      <w:bookmarkEnd w:id="687"/>
      <w:bookmarkEnd w:id="688"/>
      <w:bookmarkEnd w:id="689"/>
    </w:p>
    <w:p w14:paraId="2E7D5D49">
      <w:pPr>
        <w:spacing w:line="360" w:lineRule="auto"/>
        <w:jc w:val="center"/>
        <w:rPr>
          <w:b/>
          <w:color w:val="auto"/>
          <w:sz w:val="24"/>
          <w:highlight w:val="none"/>
        </w:rPr>
      </w:pPr>
    </w:p>
    <w:p w14:paraId="711C7853">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磋商</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磋商</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磋商</w:t>
      </w:r>
      <w:r>
        <w:rPr>
          <w:rFonts w:hint="eastAsia" w:hAnsi="宋体"/>
          <w:color w:val="auto"/>
          <w:sz w:val="24"/>
          <w:szCs w:val="28"/>
          <w:highlight w:val="none"/>
        </w:rPr>
        <w:t>、签约等。</w:t>
      </w:r>
      <w:r>
        <w:rPr>
          <w:rFonts w:hint="eastAsia"/>
          <w:color w:val="auto"/>
          <w:sz w:val="24"/>
          <w:szCs w:val="18"/>
          <w:highlight w:val="none"/>
          <w:lang w:eastAsia="zh-CN"/>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磋商</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供应商</w:t>
      </w:r>
      <w:r>
        <w:rPr>
          <w:rFonts w:hint="eastAsia" w:hAnsi="宋体"/>
          <w:color w:val="auto"/>
          <w:sz w:val="24"/>
          <w:szCs w:val="28"/>
          <w:highlight w:val="none"/>
        </w:rPr>
        <w:t>授权代表无转委托权。特此授权。</w:t>
      </w:r>
    </w:p>
    <w:p w14:paraId="6070A755">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515ACE44">
      <w:pPr>
        <w:pStyle w:val="9"/>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0BC0C84C">
      <w:pPr>
        <w:pStyle w:val="9"/>
        <w:snapToGrid w:val="0"/>
        <w:spacing w:line="360" w:lineRule="auto"/>
        <w:ind w:firstLine="480" w:firstLineChars="200"/>
        <w:jc w:val="left"/>
        <w:rPr>
          <w:rFonts w:hAnsi="宋体"/>
          <w:color w:val="auto"/>
          <w:sz w:val="24"/>
          <w:highlight w:val="none"/>
        </w:rPr>
      </w:pPr>
    </w:p>
    <w:p w14:paraId="0DE28DC7">
      <w:pPr>
        <w:pStyle w:val="9"/>
        <w:snapToGrid w:val="0"/>
        <w:spacing w:line="360" w:lineRule="auto"/>
        <w:ind w:firstLine="480" w:firstLineChars="200"/>
        <w:jc w:val="left"/>
        <w:rPr>
          <w:rFonts w:hAnsi="宋体"/>
          <w:color w:val="auto"/>
          <w:sz w:val="24"/>
          <w:highlight w:val="none"/>
        </w:rPr>
      </w:pPr>
    </w:p>
    <w:p w14:paraId="4913E6E8">
      <w:pPr>
        <w:pStyle w:val="9"/>
        <w:snapToGrid w:val="0"/>
        <w:spacing w:line="360" w:lineRule="auto"/>
        <w:ind w:firstLine="480" w:firstLineChars="200"/>
        <w:jc w:val="left"/>
        <w:rPr>
          <w:rFonts w:hAnsi="宋体"/>
          <w:color w:val="auto"/>
          <w:sz w:val="24"/>
          <w:highlight w:val="none"/>
        </w:rPr>
      </w:pPr>
    </w:p>
    <w:p w14:paraId="4FE2A5F1">
      <w:pPr>
        <w:pStyle w:val="9"/>
        <w:snapToGrid w:val="0"/>
        <w:spacing w:line="360" w:lineRule="auto"/>
        <w:ind w:firstLine="480" w:firstLineChars="200"/>
        <w:jc w:val="left"/>
        <w:rPr>
          <w:rFonts w:hAnsi="宋体"/>
          <w:color w:val="auto"/>
          <w:sz w:val="24"/>
          <w:highlight w:val="none"/>
        </w:rPr>
      </w:pPr>
    </w:p>
    <w:p w14:paraId="6F79F42E">
      <w:pPr>
        <w:pStyle w:val="9"/>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0F8FF386">
      <w:pPr>
        <w:pStyle w:val="9"/>
        <w:snapToGrid w:val="0"/>
        <w:spacing w:line="360" w:lineRule="auto"/>
        <w:ind w:firstLine="480" w:firstLineChars="200"/>
        <w:jc w:val="left"/>
        <w:rPr>
          <w:rFonts w:hAnsi="宋体"/>
          <w:color w:val="auto"/>
          <w:sz w:val="24"/>
          <w:szCs w:val="28"/>
          <w:highlight w:val="none"/>
        </w:rPr>
      </w:pPr>
    </w:p>
    <w:p w14:paraId="6127FF0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40AF79DB">
      <w:pPr>
        <w:spacing w:line="360" w:lineRule="auto"/>
        <w:rPr>
          <w:color w:val="auto"/>
          <w:sz w:val="24"/>
          <w:szCs w:val="28"/>
          <w:highlight w:val="none"/>
        </w:rPr>
      </w:pPr>
    </w:p>
    <w:p w14:paraId="5E724C05">
      <w:pPr>
        <w:spacing w:line="360" w:lineRule="auto"/>
        <w:rPr>
          <w:bCs/>
          <w:color w:val="auto"/>
          <w:sz w:val="24"/>
          <w:szCs w:val="28"/>
          <w:highlight w:val="none"/>
        </w:rPr>
      </w:pPr>
      <w:r>
        <w:rPr>
          <w:rFonts w:hint="eastAsia"/>
          <w:color w:val="auto"/>
          <w:sz w:val="24"/>
          <w:szCs w:val="18"/>
          <w:highlight w:val="none"/>
          <w:lang w:eastAsia="zh-CN"/>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64A7F0A2">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202FBB2A">
      <w:pPr>
        <w:spacing w:line="360" w:lineRule="auto"/>
        <w:rPr>
          <w:color w:val="auto"/>
          <w:sz w:val="24"/>
          <w:szCs w:val="28"/>
          <w:highlight w:val="none"/>
        </w:rPr>
      </w:pPr>
    </w:p>
    <w:p w14:paraId="3076FCAB">
      <w:pPr>
        <w:spacing w:line="360" w:lineRule="auto"/>
        <w:rPr>
          <w:color w:val="auto"/>
          <w:sz w:val="24"/>
          <w:szCs w:val="28"/>
          <w:highlight w:val="none"/>
        </w:rPr>
      </w:pPr>
    </w:p>
    <w:p w14:paraId="7E6CFEFD">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7F5F099E">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供应商</w:t>
      </w:r>
      <w:r>
        <w:rPr>
          <w:rFonts w:hint="eastAsia" w:hAnsi="宋体"/>
          <w:color w:val="auto"/>
          <w:sz w:val="24"/>
          <w:szCs w:val="28"/>
          <w:highlight w:val="none"/>
        </w:rPr>
        <w:t>授权代表，提供身份证明扫描件；</w:t>
      </w:r>
    </w:p>
    <w:p w14:paraId="7C16C106">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磋商</w:t>
      </w:r>
      <w:r>
        <w:rPr>
          <w:rFonts w:hint="eastAsia"/>
          <w:color w:val="auto"/>
          <w:sz w:val="24"/>
          <w:highlight w:val="none"/>
        </w:rPr>
        <w:t>的无需提供授权书，仅提供身份证明扫描件。</w:t>
      </w:r>
    </w:p>
    <w:p w14:paraId="2EBA1861">
      <w:pPr>
        <w:widowControl/>
        <w:jc w:val="center"/>
        <w:rPr>
          <w:rFonts w:hint="eastAsia" w:eastAsia="宋体" w:cs="@仿宋_GB2312"/>
          <w:b/>
          <w:bCs/>
          <w:color w:val="auto"/>
          <w:kern w:val="2"/>
          <w:sz w:val="24"/>
          <w:szCs w:val="24"/>
          <w:highlight w:val="none"/>
          <w:lang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val="en-US" w:eastAsia="zh-CN"/>
        </w:rPr>
        <w:t>电子交易服务费</w:t>
      </w:r>
    </w:p>
    <w:p w14:paraId="1747CF1C">
      <w:pPr>
        <w:pStyle w:val="9"/>
        <w:snapToGrid w:val="0"/>
        <w:spacing w:line="360" w:lineRule="auto"/>
        <w:jc w:val="center"/>
        <w:rPr>
          <w:rFonts w:hint="eastAsia" w:hAnsi="宋体"/>
          <w:color w:val="auto"/>
          <w:sz w:val="24"/>
          <w:szCs w:val="28"/>
          <w:highlight w:val="none"/>
        </w:rPr>
      </w:pPr>
    </w:p>
    <w:p w14:paraId="7DAB012F">
      <w:pPr>
        <w:pStyle w:val="9"/>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供应商</w:t>
      </w:r>
      <w:r>
        <w:rPr>
          <w:rFonts w:hint="eastAsia" w:hAnsi="宋体"/>
          <w:color w:val="auto"/>
          <w:sz w:val="24"/>
          <w:szCs w:val="28"/>
          <w:highlight w:val="none"/>
        </w:rPr>
        <w:t>应在此提供银行回单的扫描件。</w:t>
      </w:r>
    </w:p>
    <w:p w14:paraId="62013A8D">
      <w:pPr>
        <w:widowControl/>
        <w:jc w:val="center"/>
        <w:rPr>
          <w:rFonts w:cs="@仿宋_GB2312"/>
          <w:b/>
          <w:bCs/>
          <w:color w:val="auto"/>
          <w:kern w:val="2"/>
          <w:sz w:val="24"/>
          <w:szCs w:val="24"/>
          <w:highlight w:val="none"/>
        </w:rPr>
      </w:pPr>
    </w:p>
    <w:p w14:paraId="0A52F418">
      <w:pPr>
        <w:widowControl/>
        <w:jc w:val="center"/>
        <w:rPr>
          <w:rFonts w:cs="@仿宋_GB2312"/>
          <w:b/>
          <w:bCs/>
          <w:color w:val="auto"/>
          <w:kern w:val="2"/>
          <w:sz w:val="24"/>
          <w:szCs w:val="24"/>
          <w:highlight w:val="none"/>
        </w:rPr>
      </w:pPr>
    </w:p>
    <w:p w14:paraId="53D0F2F0">
      <w:pPr>
        <w:widowControl/>
        <w:jc w:val="center"/>
        <w:rPr>
          <w:rFonts w:cs="@仿宋_GB2312"/>
          <w:b/>
          <w:bCs/>
          <w:color w:val="auto"/>
          <w:kern w:val="2"/>
          <w:sz w:val="24"/>
          <w:szCs w:val="24"/>
          <w:highlight w:val="none"/>
        </w:rPr>
      </w:pPr>
    </w:p>
    <w:p w14:paraId="48C2AF07">
      <w:pPr>
        <w:widowControl/>
        <w:jc w:val="center"/>
        <w:rPr>
          <w:rFonts w:cs="@仿宋_GB2312"/>
          <w:b/>
          <w:bCs/>
          <w:color w:val="auto"/>
          <w:kern w:val="2"/>
          <w:sz w:val="24"/>
          <w:szCs w:val="24"/>
          <w:highlight w:val="none"/>
        </w:rPr>
      </w:pPr>
    </w:p>
    <w:p w14:paraId="36D904CE">
      <w:pPr>
        <w:widowControl/>
        <w:jc w:val="center"/>
        <w:rPr>
          <w:rFonts w:cs="@仿宋_GB2312"/>
          <w:b/>
          <w:bCs/>
          <w:color w:val="auto"/>
          <w:kern w:val="2"/>
          <w:sz w:val="24"/>
          <w:szCs w:val="24"/>
          <w:highlight w:val="none"/>
        </w:rPr>
      </w:pPr>
    </w:p>
    <w:p w14:paraId="6D9DC15E">
      <w:pPr>
        <w:widowControl/>
        <w:jc w:val="center"/>
        <w:rPr>
          <w:rFonts w:cs="@仿宋_GB2312"/>
          <w:b/>
          <w:bCs/>
          <w:color w:val="auto"/>
          <w:kern w:val="2"/>
          <w:sz w:val="24"/>
          <w:szCs w:val="24"/>
          <w:highlight w:val="none"/>
        </w:rPr>
      </w:pPr>
    </w:p>
    <w:p w14:paraId="38C631E4">
      <w:pPr>
        <w:widowControl/>
        <w:jc w:val="center"/>
        <w:rPr>
          <w:rFonts w:cs="@仿宋_GB2312"/>
          <w:b/>
          <w:bCs/>
          <w:color w:val="auto"/>
          <w:kern w:val="2"/>
          <w:sz w:val="24"/>
          <w:szCs w:val="24"/>
          <w:highlight w:val="none"/>
        </w:rPr>
      </w:pPr>
    </w:p>
    <w:p w14:paraId="3047E763">
      <w:pPr>
        <w:widowControl/>
        <w:jc w:val="center"/>
        <w:rPr>
          <w:rFonts w:cs="@仿宋_GB2312"/>
          <w:b/>
          <w:bCs/>
          <w:color w:val="auto"/>
          <w:kern w:val="2"/>
          <w:sz w:val="24"/>
          <w:szCs w:val="24"/>
          <w:highlight w:val="none"/>
        </w:rPr>
      </w:pPr>
    </w:p>
    <w:p w14:paraId="749C1085">
      <w:pPr>
        <w:widowControl/>
        <w:jc w:val="center"/>
        <w:rPr>
          <w:rFonts w:cs="@仿宋_GB2312"/>
          <w:b/>
          <w:bCs/>
          <w:color w:val="auto"/>
          <w:kern w:val="2"/>
          <w:sz w:val="24"/>
          <w:szCs w:val="24"/>
          <w:highlight w:val="none"/>
        </w:rPr>
      </w:pPr>
    </w:p>
    <w:p w14:paraId="5BEBE9AB">
      <w:pPr>
        <w:widowControl/>
        <w:jc w:val="center"/>
        <w:rPr>
          <w:rFonts w:cs="@仿宋_GB2312"/>
          <w:b/>
          <w:bCs/>
          <w:color w:val="auto"/>
          <w:kern w:val="2"/>
          <w:sz w:val="24"/>
          <w:szCs w:val="24"/>
          <w:highlight w:val="none"/>
        </w:rPr>
      </w:pPr>
    </w:p>
    <w:p w14:paraId="583A89FC">
      <w:pPr>
        <w:widowControl/>
        <w:jc w:val="center"/>
        <w:rPr>
          <w:rFonts w:cs="@仿宋_GB2312"/>
          <w:b/>
          <w:bCs/>
          <w:color w:val="auto"/>
          <w:kern w:val="2"/>
          <w:sz w:val="24"/>
          <w:szCs w:val="24"/>
          <w:highlight w:val="none"/>
        </w:rPr>
      </w:pPr>
    </w:p>
    <w:p w14:paraId="541B78BE">
      <w:pPr>
        <w:widowControl/>
        <w:jc w:val="center"/>
        <w:rPr>
          <w:rFonts w:cs="@仿宋_GB2312"/>
          <w:b/>
          <w:bCs/>
          <w:color w:val="auto"/>
          <w:kern w:val="2"/>
          <w:sz w:val="24"/>
          <w:szCs w:val="24"/>
          <w:highlight w:val="none"/>
        </w:rPr>
      </w:pPr>
    </w:p>
    <w:p w14:paraId="4B5B2905">
      <w:pPr>
        <w:widowControl/>
        <w:jc w:val="center"/>
        <w:rPr>
          <w:rFonts w:cs="@仿宋_GB2312"/>
          <w:b/>
          <w:bCs/>
          <w:color w:val="auto"/>
          <w:kern w:val="2"/>
          <w:sz w:val="24"/>
          <w:szCs w:val="24"/>
          <w:highlight w:val="none"/>
        </w:rPr>
      </w:pPr>
    </w:p>
    <w:p w14:paraId="1D10BA99">
      <w:pPr>
        <w:pStyle w:val="8"/>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191F7118">
      <w:pPr>
        <w:pStyle w:val="12"/>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2E68D7CE">
      <w:pPr>
        <w:pStyle w:val="8"/>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15F77BD0">
      <w:pPr>
        <w:pStyle w:val="12"/>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BB94C8A">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5B5B5C03">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361D083C">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55E12D03">
      <w:pPr>
        <w:widowControl/>
        <w:jc w:val="center"/>
        <w:rPr>
          <w:rFonts w:hint="eastAsia" w:ascii="宋体" w:hAnsi="宋体" w:eastAsia="宋体" w:cs="宋体"/>
          <w:b/>
          <w:bCs/>
          <w:color w:val="auto"/>
          <w:kern w:val="2"/>
          <w:sz w:val="24"/>
          <w:szCs w:val="24"/>
          <w:highlight w:val="none"/>
        </w:rPr>
      </w:pPr>
    </w:p>
    <w:p w14:paraId="05F2AE4A">
      <w:pPr>
        <w:widowControl/>
        <w:jc w:val="center"/>
        <w:rPr>
          <w:rFonts w:cs="@仿宋_GB2312"/>
          <w:b/>
          <w:bCs/>
          <w:color w:val="auto"/>
          <w:kern w:val="2"/>
          <w:sz w:val="24"/>
          <w:szCs w:val="24"/>
          <w:highlight w:val="none"/>
        </w:rPr>
      </w:pPr>
    </w:p>
    <w:p w14:paraId="325BADF1">
      <w:pPr>
        <w:pStyle w:val="7"/>
        <w:rPr>
          <w:color w:val="auto"/>
          <w:highlight w:val="none"/>
        </w:rPr>
      </w:pPr>
    </w:p>
    <w:p w14:paraId="78544B20">
      <w:pPr>
        <w:widowControl/>
        <w:jc w:val="center"/>
        <w:rPr>
          <w:rFonts w:cs="@仿宋_GB2312"/>
          <w:b/>
          <w:bCs/>
          <w:color w:val="auto"/>
          <w:kern w:val="2"/>
          <w:sz w:val="24"/>
          <w:szCs w:val="24"/>
          <w:highlight w:val="none"/>
        </w:rPr>
      </w:pPr>
    </w:p>
    <w:p w14:paraId="31D9687F">
      <w:pPr>
        <w:widowControl/>
        <w:jc w:val="center"/>
        <w:rPr>
          <w:rFonts w:cs="@仿宋_GB2312"/>
          <w:b/>
          <w:bCs/>
          <w:color w:val="auto"/>
          <w:kern w:val="2"/>
          <w:sz w:val="24"/>
          <w:szCs w:val="24"/>
          <w:highlight w:val="none"/>
        </w:rPr>
      </w:pPr>
    </w:p>
    <w:p w14:paraId="7DDBE8EF">
      <w:pPr>
        <w:widowControl/>
        <w:jc w:val="center"/>
        <w:rPr>
          <w:rFonts w:cs="@仿宋_GB2312"/>
          <w:b/>
          <w:bCs/>
          <w:color w:val="auto"/>
          <w:kern w:val="2"/>
          <w:sz w:val="24"/>
          <w:szCs w:val="24"/>
          <w:highlight w:val="none"/>
        </w:rPr>
      </w:pPr>
    </w:p>
    <w:p w14:paraId="74594693">
      <w:pPr>
        <w:widowControl/>
        <w:jc w:val="center"/>
        <w:rPr>
          <w:rFonts w:cs="@仿宋_GB2312"/>
          <w:b/>
          <w:bCs/>
          <w:color w:val="auto"/>
          <w:kern w:val="2"/>
          <w:sz w:val="24"/>
          <w:szCs w:val="24"/>
          <w:highlight w:val="none"/>
        </w:rPr>
      </w:pPr>
    </w:p>
    <w:p w14:paraId="5BEEBD70">
      <w:pPr>
        <w:widowControl/>
        <w:jc w:val="center"/>
        <w:rPr>
          <w:rFonts w:cs="@仿宋_GB2312"/>
          <w:b/>
          <w:bCs/>
          <w:color w:val="auto"/>
          <w:kern w:val="2"/>
          <w:sz w:val="24"/>
          <w:szCs w:val="24"/>
          <w:highlight w:val="none"/>
        </w:rPr>
      </w:pPr>
    </w:p>
    <w:p w14:paraId="6013E957">
      <w:pPr>
        <w:widowControl/>
        <w:jc w:val="center"/>
        <w:rPr>
          <w:rFonts w:cs="@仿宋_GB2312"/>
          <w:b/>
          <w:bCs/>
          <w:color w:val="auto"/>
          <w:kern w:val="2"/>
          <w:sz w:val="24"/>
          <w:szCs w:val="24"/>
          <w:highlight w:val="none"/>
        </w:rPr>
      </w:pPr>
    </w:p>
    <w:p w14:paraId="0EE0FA1E">
      <w:pPr>
        <w:widowControl/>
        <w:jc w:val="center"/>
        <w:rPr>
          <w:rFonts w:cs="@仿宋_GB2312"/>
          <w:b/>
          <w:bCs/>
          <w:color w:val="auto"/>
          <w:kern w:val="2"/>
          <w:sz w:val="24"/>
          <w:szCs w:val="24"/>
          <w:highlight w:val="none"/>
        </w:rPr>
      </w:pPr>
    </w:p>
    <w:p w14:paraId="6DE16DA3">
      <w:pPr>
        <w:widowControl/>
        <w:jc w:val="center"/>
        <w:rPr>
          <w:rFonts w:cs="@仿宋_GB2312"/>
          <w:b/>
          <w:bCs/>
          <w:color w:val="auto"/>
          <w:kern w:val="2"/>
          <w:sz w:val="24"/>
          <w:szCs w:val="24"/>
          <w:highlight w:val="none"/>
        </w:rPr>
      </w:pPr>
    </w:p>
    <w:p w14:paraId="3BEB254F">
      <w:pPr>
        <w:widowControl/>
        <w:jc w:val="center"/>
        <w:rPr>
          <w:rFonts w:cs="@仿宋_GB2312"/>
          <w:b/>
          <w:bCs/>
          <w:color w:val="auto"/>
          <w:kern w:val="2"/>
          <w:sz w:val="24"/>
          <w:szCs w:val="24"/>
          <w:highlight w:val="none"/>
        </w:rPr>
      </w:pPr>
    </w:p>
    <w:p w14:paraId="56937E0A">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10E48A74">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348B227">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5A9D735A">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AED8AB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753B49B4">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7C68FB7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2423F0C1">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15CB1CAF">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3C3CD47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4547FC5C">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6C6125AB">
      <w:pPr>
        <w:spacing w:before="62" w:beforeLines="20" w:after="62" w:afterLines="20" w:line="540" w:lineRule="exact"/>
        <w:ind w:firstLine="610"/>
        <w:rPr>
          <w:rFonts w:ascii="@仿宋_GB2312" w:eastAsia="@仿宋_GB2312" w:cs="宋体"/>
          <w:color w:val="auto"/>
          <w:kern w:val="2"/>
          <w:sz w:val="24"/>
          <w:szCs w:val="24"/>
          <w:highlight w:val="none"/>
        </w:rPr>
      </w:pPr>
    </w:p>
    <w:p w14:paraId="793E6828">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69D6593C">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21654102">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D522671">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30A25D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758AA9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CCF2255">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77947365">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3E0CE8B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活动，现郑重承诺如下：</w:t>
      </w:r>
    </w:p>
    <w:p w14:paraId="104C04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rPr>
        <w:t>业主单位</w:t>
      </w:r>
      <w:r>
        <w:rPr>
          <w:rFonts w:hint="eastAsia" w:cs="宋体"/>
          <w:color w:val="auto"/>
          <w:kern w:val="2"/>
          <w:sz w:val="24"/>
          <w:szCs w:val="24"/>
          <w:highlight w:val="none"/>
        </w:rPr>
        <w:t>对我单位营业执照有效性进一步核查。</w:t>
      </w:r>
    </w:p>
    <w:p w14:paraId="0A22780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二、若我单位成交，将严格按照国家及省市行业主管部门规定在项目所在地办理施工许可（如需），并在项目所在地交纳相关税费。</w:t>
      </w:r>
    </w:p>
    <w:p w14:paraId="11B6BC3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6061273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资格行为，且处于处罚期内的情况；</w:t>
      </w:r>
    </w:p>
    <w:p w14:paraId="33A4F74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7D2F284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资格情况。</w:t>
      </w:r>
    </w:p>
    <w:p w14:paraId="6B3B31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282ACBD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4817C31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九、我单位一旦成交，将在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文件规定时间内缴纳相关费用、领取成交通知书，并与</w:t>
      </w:r>
      <w:r>
        <w:rPr>
          <w:rFonts w:hint="eastAsia"/>
          <w:color w:val="auto"/>
          <w:sz w:val="24"/>
          <w:szCs w:val="18"/>
          <w:highlight w:val="none"/>
        </w:rPr>
        <w:t>业主单位</w:t>
      </w:r>
      <w:r>
        <w:rPr>
          <w:rFonts w:hint="eastAsia" w:cs="宋体"/>
          <w:color w:val="auto"/>
          <w:kern w:val="2"/>
          <w:sz w:val="24"/>
          <w:szCs w:val="24"/>
          <w:highlight w:val="none"/>
        </w:rPr>
        <w:t>联系并签订合同，组织进场施工事宜，否则贵单位有权取消我单位成交资格。</w:t>
      </w:r>
    </w:p>
    <w:p w14:paraId="25A58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十、我单位在响应文件提交截止时间前已在安徽省按照主管部门相关要求办理信息登记手续，如未按此要求办理信息登记，</w:t>
      </w:r>
      <w:r>
        <w:rPr>
          <w:rFonts w:hint="eastAsia"/>
          <w:color w:val="auto"/>
          <w:sz w:val="24"/>
          <w:szCs w:val="18"/>
          <w:highlight w:val="none"/>
        </w:rPr>
        <w:t>业主单位</w:t>
      </w:r>
      <w:r>
        <w:rPr>
          <w:rFonts w:hint="eastAsia" w:cs="宋体"/>
          <w:color w:val="auto"/>
          <w:kern w:val="2"/>
          <w:sz w:val="24"/>
          <w:szCs w:val="24"/>
          <w:highlight w:val="none"/>
        </w:rPr>
        <w:t>可按照我单位弄虚作假取消我单位成交资格，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274A991C">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供应商</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43C1FEDD">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690" w:name="_Toc520986200"/>
      <w:r>
        <w:rPr>
          <w:rFonts w:hint="eastAsia" w:cs="@仿宋_GB2312"/>
          <w:b/>
          <w:bCs/>
          <w:color w:val="auto"/>
          <w:kern w:val="2"/>
          <w:sz w:val="24"/>
          <w:szCs w:val="24"/>
          <w:highlight w:val="none"/>
        </w:rPr>
        <w:t>十</w:t>
      </w:r>
      <w:bookmarkEnd w:id="690"/>
      <w:r>
        <w:rPr>
          <w:rFonts w:hint="eastAsia" w:cs="@仿宋_GB2312"/>
          <w:b/>
          <w:bCs/>
          <w:color w:val="auto"/>
          <w:kern w:val="2"/>
          <w:sz w:val="24"/>
          <w:szCs w:val="24"/>
          <w:highlight w:val="none"/>
        </w:rPr>
        <w:t>、项目经理承诺书</w:t>
      </w:r>
    </w:p>
    <w:p w14:paraId="6AF53865">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035B57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担任的项目经理，郑重承诺：</w:t>
      </w:r>
    </w:p>
    <w:p w14:paraId="6408794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磋商</w:t>
      </w:r>
      <w:r>
        <w:rPr>
          <w:rFonts w:hint="eastAsia" w:cs="宋体"/>
          <w:color w:val="auto"/>
          <w:kern w:val="2"/>
          <w:sz w:val="24"/>
          <w:szCs w:val="24"/>
          <w:highlight w:val="none"/>
        </w:rPr>
        <w:t>而造假的行为。</w:t>
      </w:r>
    </w:p>
    <w:p w14:paraId="2BE92FA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目前无在岗项目或虽在其他项目上担任项目经理岗位，但承诺在本项目成交后合同签订前能够从其他项目变更至本项目并全面履约。</w:t>
      </w:r>
    </w:p>
    <w:p w14:paraId="4B4CA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三、本人承诺，一旦成交，将严格按照</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文件规定履约。</w:t>
      </w:r>
    </w:p>
    <w:p w14:paraId="2203CB6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483CBF06">
      <w:pPr>
        <w:spacing w:line="360" w:lineRule="auto"/>
        <w:ind w:firstLine="480" w:firstLineChars="200"/>
        <w:rPr>
          <w:rFonts w:cs="宋体"/>
          <w:color w:val="auto"/>
          <w:kern w:val="2"/>
          <w:sz w:val="24"/>
          <w:szCs w:val="24"/>
          <w:highlight w:val="none"/>
        </w:rPr>
      </w:pPr>
    </w:p>
    <w:p w14:paraId="3543C13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42C750C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4C3FFFC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A35299E">
      <w:pPr>
        <w:spacing w:line="360" w:lineRule="auto"/>
        <w:ind w:firstLine="480" w:firstLineChars="200"/>
        <w:rPr>
          <w:rFonts w:cs="宋体"/>
          <w:color w:val="auto"/>
          <w:kern w:val="2"/>
          <w:sz w:val="24"/>
          <w:szCs w:val="24"/>
          <w:highlight w:val="none"/>
        </w:rPr>
      </w:pPr>
    </w:p>
    <w:p w14:paraId="2FB1FED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02E4C8FE">
      <w:pPr>
        <w:spacing w:line="360" w:lineRule="auto"/>
        <w:jc w:val="center"/>
        <w:rPr>
          <w:rFonts w:cs="@仿宋_GB2312"/>
          <w:b/>
          <w:bCs/>
          <w:color w:val="auto"/>
          <w:kern w:val="2"/>
          <w:sz w:val="24"/>
          <w:szCs w:val="24"/>
          <w:highlight w:val="none"/>
        </w:rPr>
      </w:pPr>
      <w:bookmarkStart w:id="691" w:name="_Toc438648628"/>
      <w:r>
        <w:rPr>
          <w:rFonts w:hint="eastAsia" w:ascii="@仿宋_GB2312" w:eastAsia="@仿宋_GB2312" w:cs="宋体"/>
          <w:b/>
          <w:color w:val="auto"/>
          <w:kern w:val="2"/>
          <w:sz w:val="24"/>
          <w:szCs w:val="24"/>
          <w:highlight w:val="none"/>
        </w:rPr>
        <w:br w:type="page"/>
      </w:r>
      <w:bookmarkEnd w:id="691"/>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磋商</w:t>
      </w:r>
      <w:r>
        <w:rPr>
          <w:rFonts w:hint="eastAsia" w:cs="@仿宋_GB2312"/>
          <w:b/>
          <w:bCs/>
          <w:color w:val="auto"/>
          <w:kern w:val="2"/>
          <w:sz w:val="24"/>
          <w:szCs w:val="24"/>
          <w:highlight w:val="none"/>
        </w:rPr>
        <w:t>业绩承诺函</w:t>
      </w:r>
    </w:p>
    <w:p w14:paraId="5982AE95">
      <w:pPr>
        <w:rPr>
          <w:rFonts w:eastAsia="@仿宋_GB2312" w:cs="@仿宋_GB2312"/>
          <w:color w:val="auto"/>
          <w:kern w:val="2"/>
          <w:sz w:val="21"/>
          <w:highlight w:val="none"/>
        </w:rPr>
      </w:pPr>
    </w:p>
    <w:p w14:paraId="399BE98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61E13115">
      <w:pPr>
        <w:spacing w:line="360" w:lineRule="auto"/>
        <w:ind w:firstLine="480" w:firstLineChars="200"/>
        <w:rPr>
          <w:rFonts w:cs="宋体"/>
          <w:color w:val="auto"/>
          <w:kern w:val="2"/>
          <w:sz w:val="24"/>
          <w:szCs w:val="24"/>
          <w:highlight w:val="none"/>
        </w:rPr>
      </w:pPr>
    </w:p>
    <w:p w14:paraId="030AC2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757BF2D">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AD3F060">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2677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48FAF48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373EC9C8">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2D44994E">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70B306D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6A4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1C9B758">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4BA18D34">
            <w:pPr>
              <w:spacing w:line="360" w:lineRule="auto"/>
              <w:rPr>
                <w:rFonts w:cs="宋体"/>
                <w:b/>
                <w:color w:val="auto"/>
                <w:kern w:val="2"/>
                <w:sz w:val="24"/>
                <w:szCs w:val="24"/>
                <w:highlight w:val="none"/>
              </w:rPr>
            </w:pPr>
          </w:p>
        </w:tc>
        <w:tc>
          <w:tcPr>
            <w:tcW w:w="2320" w:type="dxa"/>
            <w:vAlign w:val="center"/>
          </w:tcPr>
          <w:p w14:paraId="1850191C">
            <w:pPr>
              <w:spacing w:line="360" w:lineRule="auto"/>
              <w:rPr>
                <w:rFonts w:cs="宋体"/>
                <w:b/>
                <w:color w:val="auto"/>
                <w:kern w:val="2"/>
                <w:sz w:val="24"/>
                <w:szCs w:val="24"/>
                <w:highlight w:val="none"/>
              </w:rPr>
            </w:pPr>
          </w:p>
        </w:tc>
        <w:tc>
          <w:tcPr>
            <w:tcW w:w="1069" w:type="dxa"/>
            <w:vAlign w:val="center"/>
          </w:tcPr>
          <w:p w14:paraId="48BE542B">
            <w:pPr>
              <w:spacing w:line="360" w:lineRule="auto"/>
              <w:rPr>
                <w:rFonts w:cs="宋体"/>
                <w:b/>
                <w:color w:val="auto"/>
                <w:kern w:val="2"/>
                <w:sz w:val="24"/>
                <w:szCs w:val="24"/>
                <w:highlight w:val="none"/>
              </w:rPr>
            </w:pPr>
          </w:p>
        </w:tc>
      </w:tr>
      <w:tr w14:paraId="4395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C624E2D">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56BCACA6">
            <w:pPr>
              <w:spacing w:line="360" w:lineRule="auto"/>
              <w:rPr>
                <w:rFonts w:cs="宋体"/>
                <w:b/>
                <w:color w:val="auto"/>
                <w:kern w:val="2"/>
                <w:sz w:val="24"/>
                <w:szCs w:val="24"/>
                <w:highlight w:val="none"/>
              </w:rPr>
            </w:pPr>
          </w:p>
        </w:tc>
        <w:tc>
          <w:tcPr>
            <w:tcW w:w="2320" w:type="dxa"/>
            <w:vAlign w:val="center"/>
          </w:tcPr>
          <w:p w14:paraId="5446C32B">
            <w:pPr>
              <w:spacing w:line="360" w:lineRule="auto"/>
              <w:rPr>
                <w:rFonts w:cs="宋体"/>
                <w:b/>
                <w:color w:val="auto"/>
                <w:kern w:val="2"/>
                <w:sz w:val="24"/>
                <w:szCs w:val="24"/>
                <w:highlight w:val="none"/>
              </w:rPr>
            </w:pPr>
          </w:p>
        </w:tc>
        <w:tc>
          <w:tcPr>
            <w:tcW w:w="1069" w:type="dxa"/>
            <w:vAlign w:val="center"/>
          </w:tcPr>
          <w:p w14:paraId="683705D3">
            <w:pPr>
              <w:spacing w:line="360" w:lineRule="auto"/>
              <w:rPr>
                <w:rFonts w:cs="宋体"/>
                <w:b/>
                <w:color w:val="auto"/>
                <w:kern w:val="2"/>
                <w:sz w:val="24"/>
                <w:szCs w:val="24"/>
                <w:highlight w:val="none"/>
              </w:rPr>
            </w:pPr>
          </w:p>
        </w:tc>
      </w:tr>
      <w:tr w14:paraId="6EC9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EFBF1A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1E37FAFF">
            <w:pPr>
              <w:spacing w:line="360" w:lineRule="auto"/>
              <w:rPr>
                <w:rFonts w:cs="宋体"/>
                <w:b/>
                <w:color w:val="auto"/>
                <w:kern w:val="2"/>
                <w:sz w:val="24"/>
                <w:szCs w:val="24"/>
                <w:highlight w:val="none"/>
              </w:rPr>
            </w:pPr>
          </w:p>
        </w:tc>
        <w:tc>
          <w:tcPr>
            <w:tcW w:w="2320" w:type="dxa"/>
            <w:vAlign w:val="center"/>
          </w:tcPr>
          <w:p w14:paraId="75CECE27">
            <w:pPr>
              <w:spacing w:line="360" w:lineRule="auto"/>
              <w:rPr>
                <w:rFonts w:cs="宋体"/>
                <w:b/>
                <w:color w:val="auto"/>
                <w:kern w:val="2"/>
                <w:sz w:val="24"/>
                <w:szCs w:val="24"/>
                <w:highlight w:val="none"/>
              </w:rPr>
            </w:pPr>
          </w:p>
        </w:tc>
        <w:tc>
          <w:tcPr>
            <w:tcW w:w="1069" w:type="dxa"/>
            <w:vAlign w:val="center"/>
          </w:tcPr>
          <w:p w14:paraId="6959C827">
            <w:pPr>
              <w:spacing w:line="360" w:lineRule="auto"/>
              <w:rPr>
                <w:rFonts w:cs="宋体"/>
                <w:b/>
                <w:color w:val="auto"/>
                <w:kern w:val="2"/>
                <w:sz w:val="24"/>
                <w:szCs w:val="24"/>
                <w:highlight w:val="none"/>
              </w:rPr>
            </w:pPr>
          </w:p>
        </w:tc>
      </w:tr>
      <w:tr w14:paraId="0978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FE7EC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4CB62AE4">
            <w:pPr>
              <w:spacing w:line="360" w:lineRule="auto"/>
              <w:rPr>
                <w:rFonts w:cs="宋体"/>
                <w:b/>
                <w:color w:val="auto"/>
                <w:kern w:val="2"/>
                <w:sz w:val="24"/>
                <w:szCs w:val="24"/>
                <w:highlight w:val="none"/>
              </w:rPr>
            </w:pPr>
          </w:p>
        </w:tc>
        <w:tc>
          <w:tcPr>
            <w:tcW w:w="2320" w:type="dxa"/>
            <w:vAlign w:val="center"/>
          </w:tcPr>
          <w:p w14:paraId="6202BC76">
            <w:pPr>
              <w:spacing w:line="360" w:lineRule="auto"/>
              <w:rPr>
                <w:rFonts w:cs="宋体"/>
                <w:b/>
                <w:color w:val="auto"/>
                <w:kern w:val="2"/>
                <w:sz w:val="24"/>
                <w:szCs w:val="24"/>
                <w:highlight w:val="none"/>
              </w:rPr>
            </w:pPr>
          </w:p>
        </w:tc>
        <w:tc>
          <w:tcPr>
            <w:tcW w:w="1069" w:type="dxa"/>
            <w:vAlign w:val="center"/>
          </w:tcPr>
          <w:p w14:paraId="17B97E49">
            <w:pPr>
              <w:spacing w:line="360" w:lineRule="auto"/>
              <w:rPr>
                <w:rFonts w:cs="宋体"/>
                <w:b/>
                <w:color w:val="auto"/>
                <w:kern w:val="2"/>
                <w:sz w:val="24"/>
                <w:szCs w:val="24"/>
                <w:highlight w:val="none"/>
              </w:rPr>
            </w:pPr>
          </w:p>
        </w:tc>
      </w:tr>
      <w:tr w14:paraId="7350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F8B852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447C4472">
            <w:pPr>
              <w:spacing w:line="360" w:lineRule="auto"/>
              <w:rPr>
                <w:rFonts w:cs="宋体"/>
                <w:b/>
                <w:color w:val="auto"/>
                <w:kern w:val="2"/>
                <w:sz w:val="24"/>
                <w:szCs w:val="24"/>
                <w:highlight w:val="none"/>
              </w:rPr>
            </w:pPr>
          </w:p>
        </w:tc>
        <w:tc>
          <w:tcPr>
            <w:tcW w:w="2320" w:type="dxa"/>
            <w:vAlign w:val="center"/>
          </w:tcPr>
          <w:p w14:paraId="5F4D7E55">
            <w:pPr>
              <w:spacing w:line="360" w:lineRule="auto"/>
              <w:rPr>
                <w:rFonts w:cs="宋体"/>
                <w:b/>
                <w:color w:val="auto"/>
                <w:kern w:val="2"/>
                <w:sz w:val="24"/>
                <w:szCs w:val="24"/>
                <w:highlight w:val="none"/>
              </w:rPr>
            </w:pPr>
          </w:p>
        </w:tc>
        <w:tc>
          <w:tcPr>
            <w:tcW w:w="1069" w:type="dxa"/>
            <w:vAlign w:val="center"/>
          </w:tcPr>
          <w:p w14:paraId="7B596E87">
            <w:pPr>
              <w:spacing w:line="360" w:lineRule="auto"/>
              <w:rPr>
                <w:rFonts w:cs="宋体"/>
                <w:b/>
                <w:color w:val="auto"/>
                <w:kern w:val="2"/>
                <w:sz w:val="24"/>
                <w:szCs w:val="24"/>
                <w:highlight w:val="none"/>
              </w:rPr>
            </w:pPr>
          </w:p>
        </w:tc>
      </w:tr>
      <w:tr w14:paraId="2BA2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5E4600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0D3C10F2">
            <w:pPr>
              <w:spacing w:line="360" w:lineRule="auto"/>
              <w:rPr>
                <w:rFonts w:cs="宋体"/>
                <w:b/>
                <w:color w:val="auto"/>
                <w:kern w:val="2"/>
                <w:sz w:val="24"/>
                <w:szCs w:val="24"/>
                <w:highlight w:val="none"/>
              </w:rPr>
            </w:pPr>
          </w:p>
        </w:tc>
        <w:tc>
          <w:tcPr>
            <w:tcW w:w="2320" w:type="dxa"/>
            <w:vAlign w:val="center"/>
          </w:tcPr>
          <w:p w14:paraId="613FE34F">
            <w:pPr>
              <w:spacing w:line="360" w:lineRule="auto"/>
              <w:rPr>
                <w:rFonts w:cs="宋体"/>
                <w:b/>
                <w:color w:val="auto"/>
                <w:kern w:val="2"/>
                <w:sz w:val="24"/>
                <w:szCs w:val="24"/>
                <w:highlight w:val="none"/>
              </w:rPr>
            </w:pPr>
          </w:p>
        </w:tc>
        <w:tc>
          <w:tcPr>
            <w:tcW w:w="1069" w:type="dxa"/>
            <w:vAlign w:val="center"/>
          </w:tcPr>
          <w:p w14:paraId="570A7FE4">
            <w:pPr>
              <w:spacing w:line="360" w:lineRule="auto"/>
              <w:rPr>
                <w:rFonts w:cs="宋体"/>
                <w:b/>
                <w:color w:val="auto"/>
                <w:kern w:val="2"/>
                <w:sz w:val="24"/>
                <w:szCs w:val="24"/>
                <w:highlight w:val="none"/>
              </w:rPr>
            </w:pPr>
          </w:p>
        </w:tc>
      </w:tr>
    </w:tbl>
    <w:p w14:paraId="04EF85C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0A5438E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磋商</w:t>
      </w:r>
      <w:r>
        <w:rPr>
          <w:rFonts w:hint="eastAsia" w:cs="宋体"/>
          <w:color w:val="auto"/>
          <w:kern w:val="2"/>
          <w:sz w:val="24"/>
          <w:szCs w:val="24"/>
          <w:highlight w:val="none"/>
        </w:rPr>
        <w:t xml:space="preserve">文件要求的业绩； </w:t>
      </w:r>
    </w:p>
    <w:p w14:paraId="1977211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6617A535">
      <w:pPr>
        <w:widowControl/>
        <w:jc w:val="center"/>
        <w:rPr>
          <w:b/>
          <w:color w:val="auto"/>
          <w:sz w:val="24"/>
          <w:highlight w:val="none"/>
        </w:rPr>
      </w:pPr>
      <w:r>
        <w:rPr>
          <w:color w:val="auto"/>
          <w:sz w:val="24"/>
          <w:highlight w:val="none"/>
        </w:rPr>
        <w:br w:type="page"/>
      </w:r>
      <w:r>
        <w:rPr>
          <w:rFonts w:hint="eastAsia"/>
          <w:b/>
          <w:color w:val="auto"/>
          <w:sz w:val="24"/>
          <w:highlight w:val="none"/>
        </w:rPr>
        <w:t>十</w:t>
      </w:r>
      <w:r>
        <w:rPr>
          <w:rFonts w:hint="eastAsia"/>
          <w:b/>
          <w:color w:val="auto"/>
          <w:sz w:val="24"/>
          <w:highlight w:val="none"/>
          <w:lang w:val="en-US" w:eastAsia="zh-CN"/>
        </w:rPr>
        <w:t>二</w:t>
      </w:r>
      <w:r>
        <w:rPr>
          <w:rFonts w:hint="eastAsia"/>
          <w:b/>
          <w:color w:val="auto"/>
          <w:sz w:val="24"/>
          <w:highlight w:val="none"/>
        </w:rPr>
        <w:t>、其他相关证明材料</w:t>
      </w:r>
    </w:p>
    <w:p w14:paraId="6CB00F18">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供应商</w:t>
      </w:r>
      <w:r>
        <w:rPr>
          <w:rFonts w:hint="eastAsia"/>
          <w:color w:val="auto"/>
          <w:sz w:val="24"/>
          <w:highlight w:val="none"/>
        </w:rPr>
        <w:t>编制施工组织设计，包括</w:t>
      </w:r>
      <w:r>
        <w:rPr>
          <w:rFonts w:hint="eastAsia"/>
          <w:color w:val="auto"/>
          <w:sz w:val="24"/>
          <w:highlight w:val="none"/>
          <w:lang w:eastAsia="zh-CN"/>
        </w:rPr>
        <w:t>磋商</w:t>
      </w:r>
      <w:r>
        <w:rPr>
          <w:rFonts w:hint="eastAsia"/>
          <w:color w:val="auto"/>
          <w:sz w:val="24"/>
          <w:highlight w:val="none"/>
        </w:rPr>
        <w:t>文件规定的施工组织设计基本内容。</w:t>
      </w:r>
    </w:p>
    <w:p w14:paraId="063669AE">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供应商</w:t>
      </w:r>
      <w:r>
        <w:rPr>
          <w:rFonts w:hint="eastAsia"/>
          <w:color w:val="auto"/>
          <w:sz w:val="24"/>
          <w:highlight w:val="none"/>
        </w:rPr>
        <w:t>认为与</w:t>
      </w:r>
      <w:r>
        <w:rPr>
          <w:rFonts w:hint="eastAsia"/>
          <w:color w:val="auto"/>
          <w:sz w:val="24"/>
          <w:highlight w:val="none"/>
          <w:lang w:eastAsia="zh-CN"/>
        </w:rPr>
        <w:t>磋商</w:t>
      </w:r>
      <w:r>
        <w:rPr>
          <w:rFonts w:hint="eastAsia"/>
          <w:color w:val="auto"/>
          <w:sz w:val="24"/>
          <w:highlight w:val="none"/>
        </w:rPr>
        <w:t>有关的其他资料。</w:t>
      </w:r>
    </w:p>
    <w:p w14:paraId="65A3C8CD">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35"/>
          <w:rFonts w:hint="eastAsia" w:cs="宋体"/>
          <w:b/>
          <w:bCs/>
          <w:color w:val="auto"/>
          <w:sz w:val="44"/>
          <w:szCs w:val="44"/>
          <w:highlight w:val="none"/>
        </w:rPr>
        <w:footnoteReference w:id="1"/>
      </w:r>
    </w:p>
    <w:p w14:paraId="23E82203">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val="en-US" w:eastAsia="zh-CN"/>
        </w:rPr>
        <w:t>投标</w:t>
      </w:r>
      <w:r>
        <w:rPr>
          <w:rFonts w:hint="eastAsia" w:cs="宋体"/>
          <w:color w:val="auto"/>
          <w:szCs w:val="24"/>
          <w:highlight w:val="none"/>
          <w:lang w:eastAsia="zh-CN"/>
        </w:rPr>
        <w:t>单位</w:t>
      </w:r>
      <w:r>
        <w:rPr>
          <w:rFonts w:hint="eastAsia" w:cs="宋体"/>
          <w:color w:val="auto"/>
          <w:szCs w:val="24"/>
          <w:highlight w:val="none"/>
        </w:rPr>
        <w:t>”按“</w:t>
      </w:r>
      <w:r>
        <w:rPr>
          <w:rFonts w:hint="eastAsia"/>
          <w:color w:val="auto"/>
          <w:szCs w:val="18"/>
          <w:highlight w:val="none"/>
          <w:lang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”按“响应文件”理解，“招标文件”按“</w:t>
      </w:r>
      <w:r>
        <w:rPr>
          <w:rFonts w:hint="eastAsia" w:cs="宋体"/>
          <w:color w:val="auto"/>
          <w:szCs w:val="24"/>
          <w:highlight w:val="none"/>
          <w:lang w:val="en-US" w:eastAsia="zh-CN"/>
        </w:rPr>
        <w:t>磋商</w:t>
      </w:r>
      <w:r>
        <w:rPr>
          <w:rFonts w:hint="eastAsia" w:cs="宋体"/>
          <w:color w:val="auto"/>
          <w:szCs w:val="24"/>
          <w:highlight w:val="none"/>
        </w:rPr>
        <w:t>文件”理解，“</w:t>
      </w:r>
      <w:r>
        <w:rPr>
          <w:rFonts w:hint="eastAsia" w:cs="宋体"/>
          <w:color w:val="auto"/>
          <w:szCs w:val="24"/>
          <w:highlight w:val="none"/>
          <w:lang w:eastAsia="zh-CN"/>
        </w:rPr>
        <w:t>响应文件</w:t>
      </w:r>
      <w:r>
        <w:rPr>
          <w:rFonts w:hint="eastAsia" w:cs="宋体"/>
          <w:color w:val="auto"/>
          <w:szCs w:val="24"/>
          <w:highlight w:val="none"/>
        </w:rPr>
        <w:t>递交截止时间”按“响应文件递交截止时间”理解，“开标”按“开启响应文件”理解，“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”按“评审小组”理解，“投标无效”按“响应文件无效”理解。</w:t>
      </w:r>
    </w:p>
    <w:p w14:paraId="6EEB80A4">
      <w:pPr>
        <w:spacing w:line="400" w:lineRule="exact"/>
        <w:ind w:firstLine="400" w:firstLineChars="200"/>
        <w:rPr>
          <w:rFonts w:cs="宋体"/>
          <w:color w:val="auto"/>
          <w:szCs w:val="24"/>
          <w:highlight w:val="none"/>
        </w:rPr>
      </w:pPr>
    </w:p>
    <w:p w14:paraId="5BAF84DC">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0F62050A">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1EC23B03">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436D3880">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31"/>
          <w:rFonts w:hint="eastAsia" w:cs="宋体"/>
          <w:bCs/>
          <w:color w:val="auto"/>
          <w:highlight w:val="none"/>
        </w:rPr>
        <w:t>http://www.youzhicai.com/ActivityTopic/AdviceDetail/8f80a7ec-911f-4c4d-a123-f</w:t>
      </w:r>
      <w:bookmarkStart w:id="692" w:name="_Hlt105085548"/>
      <w:bookmarkStart w:id="693" w:name="_Hlt105085547"/>
      <w:r>
        <w:rPr>
          <w:rStyle w:val="31"/>
          <w:rFonts w:hint="eastAsia" w:cs="宋体"/>
          <w:bCs/>
          <w:color w:val="auto"/>
          <w:highlight w:val="none"/>
        </w:rPr>
        <w:t>8</w:t>
      </w:r>
      <w:bookmarkEnd w:id="692"/>
      <w:bookmarkEnd w:id="693"/>
      <w:r>
        <w:rPr>
          <w:rStyle w:val="31"/>
          <w:rFonts w:hint="eastAsia" w:cs="宋体"/>
          <w:bCs/>
          <w:color w:val="auto"/>
          <w:highlight w:val="none"/>
        </w:rPr>
        <w:t>849880f045</w:t>
      </w:r>
      <w:r>
        <w:rPr>
          <w:rStyle w:val="31"/>
          <w:rFonts w:hint="eastAsia" w:cs="宋体"/>
          <w:bCs/>
          <w:color w:val="auto"/>
          <w:highlight w:val="none"/>
        </w:rPr>
        <w:fldChar w:fldCharType="end"/>
      </w:r>
      <w:r>
        <w:rPr>
          <w:rFonts w:hint="eastAsia" w:cs="宋体"/>
          <w:bCs/>
          <w:color w:val="auto"/>
          <w:highlight w:val="none"/>
        </w:rPr>
        <w:t>。</w:t>
      </w:r>
    </w:p>
    <w:p w14:paraId="59A5C12F">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3928C85E">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6AB07FB7">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42447349">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63AB25D9">
      <w:pPr>
        <w:spacing w:line="400" w:lineRule="exact"/>
        <w:ind w:firstLine="400" w:firstLineChars="200"/>
        <w:rPr>
          <w:rFonts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216C6538">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449934DB">
      <w:pPr>
        <w:spacing w:line="400" w:lineRule="exact"/>
        <w:ind w:firstLine="400" w:firstLineChars="200"/>
        <w:rPr>
          <w:rStyle w:val="31"/>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31"/>
          <w:rFonts w:hint="eastAsia" w:cs="宋体"/>
          <w:color w:val="auto"/>
          <w:highlight w:val="none"/>
        </w:rPr>
        <w:t>https://toolcdn.youzhicai.com/tools/BidderTools.zip</w:t>
      </w:r>
      <w:r>
        <w:rPr>
          <w:rStyle w:val="31"/>
          <w:rFonts w:hint="eastAsia" w:cs="宋体"/>
          <w:color w:val="auto"/>
          <w:highlight w:val="none"/>
        </w:rPr>
        <w:fldChar w:fldCharType="end"/>
      </w:r>
      <w:r>
        <w:rPr>
          <w:rStyle w:val="31"/>
          <w:rFonts w:hint="eastAsia" w:cs="宋体"/>
          <w:color w:val="auto"/>
          <w:highlight w:val="none"/>
        </w:rPr>
        <w:t>。</w:t>
      </w:r>
    </w:p>
    <w:p w14:paraId="7556F5CA">
      <w:pPr>
        <w:spacing w:line="400" w:lineRule="exact"/>
        <w:ind w:firstLine="400" w:firstLineChars="200"/>
        <w:rPr>
          <w:rStyle w:val="31"/>
          <w:rFonts w:cs="宋体"/>
          <w:color w:val="auto"/>
          <w:highlight w:val="none"/>
          <w:u w:val="none"/>
        </w:rPr>
      </w:pPr>
      <w:r>
        <w:rPr>
          <w:rStyle w:val="31"/>
          <w:rFonts w:hint="eastAsia" w:cs="宋体"/>
          <w:color w:val="auto"/>
          <w:highlight w:val="none"/>
          <w:u w:val="none"/>
        </w:rPr>
        <w:tab/>
      </w:r>
      <w:r>
        <w:rPr>
          <w:rStyle w:val="31"/>
          <w:rFonts w:hint="eastAsia" w:cs="宋体"/>
          <w:color w:val="auto"/>
          <w:highlight w:val="none"/>
          <w:u w:val="none"/>
        </w:rPr>
        <w:t>8.1.投标工具建议在window7或windows10操作系统下使用；</w:t>
      </w:r>
    </w:p>
    <w:p w14:paraId="38F3504E">
      <w:pPr>
        <w:spacing w:line="400" w:lineRule="exact"/>
        <w:ind w:firstLine="400" w:firstLineChars="200"/>
        <w:rPr>
          <w:rFonts w:cs="宋体"/>
          <w:bCs/>
          <w:color w:val="auto"/>
          <w:sz w:val="18"/>
          <w:highlight w:val="none"/>
        </w:rPr>
      </w:pPr>
      <w:r>
        <w:rPr>
          <w:rStyle w:val="31"/>
          <w:rFonts w:hint="eastAsia" w:cs="宋体"/>
          <w:color w:val="auto"/>
          <w:highlight w:val="none"/>
          <w:u w:val="none"/>
        </w:rPr>
        <w:tab/>
      </w:r>
      <w:r>
        <w:rPr>
          <w:rStyle w:val="31"/>
          <w:rFonts w:hint="eastAsia" w:cs="宋体"/>
          <w:color w:val="auto"/>
          <w:highlight w:val="none"/>
          <w:u w:val="none"/>
        </w:rPr>
        <w:t>8.2.电子</w:t>
      </w:r>
      <w:r>
        <w:rPr>
          <w:rStyle w:val="31"/>
          <w:rFonts w:hint="eastAsia" w:cs="宋体"/>
          <w:color w:val="auto"/>
          <w:highlight w:val="none"/>
          <w:u w:val="none"/>
          <w:lang w:eastAsia="zh-CN"/>
        </w:rPr>
        <w:t>响应文件</w:t>
      </w:r>
      <w:r>
        <w:rPr>
          <w:rStyle w:val="31"/>
          <w:rFonts w:hint="eastAsia" w:cs="宋体"/>
          <w:color w:val="auto"/>
          <w:highlight w:val="none"/>
          <w:u w:val="none"/>
        </w:rPr>
        <w:t>编制建议使用</w:t>
      </w:r>
      <w:r>
        <w:rPr>
          <w:rFonts w:hint="eastAsia" w:cs="宋体"/>
          <w:color w:val="auto"/>
          <w:highlight w:val="none"/>
        </w:rPr>
        <w:t>office2010版本。</w:t>
      </w:r>
    </w:p>
    <w:p w14:paraId="296D2C87">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31"/>
          <w:rFonts w:hint="eastAsia" w:cs="宋体"/>
          <w:color w:val="auto"/>
          <w:highlight w:val="none"/>
        </w:rPr>
        <w:t>https://toolcdn.youzhicai.com/ca.zip</w:t>
      </w:r>
      <w:r>
        <w:rPr>
          <w:rStyle w:val="31"/>
          <w:rFonts w:hint="eastAsia" w:cs="宋体"/>
          <w:color w:val="auto"/>
          <w:highlight w:val="none"/>
        </w:rPr>
        <w:fldChar w:fldCharType="end"/>
      </w:r>
      <w:r>
        <w:rPr>
          <w:rStyle w:val="31"/>
          <w:rFonts w:hint="eastAsia" w:cs="宋体"/>
          <w:color w:val="auto"/>
          <w:highlight w:val="none"/>
        </w:rPr>
        <w:t>。</w:t>
      </w:r>
    </w:p>
    <w:p w14:paraId="60E010D3">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5CBBC2AA">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053FB49E">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4F69F196">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5E0CD145">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35141FFD">
      <w:pPr>
        <w:spacing w:line="400" w:lineRule="exact"/>
        <w:ind w:firstLine="400" w:firstLineChars="200"/>
        <w:rPr>
          <w:rFonts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无需到达开标现场。招标文件“</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350526AD">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须按照招标文件的要求在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0B03DC83">
      <w:pPr>
        <w:spacing w:line="400" w:lineRule="exact"/>
        <w:ind w:firstLine="400" w:firstLineChars="200"/>
        <w:rPr>
          <w:rFonts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递交截止时间后30分钟（招标文件“</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解密，未能成功解密的视为放弃投标。招标文件“</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00A072BA">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452D7F9E">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78994B49">
      <w:pPr>
        <w:spacing w:line="400" w:lineRule="exact"/>
        <w:ind w:firstLine="400" w:firstLineChars="200"/>
        <w:rPr>
          <w:rFonts w:cs="宋体"/>
          <w:color w:val="auto"/>
          <w:highlight w:val="none"/>
        </w:rPr>
      </w:pPr>
      <w:r>
        <w:rPr>
          <w:rFonts w:hint="eastAsia" w:cs="宋体"/>
          <w:color w:val="auto"/>
          <w:highlight w:val="none"/>
        </w:rPr>
        <w:t>五、异常情形</w:t>
      </w:r>
    </w:p>
    <w:p w14:paraId="1C1F78B1">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106FDA95">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21DD5C8E">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04F0D78B">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139FAA43">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361186EC">
      <w:pPr>
        <w:spacing w:line="400" w:lineRule="exact"/>
        <w:ind w:firstLine="400" w:firstLineChars="200"/>
        <w:rPr>
          <w:rFonts w:cs="宋体"/>
          <w:color w:val="auto"/>
          <w:highlight w:val="none"/>
        </w:rPr>
      </w:pPr>
      <w:r>
        <w:rPr>
          <w:rFonts w:hint="eastAsia" w:cs="宋体"/>
          <w:color w:val="auto"/>
          <w:highlight w:val="none"/>
        </w:rPr>
        <w:t>六、异常情形处理</w:t>
      </w:r>
    </w:p>
    <w:p w14:paraId="6EC0A764">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0DA791AD">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7C06A962">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285C7F03">
      <w:pPr>
        <w:rPr>
          <w:color w:val="auto"/>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E30A">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43AB">
    <w:pPr>
      <w:pStyle w:val="11"/>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2CEBCEAD">
      <w:pPr>
        <w:pStyle w:val="15"/>
        <w:rPr>
          <w:rFonts w:hint="eastAsia"/>
          <w:color w:val="000000"/>
        </w:rPr>
      </w:pPr>
      <w:r>
        <w:rPr>
          <w:rStyle w:val="35"/>
          <w:rFonts w:cs="楷体"/>
          <w:bCs/>
          <w:snapToGrid w:val="0"/>
          <w:color w:val="000000"/>
          <w:sz w:val="21"/>
          <w:szCs w:val="21"/>
        </w:rPr>
        <w:footnoteRef/>
      </w:r>
      <w:r>
        <w:rPr>
          <w:rFonts w:hint="eastAsia" w:cs="楷体"/>
          <w:bCs/>
          <w:snapToGrid w:val="0"/>
          <w:color w:val="000000"/>
        </w:rPr>
        <w:t>合肥市市级投资建设项目变更程序按照《合肥市人民政府办公厅关于印发合肥市市级投资建设项目变更管理规定的通知》（合政办〔2018〕64号）执行。</w:t>
      </w:r>
    </w:p>
  </w:footnote>
  <w:footnote w:id="1">
    <w:p w14:paraId="085427EC">
      <w:pPr>
        <w:pStyle w:val="15"/>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3D0">
    <w:pPr>
      <w:pStyle w:val="13"/>
      <w:jc w:val="left"/>
    </w:pPr>
    <w:r>
      <w:rPr>
        <w:rFonts w:hint="eastAsia"/>
        <w:lang w:eastAsia="zh-CN"/>
      </w:rPr>
      <w:t>磋商</w:t>
    </w:r>
    <w:r>
      <w:rPr>
        <w:rFonts w:hint="eastAsia"/>
      </w:rPr>
      <w:t>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D29E">
    <w:pPr>
      <w:pStyle w:val="13"/>
      <w:jc w:val="left"/>
    </w:pPr>
    <w:r>
      <w:rPr>
        <w:rFonts w:hint="eastAsia"/>
        <w:lang w:eastAsia="zh-CN"/>
      </w:rPr>
      <w:t>磋商</w:t>
    </w:r>
    <w:r>
      <w:rPr>
        <w:rFonts w:hint="eastAsia"/>
      </w:rPr>
      <w:t>文件——</w:t>
    </w:r>
    <w:r>
      <w:rPr>
        <w:rFonts w:hint="eastAsia"/>
        <w:lang w:val="en-US" w:eastAsia="zh-CN"/>
      </w:rPr>
      <w:t>工程</w:t>
    </w:r>
    <w:r>
      <w:rPr>
        <w:rFonts w:hint="eastAsia"/>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E0F38"/>
    <w:multiLevelType w:val="singleLevel"/>
    <w:tmpl w:val="9BEE0F38"/>
    <w:lvl w:ilvl="0" w:tentative="0">
      <w:start w:val="2"/>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E3572B88"/>
    <w:multiLevelType w:val="singleLevel"/>
    <w:tmpl w:val="E3572B88"/>
    <w:lvl w:ilvl="0" w:tentative="0">
      <w:start w:val="3"/>
      <w:numFmt w:val="chineseCounting"/>
      <w:suff w:val="space"/>
      <w:lvlText w:val="第%1节"/>
      <w:lvlJc w:val="left"/>
      <w:rPr>
        <w:rFonts w:hint="eastAsia"/>
      </w:rPr>
    </w:lvl>
  </w:abstractNum>
  <w:abstractNum w:abstractNumId="3">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TBmNzE1MDFhMTdlNGMyZjc3ZDgwZjQ1YTYwMWYifQ=="/>
  </w:docVars>
  <w:rsids>
    <w:rsidRoot w:val="00172A27"/>
    <w:rsid w:val="0000355A"/>
    <w:rsid w:val="00011CCC"/>
    <w:rsid w:val="00043DE5"/>
    <w:rsid w:val="000553E9"/>
    <w:rsid w:val="00067793"/>
    <w:rsid w:val="000B0FA0"/>
    <w:rsid w:val="000C13FB"/>
    <w:rsid w:val="000C30C1"/>
    <w:rsid w:val="000C3231"/>
    <w:rsid w:val="000E0735"/>
    <w:rsid w:val="000E69E5"/>
    <w:rsid w:val="000F4116"/>
    <w:rsid w:val="00103445"/>
    <w:rsid w:val="00107AF1"/>
    <w:rsid w:val="00123CD9"/>
    <w:rsid w:val="001439C0"/>
    <w:rsid w:val="00147031"/>
    <w:rsid w:val="00185390"/>
    <w:rsid w:val="00194335"/>
    <w:rsid w:val="001A077F"/>
    <w:rsid w:val="001D7725"/>
    <w:rsid w:val="001E50FD"/>
    <w:rsid w:val="001F5E52"/>
    <w:rsid w:val="002352E9"/>
    <w:rsid w:val="00242C1C"/>
    <w:rsid w:val="00256C19"/>
    <w:rsid w:val="00271981"/>
    <w:rsid w:val="00284EF9"/>
    <w:rsid w:val="0029265E"/>
    <w:rsid w:val="002A6132"/>
    <w:rsid w:val="002D3324"/>
    <w:rsid w:val="002E04DA"/>
    <w:rsid w:val="002E4E3F"/>
    <w:rsid w:val="002E4F6E"/>
    <w:rsid w:val="002F25B6"/>
    <w:rsid w:val="003079FF"/>
    <w:rsid w:val="0033260B"/>
    <w:rsid w:val="0038159C"/>
    <w:rsid w:val="00394A96"/>
    <w:rsid w:val="003B14C2"/>
    <w:rsid w:val="003B53F8"/>
    <w:rsid w:val="003C1394"/>
    <w:rsid w:val="003D1029"/>
    <w:rsid w:val="00405C03"/>
    <w:rsid w:val="00413969"/>
    <w:rsid w:val="00416A78"/>
    <w:rsid w:val="00422E4C"/>
    <w:rsid w:val="004244B0"/>
    <w:rsid w:val="00427866"/>
    <w:rsid w:val="0043750F"/>
    <w:rsid w:val="00475010"/>
    <w:rsid w:val="004C57C0"/>
    <w:rsid w:val="00504EB4"/>
    <w:rsid w:val="0051358D"/>
    <w:rsid w:val="00521BBB"/>
    <w:rsid w:val="0052780B"/>
    <w:rsid w:val="00541038"/>
    <w:rsid w:val="005573A2"/>
    <w:rsid w:val="00572645"/>
    <w:rsid w:val="0057350A"/>
    <w:rsid w:val="005A78AC"/>
    <w:rsid w:val="005A7B38"/>
    <w:rsid w:val="005B1712"/>
    <w:rsid w:val="005D35F4"/>
    <w:rsid w:val="005D6100"/>
    <w:rsid w:val="00612C14"/>
    <w:rsid w:val="00614983"/>
    <w:rsid w:val="00653B44"/>
    <w:rsid w:val="0068491A"/>
    <w:rsid w:val="006A2CB4"/>
    <w:rsid w:val="006D0B01"/>
    <w:rsid w:val="006D183D"/>
    <w:rsid w:val="006F4561"/>
    <w:rsid w:val="007079DF"/>
    <w:rsid w:val="00711347"/>
    <w:rsid w:val="0072567C"/>
    <w:rsid w:val="00726757"/>
    <w:rsid w:val="00741811"/>
    <w:rsid w:val="00741E31"/>
    <w:rsid w:val="007B61AD"/>
    <w:rsid w:val="007C1ABC"/>
    <w:rsid w:val="007D1048"/>
    <w:rsid w:val="007D1FB9"/>
    <w:rsid w:val="007F1892"/>
    <w:rsid w:val="008061D2"/>
    <w:rsid w:val="00836B67"/>
    <w:rsid w:val="008410BF"/>
    <w:rsid w:val="00841B42"/>
    <w:rsid w:val="00847766"/>
    <w:rsid w:val="00852B8C"/>
    <w:rsid w:val="00886FE7"/>
    <w:rsid w:val="008931B3"/>
    <w:rsid w:val="008A04DA"/>
    <w:rsid w:val="008B2DBA"/>
    <w:rsid w:val="008B5F70"/>
    <w:rsid w:val="00936165"/>
    <w:rsid w:val="0094695A"/>
    <w:rsid w:val="00963E20"/>
    <w:rsid w:val="009777F3"/>
    <w:rsid w:val="00982272"/>
    <w:rsid w:val="00995A21"/>
    <w:rsid w:val="009B5907"/>
    <w:rsid w:val="009E5B2C"/>
    <w:rsid w:val="00A05590"/>
    <w:rsid w:val="00A20271"/>
    <w:rsid w:val="00A240C2"/>
    <w:rsid w:val="00A265AA"/>
    <w:rsid w:val="00A45A07"/>
    <w:rsid w:val="00A4799F"/>
    <w:rsid w:val="00A67D85"/>
    <w:rsid w:val="00A9431C"/>
    <w:rsid w:val="00AB0098"/>
    <w:rsid w:val="00AC0374"/>
    <w:rsid w:val="00AE3126"/>
    <w:rsid w:val="00B11A6D"/>
    <w:rsid w:val="00B13F4E"/>
    <w:rsid w:val="00B23297"/>
    <w:rsid w:val="00B27B0B"/>
    <w:rsid w:val="00B3555D"/>
    <w:rsid w:val="00B42320"/>
    <w:rsid w:val="00B46418"/>
    <w:rsid w:val="00B4726C"/>
    <w:rsid w:val="00B53E94"/>
    <w:rsid w:val="00B62964"/>
    <w:rsid w:val="00B71DED"/>
    <w:rsid w:val="00B865F2"/>
    <w:rsid w:val="00BA5C0B"/>
    <w:rsid w:val="00BB7824"/>
    <w:rsid w:val="00BD267B"/>
    <w:rsid w:val="00BE30E5"/>
    <w:rsid w:val="00BF0F00"/>
    <w:rsid w:val="00BF6F66"/>
    <w:rsid w:val="00C02C88"/>
    <w:rsid w:val="00C06FC3"/>
    <w:rsid w:val="00C10097"/>
    <w:rsid w:val="00C2686B"/>
    <w:rsid w:val="00C30586"/>
    <w:rsid w:val="00C314B5"/>
    <w:rsid w:val="00C50064"/>
    <w:rsid w:val="00C71EF8"/>
    <w:rsid w:val="00C732D4"/>
    <w:rsid w:val="00C83A3B"/>
    <w:rsid w:val="00C8422A"/>
    <w:rsid w:val="00CB06F1"/>
    <w:rsid w:val="00CB07A4"/>
    <w:rsid w:val="00CB57C4"/>
    <w:rsid w:val="00CC2A97"/>
    <w:rsid w:val="00CC455D"/>
    <w:rsid w:val="00CD1984"/>
    <w:rsid w:val="00CE3184"/>
    <w:rsid w:val="00D15C98"/>
    <w:rsid w:val="00D2731B"/>
    <w:rsid w:val="00D41B80"/>
    <w:rsid w:val="00D52FA9"/>
    <w:rsid w:val="00D60CB3"/>
    <w:rsid w:val="00D733B8"/>
    <w:rsid w:val="00D75DDF"/>
    <w:rsid w:val="00D7626D"/>
    <w:rsid w:val="00D762CA"/>
    <w:rsid w:val="00D919BD"/>
    <w:rsid w:val="00D944DF"/>
    <w:rsid w:val="00DA206E"/>
    <w:rsid w:val="00DA5DFE"/>
    <w:rsid w:val="00DB3EEE"/>
    <w:rsid w:val="00DD03AA"/>
    <w:rsid w:val="00DD331F"/>
    <w:rsid w:val="00E15B53"/>
    <w:rsid w:val="00E42075"/>
    <w:rsid w:val="00E44AB1"/>
    <w:rsid w:val="00E5272C"/>
    <w:rsid w:val="00E759E7"/>
    <w:rsid w:val="00E83B28"/>
    <w:rsid w:val="00E94C11"/>
    <w:rsid w:val="00ED5986"/>
    <w:rsid w:val="00EE1560"/>
    <w:rsid w:val="00EE28EE"/>
    <w:rsid w:val="00EF374B"/>
    <w:rsid w:val="00F0676D"/>
    <w:rsid w:val="00F60E55"/>
    <w:rsid w:val="00F74A17"/>
    <w:rsid w:val="00F96B5B"/>
    <w:rsid w:val="00FE215E"/>
    <w:rsid w:val="00FE6F81"/>
    <w:rsid w:val="01213882"/>
    <w:rsid w:val="01B85F94"/>
    <w:rsid w:val="01C20BC1"/>
    <w:rsid w:val="02A82458"/>
    <w:rsid w:val="02E311D1"/>
    <w:rsid w:val="032F5264"/>
    <w:rsid w:val="0343163D"/>
    <w:rsid w:val="03471228"/>
    <w:rsid w:val="035C5045"/>
    <w:rsid w:val="036436F5"/>
    <w:rsid w:val="03C20CFD"/>
    <w:rsid w:val="03E84806"/>
    <w:rsid w:val="048B7C48"/>
    <w:rsid w:val="04902FC6"/>
    <w:rsid w:val="049A38BA"/>
    <w:rsid w:val="049C23C0"/>
    <w:rsid w:val="052554E5"/>
    <w:rsid w:val="053973EC"/>
    <w:rsid w:val="053B5CAD"/>
    <w:rsid w:val="05756DEA"/>
    <w:rsid w:val="0599432F"/>
    <w:rsid w:val="05C649F8"/>
    <w:rsid w:val="05EF0B06"/>
    <w:rsid w:val="061147C4"/>
    <w:rsid w:val="06477D96"/>
    <w:rsid w:val="06A63E66"/>
    <w:rsid w:val="06CB49BC"/>
    <w:rsid w:val="071E7A6D"/>
    <w:rsid w:val="0828199A"/>
    <w:rsid w:val="08C84F4C"/>
    <w:rsid w:val="08EB1C1E"/>
    <w:rsid w:val="08F6103E"/>
    <w:rsid w:val="09092DE7"/>
    <w:rsid w:val="0969226A"/>
    <w:rsid w:val="0AFC15E8"/>
    <w:rsid w:val="0B444D3D"/>
    <w:rsid w:val="0B491765"/>
    <w:rsid w:val="0B5120DD"/>
    <w:rsid w:val="0B62234B"/>
    <w:rsid w:val="0B921521"/>
    <w:rsid w:val="0C41302A"/>
    <w:rsid w:val="0C5B3165"/>
    <w:rsid w:val="0C86227D"/>
    <w:rsid w:val="0CBA487A"/>
    <w:rsid w:val="0D233659"/>
    <w:rsid w:val="0D2564A8"/>
    <w:rsid w:val="0D305579"/>
    <w:rsid w:val="0D324DE0"/>
    <w:rsid w:val="0D6671EC"/>
    <w:rsid w:val="0DB71155"/>
    <w:rsid w:val="0DF4332B"/>
    <w:rsid w:val="0E25296B"/>
    <w:rsid w:val="0E5C1E70"/>
    <w:rsid w:val="0E807E3A"/>
    <w:rsid w:val="0EA76270"/>
    <w:rsid w:val="0EC27511"/>
    <w:rsid w:val="0EC85A61"/>
    <w:rsid w:val="0EDA208D"/>
    <w:rsid w:val="0F3C1D55"/>
    <w:rsid w:val="0F5C08A7"/>
    <w:rsid w:val="0FCD6A7A"/>
    <w:rsid w:val="0FF00FEF"/>
    <w:rsid w:val="0FFE370C"/>
    <w:rsid w:val="100A4D1F"/>
    <w:rsid w:val="10297193"/>
    <w:rsid w:val="10573ABB"/>
    <w:rsid w:val="10884785"/>
    <w:rsid w:val="10967DE9"/>
    <w:rsid w:val="10EC306F"/>
    <w:rsid w:val="10EE3075"/>
    <w:rsid w:val="11557B43"/>
    <w:rsid w:val="116C28F7"/>
    <w:rsid w:val="11842CF0"/>
    <w:rsid w:val="118A06F5"/>
    <w:rsid w:val="11AA2909"/>
    <w:rsid w:val="11CD7AC2"/>
    <w:rsid w:val="11F72B09"/>
    <w:rsid w:val="13447713"/>
    <w:rsid w:val="13695AE6"/>
    <w:rsid w:val="13B81E24"/>
    <w:rsid w:val="143F6636"/>
    <w:rsid w:val="14411E19"/>
    <w:rsid w:val="149C5646"/>
    <w:rsid w:val="14A30D26"/>
    <w:rsid w:val="14B01297"/>
    <w:rsid w:val="14DC5FE6"/>
    <w:rsid w:val="14EC1D7D"/>
    <w:rsid w:val="14FC66CF"/>
    <w:rsid w:val="14FE1928"/>
    <w:rsid w:val="158521DA"/>
    <w:rsid w:val="16824B5F"/>
    <w:rsid w:val="175E2CE2"/>
    <w:rsid w:val="17D11706"/>
    <w:rsid w:val="18333915"/>
    <w:rsid w:val="188E7CA5"/>
    <w:rsid w:val="18A2581C"/>
    <w:rsid w:val="192D6C6E"/>
    <w:rsid w:val="196E7924"/>
    <w:rsid w:val="1A022382"/>
    <w:rsid w:val="1A50725A"/>
    <w:rsid w:val="1ACF521A"/>
    <w:rsid w:val="1B0B4BA2"/>
    <w:rsid w:val="1B4030F3"/>
    <w:rsid w:val="1B66485B"/>
    <w:rsid w:val="1C153A84"/>
    <w:rsid w:val="1C204A0A"/>
    <w:rsid w:val="1C2B7608"/>
    <w:rsid w:val="1C76287C"/>
    <w:rsid w:val="1C9A0C60"/>
    <w:rsid w:val="1CBC0BD7"/>
    <w:rsid w:val="1D4C65FE"/>
    <w:rsid w:val="1D5941DA"/>
    <w:rsid w:val="1D7414B2"/>
    <w:rsid w:val="1DB51D77"/>
    <w:rsid w:val="1E005185"/>
    <w:rsid w:val="1EB363F4"/>
    <w:rsid w:val="1EFD7436"/>
    <w:rsid w:val="1F9009DB"/>
    <w:rsid w:val="1FBA6F24"/>
    <w:rsid w:val="1FD707C9"/>
    <w:rsid w:val="1FDE32DF"/>
    <w:rsid w:val="2002256D"/>
    <w:rsid w:val="20112FE8"/>
    <w:rsid w:val="201D5FF2"/>
    <w:rsid w:val="21AB746C"/>
    <w:rsid w:val="2237485C"/>
    <w:rsid w:val="2245341D"/>
    <w:rsid w:val="22D60519"/>
    <w:rsid w:val="23682531"/>
    <w:rsid w:val="23C2284B"/>
    <w:rsid w:val="243D4E7D"/>
    <w:rsid w:val="247258FF"/>
    <w:rsid w:val="24EF7670"/>
    <w:rsid w:val="252D6896"/>
    <w:rsid w:val="2571612D"/>
    <w:rsid w:val="25B032A3"/>
    <w:rsid w:val="25FD7B6A"/>
    <w:rsid w:val="26565FDF"/>
    <w:rsid w:val="26B6639A"/>
    <w:rsid w:val="26BE763B"/>
    <w:rsid w:val="26C0260D"/>
    <w:rsid w:val="26C05AFB"/>
    <w:rsid w:val="26E42B12"/>
    <w:rsid w:val="26EF7EEE"/>
    <w:rsid w:val="27091ADD"/>
    <w:rsid w:val="27220ADA"/>
    <w:rsid w:val="27435A51"/>
    <w:rsid w:val="27624129"/>
    <w:rsid w:val="28370592"/>
    <w:rsid w:val="283F7837"/>
    <w:rsid w:val="28482746"/>
    <w:rsid w:val="286D547B"/>
    <w:rsid w:val="28C9259C"/>
    <w:rsid w:val="28F811E9"/>
    <w:rsid w:val="28FC4939"/>
    <w:rsid w:val="29655B14"/>
    <w:rsid w:val="29D42256"/>
    <w:rsid w:val="2A016FA2"/>
    <w:rsid w:val="2A6B3832"/>
    <w:rsid w:val="2AB147B5"/>
    <w:rsid w:val="2AE90244"/>
    <w:rsid w:val="2BA556CD"/>
    <w:rsid w:val="2BA930AE"/>
    <w:rsid w:val="2BB62C95"/>
    <w:rsid w:val="2BD733B6"/>
    <w:rsid w:val="2BE75544"/>
    <w:rsid w:val="2C5B7DFA"/>
    <w:rsid w:val="2D030961"/>
    <w:rsid w:val="2D6211CC"/>
    <w:rsid w:val="2D79041E"/>
    <w:rsid w:val="2D856DC3"/>
    <w:rsid w:val="2DA76D39"/>
    <w:rsid w:val="2DE24215"/>
    <w:rsid w:val="2DE653C7"/>
    <w:rsid w:val="301729F2"/>
    <w:rsid w:val="307B1892"/>
    <w:rsid w:val="30AE03DF"/>
    <w:rsid w:val="30B7783B"/>
    <w:rsid w:val="30CD2133"/>
    <w:rsid w:val="30D2231F"/>
    <w:rsid w:val="310A4E78"/>
    <w:rsid w:val="31833619"/>
    <w:rsid w:val="31AF7BD2"/>
    <w:rsid w:val="31EA7C43"/>
    <w:rsid w:val="31F93956"/>
    <w:rsid w:val="32700042"/>
    <w:rsid w:val="329219D2"/>
    <w:rsid w:val="32AB5D6C"/>
    <w:rsid w:val="32D707E6"/>
    <w:rsid w:val="32D938BC"/>
    <w:rsid w:val="32ED7F9D"/>
    <w:rsid w:val="331165AB"/>
    <w:rsid w:val="33512760"/>
    <w:rsid w:val="33CC262E"/>
    <w:rsid w:val="345614B9"/>
    <w:rsid w:val="34684D49"/>
    <w:rsid w:val="346B00EF"/>
    <w:rsid w:val="348222AE"/>
    <w:rsid w:val="34C00A0A"/>
    <w:rsid w:val="34E37107"/>
    <w:rsid w:val="34FC591F"/>
    <w:rsid w:val="35087C9D"/>
    <w:rsid w:val="35170C48"/>
    <w:rsid w:val="35E52AF5"/>
    <w:rsid w:val="36456BF4"/>
    <w:rsid w:val="36835E6A"/>
    <w:rsid w:val="36FD5149"/>
    <w:rsid w:val="375A1DC0"/>
    <w:rsid w:val="376E145B"/>
    <w:rsid w:val="37DD15AA"/>
    <w:rsid w:val="37F963E3"/>
    <w:rsid w:val="382471D8"/>
    <w:rsid w:val="385076D4"/>
    <w:rsid w:val="38FA3251"/>
    <w:rsid w:val="3922204C"/>
    <w:rsid w:val="39290F4A"/>
    <w:rsid w:val="3939522E"/>
    <w:rsid w:val="397A3554"/>
    <w:rsid w:val="3A313DDF"/>
    <w:rsid w:val="3A4C5A45"/>
    <w:rsid w:val="3AD66FDC"/>
    <w:rsid w:val="3AE57D3B"/>
    <w:rsid w:val="3B68689B"/>
    <w:rsid w:val="3BFB45B8"/>
    <w:rsid w:val="3C24596A"/>
    <w:rsid w:val="3CD53E49"/>
    <w:rsid w:val="3D2A6F55"/>
    <w:rsid w:val="3D5D5666"/>
    <w:rsid w:val="3D8449A1"/>
    <w:rsid w:val="3EA07AC6"/>
    <w:rsid w:val="3ED3386C"/>
    <w:rsid w:val="3EE14075"/>
    <w:rsid w:val="3EF738D0"/>
    <w:rsid w:val="3F2F6B8F"/>
    <w:rsid w:val="3F9C182D"/>
    <w:rsid w:val="3FD140EA"/>
    <w:rsid w:val="3FF46F41"/>
    <w:rsid w:val="405368AD"/>
    <w:rsid w:val="40550877"/>
    <w:rsid w:val="4084035D"/>
    <w:rsid w:val="40847C51"/>
    <w:rsid w:val="4086667F"/>
    <w:rsid w:val="40A8087E"/>
    <w:rsid w:val="413B60C1"/>
    <w:rsid w:val="41590C35"/>
    <w:rsid w:val="41967399"/>
    <w:rsid w:val="41C37B1D"/>
    <w:rsid w:val="41F54661"/>
    <w:rsid w:val="42ED123B"/>
    <w:rsid w:val="43553C60"/>
    <w:rsid w:val="43790D20"/>
    <w:rsid w:val="43A36B1A"/>
    <w:rsid w:val="4427569D"/>
    <w:rsid w:val="44305F71"/>
    <w:rsid w:val="446C318F"/>
    <w:rsid w:val="44A8366B"/>
    <w:rsid w:val="44AE6C6F"/>
    <w:rsid w:val="44D25071"/>
    <w:rsid w:val="44E4041B"/>
    <w:rsid w:val="45006282"/>
    <w:rsid w:val="45392515"/>
    <w:rsid w:val="453D2A10"/>
    <w:rsid w:val="45BE6BF8"/>
    <w:rsid w:val="462C412C"/>
    <w:rsid w:val="467557CF"/>
    <w:rsid w:val="472015D9"/>
    <w:rsid w:val="4734721D"/>
    <w:rsid w:val="47347AB8"/>
    <w:rsid w:val="48286871"/>
    <w:rsid w:val="4832149E"/>
    <w:rsid w:val="48657AC5"/>
    <w:rsid w:val="48CA377C"/>
    <w:rsid w:val="48E23D6F"/>
    <w:rsid w:val="49311755"/>
    <w:rsid w:val="496C4B54"/>
    <w:rsid w:val="49843F7B"/>
    <w:rsid w:val="498F32C4"/>
    <w:rsid w:val="49F17862"/>
    <w:rsid w:val="4AB8212E"/>
    <w:rsid w:val="4AC676BD"/>
    <w:rsid w:val="4C0F30D2"/>
    <w:rsid w:val="4C722558"/>
    <w:rsid w:val="4CFD720C"/>
    <w:rsid w:val="4D185106"/>
    <w:rsid w:val="4D8F0D67"/>
    <w:rsid w:val="4D935C67"/>
    <w:rsid w:val="4DD61C67"/>
    <w:rsid w:val="4E796078"/>
    <w:rsid w:val="4EF676C9"/>
    <w:rsid w:val="4F1F355F"/>
    <w:rsid w:val="4FCB6A8D"/>
    <w:rsid w:val="505B5AD6"/>
    <w:rsid w:val="51B073AF"/>
    <w:rsid w:val="51B12E15"/>
    <w:rsid w:val="52416E80"/>
    <w:rsid w:val="52C84F41"/>
    <w:rsid w:val="53363746"/>
    <w:rsid w:val="53E2517F"/>
    <w:rsid w:val="5435648A"/>
    <w:rsid w:val="5459695A"/>
    <w:rsid w:val="54BF4D86"/>
    <w:rsid w:val="55542987"/>
    <w:rsid w:val="55CF657E"/>
    <w:rsid w:val="55DD03B8"/>
    <w:rsid w:val="55F67FAE"/>
    <w:rsid w:val="56355422"/>
    <w:rsid w:val="56544380"/>
    <w:rsid w:val="567F0DC1"/>
    <w:rsid w:val="569E2FEC"/>
    <w:rsid w:val="56A04385"/>
    <w:rsid w:val="56B37C4E"/>
    <w:rsid w:val="56E11772"/>
    <w:rsid w:val="56F97D56"/>
    <w:rsid w:val="586E6E3B"/>
    <w:rsid w:val="587352FF"/>
    <w:rsid w:val="58752BA8"/>
    <w:rsid w:val="589A55C2"/>
    <w:rsid w:val="58BC103B"/>
    <w:rsid w:val="58D75F1B"/>
    <w:rsid w:val="590945CF"/>
    <w:rsid w:val="590A2A62"/>
    <w:rsid w:val="590F1AB3"/>
    <w:rsid w:val="5928638B"/>
    <w:rsid w:val="59834D46"/>
    <w:rsid w:val="598A0864"/>
    <w:rsid w:val="5B160B43"/>
    <w:rsid w:val="5B44580E"/>
    <w:rsid w:val="5B4E0632"/>
    <w:rsid w:val="5B5B4583"/>
    <w:rsid w:val="5C2D68F8"/>
    <w:rsid w:val="5C9B04E1"/>
    <w:rsid w:val="5CE17BA2"/>
    <w:rsid w:val="5D20514F"/>
    <w:rsid w:val="5D5F73BC"/>
    <w:rsid w:val="5D645228"/>
    <w:rsid w:val="5D704AEA"/>
    <w:rsid w:val="5DB5658E"/>
    <w:rsid w:val="5DF70C36"/>
    <w:rsid w:val="5E10464A"/>
    <w:rsid w:val="5E3A43C8"/>
    <w:rsid w:val="5E781EA8"/>
    <w:rsid w:val="5EA87092"/>
    <w:rsid w:val="5F0279C4"/>
    <w:rsid w:val="5F5A15AE"/>
    <w:rsid w:val="5F5A28D8"/>
    <w:rsid w:val="5F7A5030"/>
    <w:rsid w:val="5FEE0D0C"/>
    <w:rsid w:val="5FF012B0"/>
    <w:rsid w:val="601D27F2"/>
    <w:rsid w:val="60311DE8"/>
    <w:rsid w:val="607518FD"/>
    <w:rsid w:val="609D1752"/>
    <w:rsid w:val="60B62814"/>
    <w:rsid w:val="60B6715E"/>
    <w:rsid w:val="60C4146E"/>
    <w:rsid w:val="60CB63CB"/>
    <w:rsid w:val="60F65306"/>
    <w:rsid w:val="61547EE0"/>
    <w:rsid w:val="617355D6"/>
    <w:rsid w:val="61FD6FAC"/>
    <w:rsid w:val="62051CA5"/>
    <w:rsid w:val="621F432A"/>
    <w:rsid w:val="6294094A"/>
    <w:rsid w:val="629848C7"/>
    <w:rsid w:val="62DF5EF4"/>
    <w:rsid w:val="62EC69C1"/>
    <w:rsid w:val="639A5952"/>
    <w:rsid w:val="639C02C3"/>
    <w:rsid w:val="63AD5A6D"/>
    <w:rsid w:val="63C15A99"/>
    <w:rsid w:val="63E43C40"/>
    <w:rsid w:val="64C33752"/>
    <w:rsid w:val="65387C9C"/>
    <w:rsid w:val="65D043B5"/>
    <w:rsid w:val="660D514E"/>
    <w:rsid w:val="66617326"/>
    <w:rsid w:val="66C20165"/>
    <w:rsid w:val="66F67E0E"/>
    <w:rsid w:val="6759214B"/>
    <w:rsid w:val="67AE693B"/>
    <w:rsid w:val="67B31118"/>
    <w:rsid w:val="67B93A3B"/>
    <w:rsid w:val="67CD1BC9"/>
    <w:rsid w:val="68324D3D"/>
    <w:rsid w:val="68617509"/>
    <w:rsid w:val="688A17C5"/>
    <w:rsid w:val="68986859"/>
    <w:rsid w:val="68AE2529"/>
    <w:rsid w:val="69055B11"/>
    <w:rsid w:val="69284CD5"/>
    <w:rsid w:val="693037C0"/>
    <w:rsid w:val="695F58DF"/>
    <w:rsid w:val="69690D6B"/>
    <w:rsid w:val="697D4817"/>
    <w:rsid w:val="69EA1A6A"/>
    <w:rsid w:val="69EA4C26"/>
    <w:rsid w:val="69EB21BA"/>
    <w:rsid w:val="69F525FF"/>
    <w:rsid w:val="6A274783"/>
    <w:rsid w:val="6A383584"/>
    <w:rsid w:val="6A4737E3"/>
    <w:rsid w:val="6A4F6090"/>
    <w:rsid w:val="6A9E1102"/>
    <w:rsid w:val="6AD466B8"/>
    <w:rsid w:val="6B4355EC"/>
    <w:rsid w:val="6B6441A6"/>
    <w:rsid w:val="6B6723AC"/>
    <w:rsid w:val="6BD41C89"/>
    <w:rsid w:val="6BDE7164"/>
    <w:rsid w:val="6C3B2FFD"/>
    <w:rsid w:val="6D033285"/>
    <w:rsid w:val="6D7256A0"/>
    <w:rsid w:val="6DA3451F"/>
    <w:rsid w:val="6DE95888"/>
    <w:rsid w:val="6E040A57"/>
    <w:rsid w:val="6E380D0C"/>
    <w:rsid w:val="6E55366C"/>
    <w:rsid w:val="6E617962"/>
    <w:rsid w:val="6E7136A2"/>
    <w:rsid w:val="6EAE6B68"/>
    <w:rsid w:val="6F02382D"/>
    <w:rsid w:val="70001CFE"/>
    <w:rsid w:val="70560B6F"/>
    <w:rsid w:val="70B312C0"/>
    <w:rsid w:val="70E60A99"/>
    <w:rsid w:val="7183450A"/>
    <w:rsid w:val="71A53F34"/>
    <w:rsid w:val="71BA40BB"/>
    <w:rsid w:val="720A0C12"/>
    <w:rsid w:val="726036B1"/>
    <w:rsid w:val="726E11A1"/>
    <w:rsid w:val="72A259DC"/>
    <w:rsid w:val="72BE3825"/>
    <w:rsid w:val="72C40DC1"/>
    <w:rsid w:val="732D2E0A"/>
    <w:rsid w:val="737A5937"/>
    <w:rsid w:val="73823836"/>
    <w:rsid w:val="738C5F3D"/>
    <w:rsid w:val="73B66A87"/>
    <w:rsid w:val="73ED07EB"/>
    <w:rsid w:val="74291FC8"/>
    <w:rsid w:val="74A23383"/>
    <w:rsid w:val="74B66E2F"/>
    <w:rsid w:val="75163850"/>
    <w:rsid w:val="75376992"/>
    <w:rsid w:val="754017B1"/>
    <w:rsid w:val="754F20E5"/>
    <w:rsid w:val="758962F1"/>
    <w:rsid w:val="76022303"/>
    <w:rsid w:val="76653C30"/>
    <w:rsid w:val="76681767"/>
    <w:rsid w:val="76CB266C"/>
    <w:rsid w:val="76FA0F8A"/>
    <w:rsid w:val="775B37B3"/>
    <w:rsid w:val="776112D4"/>
    <w:rsid w:val="77BA522C"/>
    <w:rsid w:val="78B55D26"/>
    <w:rsid w:val="78C31B1A"/>
    <w:rsid w:val="78C935D5"/>
    <w:rsid w:val="790740FD"/>
    <w:rsid w:val="79217ACA"/>
    <w:rsid w:val="79CC49FF"/>
    <w:rsid w:val="79EE2C15"/>
    <w:rsid w:val="79FF2E57"/>
    <w:rsid w:val="7A6F0C19"/>
    <w:rsid w:val="7A85177D"/>
    <w:rsid w:val="7A8F43AA"/>
    <w:rsid w:val="7AAD2AD4"/>
    <w:rsid w:val="7AF41934"/>
    <w:rsid w:val="7AF64E64"/>
    <w:rsid w:val="7B8B4B71"/>
    <w:rsid w:val="7BAD42E7"/>
    <w:rsid w:val="7C2A30B3"/>
    <w:rsid w:val="7C67749B"/>
    <w:rsid w:val="7C6F4A55"/>
    <w:rsid w:val="7C88585D"/>
    <w:rsid w:val="7C8E4C34"/>
    <w:rsid w:val="7CC61CC4"/>
    <w:rsid w:val="7CC82E83"/>
    <w:rsid w:val="7D366C7B"/>
    <w:rsid w:val="7D380D29"/>
    <w:rsid w:val="7D87352C"/>
    <w:rsid w:val="7E1C7116"/>
    <w:rsid w:val="7E4313B6"/>
    <w:rsid w:val="7E7044F2"/>
    <w:rsid w:val="7EA87AEB"/>
    <w:rsid w:val="7ED905EE"/>
    <w:rsid w:val="7EED5B43"/>
    <w:rsid w:val="7F1F3D7B"/>
    <w:rsid w:val="7F5B0C1E"/>
    <w:rsid w:val="7F7371D7"/>
    <w:rsid w:val="7FAE08F2"/>
    <w:rsid w:val="7FF52F01"/>
    <w:rsid w:val="7FFB52C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3">
    <w:name w:val="heading 1"/>
    <w:basedOn w:val="1"/>
    <w:next w:val="1"/>
    <w:unhideWhenUsed/>
    <w:qFormat/>
    <w:uiPriority w:val="0"/>
    <w:pPr>
      <w:keepNext/>
      <w:keepLines/>
      <w:spacing w:beforeLines="0" w:afterLines="0" w:line="360" w:lineRule="auto"/>
      <w:outlineLvl w:val="0"/>
    </w:pPr>
    <w:rPr>
      <w:rFonts w:hint="eastAsia"/>
      <w:b/>
      <w:kern w:val="44"/>
      <w:sz w:val="32"/>
      <w:szCs w:val="44"/>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Normal Indent"/>
    <w:basedOn w:val="1"/>
    <w:qFormat/>
    <w:uiPriority w:val="0"/>
    <w:pPr>
      <w:ind w:firstLine="420"/>
    </w:pPr>
    <w:rPr>
      <w:rFonts w:ascii="Times New Roman" w:hAnsi="Times New Roman" w:eastAsia="宋体" w:cs="Times New Roman"/>
    </w:rPr>
  </w:style>
  <w:style w:type="paragraph" w:styleId="6">
    <w:name w:val="annotation text"/>
    <w:basedOn w:val="1"/>
    <w:link w:val="46"/>
    <w:autoRedefine/>
    <w:qFormat/>
    <w:uiPriority w:val="0"/>
    <w:pPr>
      <w:jc w:val="left"/>
    </w:pPr>
  </w:style>
  <w:style w:type="paragraph" w:styleId="7">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link w:val="49"/>
    <w:autoRedefine/>
    <w:unhideWhenUsed/>
    <w:qFormat/>
    <w:uiPriority w:val="99"/>
    <w:pPr>
      <w:spacing w:after="120"/>
      <w:ind w:left="420" w:leftChars="200"/>
    </w:pPr>
    <w:rPr>
      <w:rFonts w:ascii="Calibri" w:hAnsi="Calibri"/>
      <w:kern w:val="2"/>
      <w:sz w:val="21"/>
      <w:szCs w:val="22"/>
    </w:rPr>
  </w:style>
  <w:style w:type="paragraph" w:styleId="9">
    <w:name w:val="Plain Text"/>
    <w:basedOn w:val="1"/>
    <w:autoRedefine/>
    <w:qFormat/>
    <w:uiPriority w:val="0"/>
    <w:rPr>
      <w:rFonts w:hAnsi="Courier New"/>
      <w:szCs w:val="22"/>
    </w:rPr>
  </w:style>
  <w:style w:type="paragraph" w:styleId="10">
    <w:name w:val="Balloon Text"/>
    <w:basedOn w:val="1"/>
    <w:link w:val="45"/>
    <w:autoRedefine/>
    <w:qFormat/>
    <w:uiPriority w:val="0"/>
    <w:rPr>
      <w:sz w:val="18"/>
      <w:szCs w:val="18"/>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cs="Arial"/>
      <w:kern w:val="1"/>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6">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7">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8">
    <w:name w:val="annotation subject"/>
    <w:basedOn w:val="6"/>
    <w:next w:val="6"/>
    <w:link w:val="47"/>
    <w:autoRedefine/>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autoRedefine/>
    <w:unhideWhenUsed/>
    <w:qFormat/>
    <w:uiPriority w:val="0"/>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五级目录"/>
    <w:basedOn w:val="1"/>
    <w:autoRedefine/>
    <w:qFormat/>
    <w:uiPriority w:val="0"/>
    <w:pPr>
      <w:ind w:left="150" w:leftChars="150"/>
      <w:outlineLvl w:val="4"/>
    </w:pPr>
    <w:rPr>
      <w:rFonts w:ascii="黑体" w:hAnsi="Times New Roman"/>
      <w:szCs w:val="28"/>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autoRedefine/>
    <w:qFormat/>
    <w:uiPriority w:val="1"/>
    <w:rPr>
      <w:rFonts w:cs="宋体"/>
      <w:lang w:val="zh-CN" w:bidi="zh-CN"/>
    </w:rPr>
  </w:style>
  <w:style w:type="table" w:customStyle="1" w:styleId="43">
    <w:name w:val="网格型2"/>
    <w:basedOn w:val="21"/>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ind w:firstLine="420" w:firstLineChars="200"/>
    </w:pPr>
  </w:style>
  <w:style w:type="character" w:customStyle="1" w:styleId="45">
    <w:name w:val="批注框文本 Char"/>
    <w:basedOn w:val="23"/>
    <w:link w:val="10"/>
    <w:autoRedefine/>
    <w:qFormat/>
    <w:uiPriority w:val="0"/>
    <w:rPr>
      <w:rFonts w:ascii="宋体" w:hAnsi="宋体"/>
      <w:sz w:val="18"/>
      <w:szCs w:val="18"/>
    </w:rPr>
  </w:style>
  <w:style w:type="character" w:customStyle="1" w:styleId="46">
    <w:name w:val="批注文字 Char"/>
    <w:basedOn w:val="23"/>
    <w:link w:val="6"/>
    <w:autoRedefine/>
    <w:qFormat/>
    <w:uiPriority w:val="0"/>
    <w:rPr>
      <w:rFonts w:ascii="宋体" w:hAnsi="宋体"/>
    </w:rPr>
  </w:style>
  <w:style w:type="character" w:customStyle="1" w:styleId="47">
    <w:name w:val="批注主题 Char"/>
    <w:basedOn w:val="46"/>
    <w:link w:val="18"/>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Char"/>
    <w:basedOn w:val="23"/>
    <w:link w:val="8"/>
    <w:autoRedefine/>
    <w:qFormat/>
    <w:uiPriority w:val="99"/>
    <w:rPr>
      <w:rFonts w:ascii="Calibri" w:hAnsi="Calibri"/>
      <w:kern w:val="2"/>
      <w:sz w:val="21"/>
      <w:szCs w:val="22"/>
    </w:rPr>
  </w:style>
  <w:style w:type="paragraph" w:customStyle="1" w:styleId="50">
    <w:name w:val="Char Char Char Char Char Char Char1 Char"/>
    <w:basedOn w:val="1"/>
    <w:autoRedefine/>
    <w:qFormat/>
    <w:uiPriority w:val="0"/>
    <w:rPr>
      <w:rFonts w:ascii="Arial" w:hAnsi="Arial" w:eastAsia="宋体" w:cs="Arial"/>
      <w:sz w:val="24"/>
    </w:rPr>
  </w:style>
  <w:style w:type="paragraph" w:customStyle="1" w:styleId="51">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114</Pages>
  <Words>19721</Words>
  <Characters>21519</Characters>
  <Lines>472</Lines>
  <Paragraphs>132</Paragraphs>
  <TotalTime>65</TotalTime>
  <ScaleCrop>false</ScaleCrop>
  <LinksUpToDate>false</LinksUpToDate>
  <CharactersWithSpaces>21679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2025-04-27T00:10:00Z</cp:lastPrinted>
  <dcterms:modified xsi:type="dcterms:W3CDTF">2026-03-17T08:17:28Z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E6DCA36776C74E0EAF2F16585772CCC4_13</vt:lpwstr>
  </property>
  <property fmtid="{D5CDD505-2E9C-101B-9397-08002B2CF9AE}" pid="4" name="KSOTemplateDocerSaveRecord">
    <vt:lpwstr>eyJoZGlkIjoiZGE1ODU5ZTc0NGI0M2EzYzU0NmFjZmJjNDVhZjY4ZTMiLCJ1c2VySWQiOiIxNzgwNjI3MSJ9</vt:lpwstr>
  </property>
</Properties>
</file>