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4F91C">
      <w:pPr>
        <w:tabs>
          <w:tab w:val="left" w:pos="315"/>
          <w:tab w:val="left" w:pos="8820"/>
        </w:tabs>
        <w:spacing w:before="240" w:beforeLines="100" w:after="120" w:afterLines="50" w:line="500" w:lineRule="exact"/>
        <w:ind w:right="305" w:rightChars="127" w:firstLine="1044"/>
        <w:jc w:val="center"/>
        <w:rPr>
          <w:rFonts w:hint="eastAsia"/>
          <w:b/>
          <w:bCs/>
          <w:sz w:val="52"/>
          <w:szCs w:val="52"/>
          <w:highlight w:val="none"/>
          <w:vertAlign w:val="superscript"/>
        </w:rPr>
      </w:pPr>
    </w:p>
    <w:p w14:paraId="226518A7">
      <w:pPr>
        <w:tabs>
          <w:tab w:val="left" w:pos="315"/>
          <w:tab w:val="left" w:pos="8820"/>
        </w:tabs>
        <w:ind w:firstLine="0" w:firstLineChars="0"/>
        <w:jc w:val="center"/>
        <w:rPr>
          <w:b/>
          <w:bCs/>
          <w:sz w:val="52"/>
          <w:szCs w:val="52"/>
          <w:highlight w:val="none"/>
        </w:rPr>
      </w:pPr>
      <w:bookmarkStart w:id="0" w:name="_Hlk9544796"/>
      <w:r>
        <w:rPr>
          <w:rFonts w:hint="eastAsia"/>
          <w:b/>
          <w:bCs/>
          <w:sz w:val="52"/>
          <w:szCs w:val="52"/>
          <w:highlight w:val="none"/>
        </w:rPr>
        <w:t>服务类项目</w:t>
      </w:r>
    </w:p>
    <w:p w14:paraId="62FC13B9">
      <w:pPr>
        <w:tabs>
          <w:tab w:val="left" w:pos="315"/>
          <w:tab w:val="left" w:pos="8820"/>
        </w:tabs>
        <w:ind w:firstLine="0" w:firstLineChars="0"/>
        <w:jc w:val="center"/>
        <w:rPr>
          <w:b/>
          <w:bCs/>
          <w:sz w:val="52"/>
          <w:szCs w:val="52"/>
          <w:highlight w:val="none"/>
        </w:rPr>
      </w:pPr>
      <w:r>
        <w:rPr>
          <w:rFonts w:hint="eastAsia"/>
          <w:b/>
          <w:bCs/>
          <w:sz w:val="52"/>
          <w:szCs w:val="52"/>
          <w:highlight w:val="none"/>
        </w:rPr>
        <w:t>磋商文件</w:t>
      </w:r>
    </w:p>
    <w:p w14:paraId="7D35E353">
      <w:pPr>
        <w:pStyle w:val="4"/>
        <w:ind w:firstLine="643"/>
        <w:rPr>
          <w:sz w:val="44"/>
          <w:szCs w:val="44"/>
          <w:highlight w:val="none"/>
        </w:rPr>
      </w:pPr>
      <w:r>
        <w:rPr>
          <w:rFonts w:hint="eastAsia" w:cs="宋体"/>
          <w:highlight w:val="none"/>
        </w:rPr>
        <w:drawing>
          <wp:anchor distT="0" distB="0" distL="114300" distR="114300" simplePos="0" relativeHeight="251659264" behindDoc="0" locked="0" layoutInCell="1" allowOverlap="1">
            <wp:simplePos x="0" y="0"/>
            <wp:positionH relativeFrom="column">
              <wp:posOffset>1899285</wp:posOffset>
            </wp:positionH>
            <wp:positionV relativeFrom="paragraph">
              <wp:posOffset>1385570</wp:posOffset>
            </wp:positionV>
            <wp:extent cx="1733550" cy="1743075"/>
            <wp:effectExtent l="0" t="0" r="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1733550" cy="1743075"/>
                    </a:xfrm>
                    <a:prstGeom prst="rect">
                      <a:avLst/>
                    </a:prstGeom>
                    <a:noFill/>
                    <a:ln>
                      <a:noFill/>
                    </a:ln>
                  </pic:spPr>
                </pic:pic>
              </a:graphicData>
            </a:graphic>
          </wp:anchor>
        </w:drawing>
      </w:r>
      <w:bookmarkEnd w:id="0"/>
    </w:p>
    <w:p w14:paraId="5C59970E">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44367670">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3423794F">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0F81AE06">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798852C7">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703C5638">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79C31005">
      <w:pPr>
        <w:tabs>
          <w:tab w:val="left" w:pos="2410"/>
        </w:tabs>
        <w:autoSpaceDE w:val="0"/>
        <w:autoSpaceDN w:val="0"/>
        <w:adjustRightInd w:val="0"/>
        <w:snapToGrid w:val="0"/>
        <w:ind w:firstLine="723"/>
        <w:rPr>
          <w:rFonts w:hint="eastAsia" w:eastAsia="宋体"/>
          <w:b/>
          <w:color w:val="auto"/>
          <w:spacing w:val="20"/>
          <w:sz w:val="32"/>
          <w:szCs w:val="32"/>
          <w:highlight w:val="none"/>
          <w:lang w:eastAsia="zh-CN"/>
        </w:rPr>
      </w:pPr>
      <w:r>
        <w:rPr>
          <w:rFonts w:hint="eastAsia"/>
          <w:b/>
          <w:spacing w:val="20"/>
          <w:sz w:val="32"/>
          <w:szCs w:val="32"/>
          <w:highlight w:val="none"/>
        </w:rPr>
        <w:t>项目名称：</w:t>
      </w:r>
      <w:r>
        <w:rPr>
          <w:rFonts w:hint="eastAsia"/>
          <w:b/>
          <w:color w:val="auto"/>
          <w:spacing w:val="20"/>
          <w:sz w:val="32"/>
          <w:szCs w:val="32"/>
          <w:highlight w:val="none"/>
          <w:lang w:val="en-US" w:eastAsia="zh-CN"/>
        </w:rPr>
        <w:t>肥西县中医院尿沉渣等项目试剂配送服务</w:t>
      </w:r>
    </w:p>
    <w:p w14:paraId="24808A8F">
      <w:pPr>
        <w:tabs>
          <w:tab w:val="left" w:pos="2410"/>
        </w:tabs>
        <w:autoSpaceDE w:val="0"/>
        <w:autoSpaceDN w:val="0"/>
        <w:adjustRightInd w:val="0"/>
        <w:snapToGrid w:val="0"/>
        <w:ind w:firstLine="723"/>
        <w:rPr>
          <w:rFonts w:hint="eastAsia" w:eastAsia="宋体"/>
          <w:b/>
          <w:color w:val="auto"/>
          <w:spacing w:val="20"/>
          <w:sz w:val="32"/>
          <w:szCs w:val="32"/>
          <w:highlight w:val="none"/>
          <w:lang w:eastAsia="zh-CN"/>
        </w:rPr>
      </w:pPr>
      <w:r>
        <w:rPr>
          <w:rFonts w:hint="eastAsia"/>
          <w:b/>
          <w:color w:val="auto"/>
          <w:spacing w:val="20"/>
          <w:sz w:val="32"/>
          <w:szCs w:val="32"/>
          <w:highlight w:val="none"/>
        </w:rPr>
        <w:t>项目编号：</w:t>
      </w:r>
      <w:r>
        <w:rPr>
          <w:rFonts w:hint="eastAsia"/>
          <w:b/>
          <w:color w:val="auto"/>
          <w:spacing w:val="20"/>
          <w:sz w:val="32"/>
          <w:szCs w:val="32"/>
          <w:highlight w:val="none"/>
          <w:lang w:eastAsia="zh-CN"/>
        </w:rPr>
        <w:t>2026PHBN302</w:t>
      </w:r>
    </w:p>
    <w:p w14:paraId="6A568FC6">
      <w:pPr>
        <w:tabs>
          <w:tab w:val="left" w:pos="2410"/>
        </w:tabs>
        <w:autoSpaceDE w:val="0"/>
        <w:autoSpaceDN w:val="0"/>
        <w:adjustRightInd w:val="0"/>
        <w:snapToGrid w:val="0"/>
        <w:ind w:firstLine="723"/>
        <w:rPr>
          <w:rFonts w:hint="eastAsia" w:eastAsia="宋体"/>
          <w:b/>
          <w:color w:val="auto"/>
          <w:spacing w:val="20"/>
          <w:sz w:val="32"/>
          <w:szCs w:val="32"/>
          <w:highlight w:val="none"/>
          <w:lang w:eastAsia="zh-CN"/>
        </w:rPr>
      </w:pPr>
      <w:r>
        <w:rPr>
          <w:rFonts w:hint="eastAsia"/>
          <w:b/>
          <w:color w:val="auto"/>
          <w:spacing w:val="20"/>
          <w:sz w:val="32"/>
          <w:szCs w:val="32"/>
          <w:highlight w:val="none"/>
        </w:rPr>
        <w:t>业主单位：</w:t>
      </w:r>
      <w:r>
        <w:rPr>
          <w:rFonts w:hint="eastAsia"/>
          <w:b/>
          <w:color w:val="auto"/>
          <w:spacing w:val="20"/>
          <w:sz w:val="32"/>
          <w:szCs w:val="32"/>
          <w:highlight w:val="none"/>
          <w:lang w:eastAsia="zh-CN"/>
        </w:rPr>
        <w:t>肥西县中医院</w:t>
      </w:r>
    </w:p>
    <w:p w14:paraId="12AC7A9A">
      <w:pPr>
        <w:tabs>
          <w:tab w:val="left" w:pos="2410"/>
        </w:tabs>
        <w:autoSpaceDE w:val="0"/>
        <w:autoSpaceDN w:val="0"/>
        <w:adjustRightInd w:val="0"/>
        <w:snapToGrid w:val="0"/>
        <w:ind w:firstLine="723"/>
        <w:rPr>
          <w:b/>
          <w:color w:val="auto"/>
          <w:spacing w:val="20"/>
          <w:sz w:val="32"/>
          <w:szCs w:val="32"/>
          <w:highlight w:val="none"/>
        </w:rPr>
      </w:pPr>
      <w:r>
        <w:rPr>
          <w:rFonts w:hint="eastAsia"/>
          <w:b/>
          <w:color w:val="auto"/>
          <w:spacing w:val="20"/>
          <w:sz w:val="32"/>
          <w:szCs w:val="32"/>
          <w:highlight w:val="none"/>
        </w:rPr>
        <w:t>代理机构：肥西县公共资源交易有限责任公司</w:t>
      </w:r>
    </w:p>
    <w:p w14:paraId="0A43ABE4">
      <w:pPr>
        <w:tabs>
          <w:tab w:val="left" w:pos="2410"/>
        </w:tabs>
        <w:autoSpaceDE w:val="0"/>
        <w:autoSpaceDN w:val="0"/>
        <w:adjustRightInd w:val="0"/>
        <w:snapToGrid w:val="0"/>
        <w:ind w:firstLine="723"/>
        <w:jc w:val="center"/>
        <w:rPr>
          <w:b/>
          <w:color w:val="auto"/>
          <w:sz w:val="36"/>
          <w:highlight w:val="none"/>
        </w:rPr>
      </w:pPr>
    </w:p>
    <w:p w14:paraId="5FAC62F5">
      <w:pPr>
        <w:tabs>
          <w:tab w:val="left" w:pos="2410"/>
        </w:tabs>
        <w:autoSpaceDE w:val="0"/>
        <w:autoSpaceDN w:val="0"/>
        <w:adjustRightInd w:val="0"/>
        <w:snapToGrid w:val="0"/>
        <w:ind w:firstLine="3253" w:firstLineChars="900"/>
        <w:rPr>
          <w:b/>
          <w:color w:val="auto"/>
          <w:sz w:val="36"/>
          <w:highlight w:val="none"/>
        </w:rPr>
      </w:pPr>
      <w:r>
        <w:rPr>
          <w:rFonts w:hint="eastAsia"/>
          <w:b/>
          <w:color w:val="auto"/>
          <w:sz w:val="36"/>
          <w:highlight w:val="none"/>
        </w:rPr>
        <w:t>202</w:t>
      </w:r>
      <w:r>
        <w:rPr>
          <w:rFonts w:hint="eastAsia"/>
          <w:b/>
          <w:color w:val="auto"/>
          <w:sz w:val="36"/>
          <w:highlight w:val="none"/>
          <w:lang w:val="en-US" w:eastAsia="zh-CN"/>
        </w:rPr>
        <w:t>6</w:t>
      </w:r>
      <w:r>
        <w:rPr>
          <w:rFonts w:hint="eastAsia"/>
          <w:b/>
          <w:color w:val="auto"/>
          <w:sz w:val="36"/>
          <w:highlight w:val="none"/>
        </w:rPr>
        <w:t>年</w:t>
      </w:r>
      <w:r>
        <w:rPr>
          <w:rFonts w:hint="eastAsia"/>
          <w:b/>
          <w:color w:val="auto"/>
          <w:sz w:val="36"/>
          <w:highlight w:val="none"/>
          <w:lang w:val="en-US" w:eastAsia="zh-CN"/>
        </w:rPr>
        <w:t>6</w:t>
      </w:r>
      <w:r>
        <w:rPr>
          <w:rFonts w:hint="eastAsia"/>
          <w:b/>
          <w:color w:val="auto"/>
          <w:sz w:val="36"/>
          <w:highlight w:val="none"/>
        </w:rPr>
        <w:t>月</w:t>
      </w:r>
      <w:r>
        <w:rPr>
          <w:b/>
          <w:color w:val="auto"/>
          <w:sz w:val="36"/>
          <w:highlight w:val="none"/>
        </w:rPr>
        <w:br w:type="page"/>
      </w:r>
    </w:p>
    <w:p w14:paraId="3B215077">
      <w:pPr>
        <w:tabs>
          <w:tab w:val="left" w:pos="2410"/>
        </w:tabs>
        <w:autoSpaceDE w:val="0"/>
        <w:autoSpaceDN w:val="0"/>
        <w:adjustRightInd w:val="0"/>
        <w:snapToGrid w:val="0"/>
        <w:ind w:firstLine="562"/>
        <w:jc w:val="center"/>
        <w:rPr>
          <w:b/>
          <w:color w:val="auto"/>
          <w:sz w:val="28"/>
          <w:highlight w:val="none"/>
        </w:rPr>
      </w:pPr>
      <w:r>
        <w:rPr>
          <w:rFonts w:hint="eastAsia"/>
          <w:b/>
          <w:color w:val="auto"/>
          <w:sz w:val="28"/>
          <w:highlight w:val="none"/>
        </w:rPr>
        <w:t>目  录</w:t>
      </w:r>
    </w:p>
    <w:p w14:paraId="5F285AEC">
      <w:pPr>
        <w:tabs>
          <w:tab w:val="left" w:pos="2410"/>
        </w:tabs>
        <w:autoSpaceDE w:val="0"/>
        <w:autoSpaceDN w:val="0"/>
        <w:adjustRightInd w:val="0"/>
        <w:snapToGrid w:val="0"/>
        <w:ind w:firstLine="562"/>
        <w:jc w:val="center"/>
        <w:rPr>
          <w:b/>
          <w:color w:val="auto"/>
          <w:sz w:val="28"/>
          <w:highlight w:val="none"/>
        </w:rPr>
      </w:pPr>
    </w:p>
    <w:p w14:paraId="1AA08EA6">
      <w:pPr>
        <w:pStyle w:val="45"/>
        <w:tabs>
          <w:tab w:val="right" w:leader="dot" w:pos="8859"/>
        </w:tabs>
        <w:ind w:firstLine="482"/>
        <w:rPr>
          <w:color w:val="auto"/>
          <w:kern w:val="2"/>
          <w:szCs w:val="24"/>
          <w:highlight w:val="none"/>
          <w14:ligatures w14:val="standardContextual"/>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color w:val="auto"/>
          <w:highlight w:val="none"/>
        </w:rPr>
        <w:fldChar w:fldCharType="begin"/>
      </w:r>
      <w:r>
        <w:rPr>
          <w:color w:val="auto"/>
          <w:highlight w:val="none"/>
        </w:rPr>
        <w:instrText xml:space="preserve"> HYPERLINK \l "_Toc192058170" </w:instrText>
      </w:r>
      <w:r>
        <w:rPr>
          <w:color w:val="auto"/>
          <w:highlight w:val="none"/>
        </w:rPr>
        <w:fldChar w:fldCharType="separate"/>
      </w:r>
      <w:r>
        <w:rPr>
          <w:rStyle w:val="63"/>
          <w:rFonts w:hint="eastAsia" w:asciiTheme="minorEastAsia" w:hAnsiTheme="minorEastAsia"/>
          <w:b/>
          <w:color w:val="auto"/>
          <w:highlight w:val="none"/>
        </w:rPr>
        <w:t>第一章</w:t>
      </w:r>
      <w:r>
        <w:rPr>
          <w:rStyle w:val="63"/>
          <w:rFonts w:hint="eastAsia" w:asciiTheme="minorEastAsia" w:hAnsiTheme="minorEastAsia"/>
          <w:b/>
          <w:color w:val="auto"/>
          <w:highlight w:val="none"/>
          <w:lang w:val="en-US" w:eastAsia="zh-CN"/>
        </w:rPr>
        <w:t xml:space="preserve"> </w:t>
      </w:r>
      <w:r>
        <w:rPr>
          <w:rStyle w:val="63"/>
          <w:rFonts w:hint="eastAsia" w:asciiTheme="minorEastAsia" w:hAnsiTheme="minorEastAsia"/>
          <w:b/>
          <w:color w:val="auto"/>
          <w:highlight w:val="none"/>
        </w:rPr>
        <w:t xml:space="preserve"> 磋商公告</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_Toc192058170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w:t>
      </w:r>
      <w:r>
        <w:rPr>
          <w:rFonts w:hint="eastAsia"/>
          <w:color w:val="auto"/>
          <w:highlight w:val="none"/>
        </w:rPr>
        <w:fldChar w:fldCharType="end"/>
      </w:r>
      <w:r>
        <w:rPr>
          <w:rFonts w:hint="eastAsia"/>
          <w:color w:val="auto"/>
          <w:highlight w:val="none"/>
        </w:rPr>
        <w:fldChar w:fldCharType="end"/>
      </w:r>
    </w:p>
    <w:p w14:paraId="7C4DED8B">
      <w:pPr>
        <w:pStyle w:val="45"/>
        <w:tabs>
          <w:tab w:val="right" w:leader="dot" w:pos="8859"/>
        </w:tabs>
        <w:ind w:firstLine="440"/>
        <w:rPr>
          <w:color w:val="auto"/>
          <w:kern w:val="2"/>
          <w:szCs w:val="24"/>
          <w:highlight w:val="none"/>
          <w14:ligatures w14:val="standardContextual"/>
        </w:rPr>
      </w:pPr>
      <w:r>
        <w:rPr>
          <w:color w:val="auto"/>
          <w:highlight w:val="none"/>
        </w:rPr>
        <w:fldChar w:fldCharType="begin"/>
      </w:r>
      <w:r>
        <w:rPr>
          <w:color w:val="auto"/>
          <w:highlight w:val="none"/>
        </w:rPr>
        <w:instrText xml:space="preserve"> HYPERLINK \l "_Toc192058171" </w:instrText>
      </w:r>
      <w:r>
        <w:rPr>
          <w:color w:val="auto"/>
          <w:highlight w:val="none"/>
        </w:rPr>
        <w:fldChar w:fldCharType="separate"/>
      </w:r>
      <w:r>
        <w:rPr>
          <w:rStyle w:val="63"/>
          <w:rFonts w:hint="eastAsia" w:asciiTheme="minorEastAsia" w:hAnsiTheme="minorEastAsia"/>
          <w:b/>
          <w:color w:val="auto"/>
          <w:highlight w:val="none"/>
        </w:rPr>
        <w:t>第二章  供应商须知</w:t>
      </w:r>
      <w:r>
        <w:rPr>
          <w:rFonts w:hint="eastAsia"/>
          <w:color w:val="auto"/>
          <w:highlight w:val="none"/>
        </w:rPr>
        <w:tab/>
      </w:r>
      <w:r>
        <w:rPr>
          <w:rFonts w:hint="eastAsia"/>
          <w:color w:val="auto"/>
          <w:highlight w:val="none"/>
        </w:rPr>
        <w:t>6</w:t>
      </w:r>
      <w:r>
        <w:rPr>
          <w:rFonts w:hint="eastAsia"/>
          <w:color w:val="auto"/>
          <w:highlight w:val="none"/>
        </w:rPr>
        <w:fldChar w:fldCharType="end"/>
      </w:r>
    </w:p>
    <w:p w14:paraId="5C2B16B5">
      <w:pPr>
        <w:pStyle w:val="45"/>
        <w:tabs>
          <w:tab w:val="right" w:leader="dot" w:pos="8859"/>
        </w:tabs>
        <w:ind w:firstLine="440"/>
        <w:rPr>
          <w:rFonts w:hint="eastAsia" w:eastAsiaTheme="minorEastAsia"/>
          <w:color w:val="auto"/>
          <w:kern w:val="2"/>
          <w:szCs w:val="24"/>
          <w:highlight w:val="none"/>
          <w:lang w:eastAsia="zh-CN"/>
          <w14:ligatures w14:val="standardContextual"/>
        </w:rPr>
      </w:pPr>
      <w:r>
        <w:rPr>
          <w:color w:val="auto"/>
          <w:highlight w:val="none"/>
        </w:rPr>
        <w:fldChar w:fldCharType="begin"/>
      </w:r>
      <w:r>
        <w:rPr>
          <w:color w:val="auto"/>
          <w:highlight w:val="none"/>
        </w:rPr>
        <w:instrText xml:space="preserve"> HYPERLINK \l "_Toc192058172" </w:instrText>
      </w:r>
      <w:r>
        <w:rPr>
          <w:color w:val="auto"/>
          <w:highlight w:val="none"/>
        </w:rPr>
        <w:fldChar w:fldCharType="separate"/>
      </w:r>
      <w:r>
        <w:rPr>
          <w:rStyle w:val="63"/>
          <w:rFonts w:hint="eastAsia" w:asciiTheme="minorEastAsia" w:hAnsiTheme="minorEastAsia"/>
          <w:b/>
          <w:color w:val="auto"/>
          <w:highlight w:val="none"/>
        </w:rPr>
        <w:t>第三章  业主单位要求</w:t>
      </w:r>
      <w:r>
        <w:rPr>
          <w:rFonts w:hint="eastAsia"/>
          <w:color w:val="auto"/>
          <w:highlight w:val="none"/>
        </w:rPr>
        <w:tab/>
      </w:r>
      <w:r>
        <w:rPr>
          <w:rFonts w:hint="eastAsia"/>
          <w:color w:val="auto"/>
          <w:highlight w:val="none"/>
        </w:rPr>
        <w:t>2</w:t>
      </w:r>
      <w:r>
        <w:rPr>
          <w:rFonts w:hint="eastAsia"/>
          <w:color w:val="auto"/>
          <w:highlight w:val="none"/>
        </w:rPr>
        <w:fldChar w:fldCharType="end"/>
      </w:r>
      <w:r>
        <w:rPr>
          <w:rFonts w:hint="eastAsia"/>
          <w:color w:val="auto"/>
          <w:highlight w:val="none"/>
          <w:lang w:val="en-US" w:eastAsia="zh-CN"/>
        </w:rPr>
        <w:t>4</w:t>
      </w:r>
    </w:p>
    <w:p w14:paraId="572C2AD5">
      <w:pPr>
        <w:pStyle w:val="45"/>
        <w:tabs>
          <w:tab w:val="right" w:leader="dot" w:pos="8859"/>
        </w:tabs>
        <w:ind w:firstLine="440"/>
        <w:rPr>
          <w:rFonts w:hint="default" w:eastAsiaTheme="minorEastAsia"/>
          <w:color w:val="auto"/>
          <w:kern w:val="2"/>
          <w:szCs w:val="24"/>
          <w:highlight w:val="none"/>
          <w:lang w:val="en-US" w:eastAsia="zh-CN"/>
          <w14:ligatures w14:val="standardContextual"/>
        </w:rPr>
      </w:pPr>
      <w:r>
        <w:rPr>
          <w:color w:val="auto"/>
          <w:highlight w:val="none"/>
        </w:rPr>
        <w:fldChar w:fldCharType="begin"/>
      </w:r>
      <w:r>
        <w:rPr>
          <w:color w:val="auto"/>
          <w:highlight w:val="none"/>
        </w:rPr>
        <w:instrText xml:space="preserve"> HYPERLINK \l "_Toc192058173" </w:instrText>
      </w:r>
      <w:r>
        <w:rPr>
          <w:color w:val="auto"/>
          <w:highlight w:val="none"/>
        </w:rPr>
        <w:fldChar w:fldCharType="separate"/>
      </w:r>
      <w:r>
        <w:rPr>
          <w:rStyle w:val="63"/>
          <w:rFonts w:hint="eastAsia" w:asciiTheme="minorEastAsia" w:hAnsiTheme="minorEastAsia"/>
          <w:b/>
          <w:color w:val="auto"/>
          <w:highlight w:val="none"/>
        </w:rPr>
        <w:t>第四章  评审方法和标准</w:t>
      </w:r>
      <w:r>
        <w:rPr>
          <w:rFonts w:hint="eastAsia"/>
          <w:color w:val="auto"/>
          <w:highlight w:val="none"/>
        </w:rPr>
        <w:tab/>
      </w:r>
      <w:r>
        <w:rPr>
          <w:rFonts w:hint="eastAsia"/>
          <w:color w:val="auto"/>
          <w:highlight w:val="none"/>
        </w:rPr>
        <w:fldChar w:fldCharType="end"/>
      </w:r>
      <w:r>
        <w:rPr>
          <w:rFonts w:hint="eastAsia"/>
          <w:color w:val="auto"/>
          <w:highlight w:val="none"/>
          <w:lang w:val="en-US" w:eastAsia="zh-CN"/>
        </w:rPr>
        <w:t>26</w:t>
      </w:r>
    </w:p>
    <w:p w14:paraId="794EB11A">
      <w:pPr>
        <w:pStyle w:val="45"/>
        <w:tabs>
          <w:tab w:val="right" w:leader="dot" w:pos="8859"/>
        </w:tabs>
        <w:ind w:firstLine="440"/>
        <w:rPr>
          <w:rFonts w:hint="eastAsia" w:eastAsiaTheme="minorEastAsia"/>
          <w:color w:val="auto"/>
          <w:highlight w:val="none"/>
          <w:lang w:eastAsia="zh-CN"/>
        </w:rPr>
      </w:pPr>
      <w:r>
        <w:rPr>
          <w:color w:val="auto"/>
          <w:highlight w:val="none"/>
        </w:rPr>
        <w:fldChar w:fldCharType="begin"/>
      </w:r>
      <w:r>
        <w:rPr>
          <w:color w:val="auto"/>
          <w:highlight w:val="none"/>
        </w:rPr>
        <w:instrText xml:space="preserve"> HYPERLINK \l "_Toc192058174" </w:instrText>
      </w:r>
      <w:r>
        <w:rPr>
          <w:color w:val="auto"/>
          <w:highlight w:val="none"/>
        </w:rPr>
        <w:fldChar w:fldCharType="separate"/>
      </w:r>
      <w:r>
        <w:rPr>
          <w:rStyle w:val="63"/>
          <w:rFonts w:hint="eastAsia" w:asciiTheme="minorEastAsia" w:hAnsiTheme="minorEastAsia"/>
          <w:b/>
          <w:color w:val="auto"/>
          <w:highlight w:val="none"/>
        </w:rPr>
        <w:t>第五章  合同</w:t>
      </w:r>
      <w:r>
        <w:rPr>
          <w:rFonts w:hint="eastAsia"/>
          <w:color w:val="auto"/>
          <w:highlight w:val="none"/>
        </w:rPr>
        <w:tab/>
      </w:r>
      <w:r>
        <w:rPr>
          <w:rFonts w:hint="eastAsia"/>
          <w:color w:val="auto"/>
          <w:highlight w:val="none"/>
        </w:rPr>
        <w:t>3</w:t>
      </w:r>
      <w:r>
        <w:rPr>
          <w:rFonts w:hint="eastAsia"/>
          <w:color w:val="auto"/>
          <w:highlight w:val="none"/>
        </w:rPr>
        <w:fldChar w:fldCharType="end"/>
      </w:r>
      <w:r>
        <w:rPr>
          <w:rFonts w:hint="eastAsia"/>
          <w:color w:val="auto"/>
          <w:highlight w:val="none"/>
          <w:lang w:val="en-US" w:eastAsia="zh-CN"/>
        </w:rPr>
        <w:t>1</w:t>
      </w:r>
    </w:p>
    <w:p w14:paraId="53587775">
      <w:pPr>
        <w:pStyle w:val="45"/>
        <w:tabs>
          <w:tab w:val="right" w:leader="dot" w:pos="8859"/>
        </w:tabs>
        <w:ind w:firstLine="440"/>
        <w:rPr>
          <w:rFonts w:hint="default" w:eastAsiaTheme="minorEastAsia"/>
          <w:color w:val="auto"/>
          <w:kern w:val="2"/>
          <w:szCs w:val="24"/>
          <w:highlight w:val="none"/>
          <w:lang w:val="en-US" w:eastAsia="zh-CN"/>
          <w14:ligatures w14:val="standardContextual"/>
        </w:rPr>
      </w:pPr>
      <w:r>
        <w:rPr>
          <w:color w:val="auto"/>
          <w:highlight w:val="none"/>
        </w:rPr>
        <w:fldChar w:fldCharType="begin"/>
      </w:r>
      <w:r>
        <w:rPr>
          <w:color w:val="auto"/>
          <w:highlight w:val="none"/>
        </w:rPr>
        <w:instrText xml:space="preserve"> HYPERLINK \l "_Toc192058175" </w:instrText>
      </w:r>
      <w:r>
        <w:rPr>
          <w:color w:val="auto"/>
          <w:highlight w:val="none"/>
        </w:rPr>
        <w:fldChar w:fldCharType="separate"/>
      </w:r>
      <w:r>
        <w:rPr>
          <w:rStyle w:val="63"/>
          <w:rFonts w:hint="eastAsia" w:asciiTheme="minorEastAsia" w:hAnsiTheme="minorEastAsia"/>
          <w:b/>
          <w:color w:val="auto"/>
          <w:highlight w:val="none"/>
        </w:rPr>
        <w:t>第六章  响应文件格式</w:t>
      </w:r>
      <w:r>
        <w:rPr>
          <w:rFonts w:hint="eastAsia"/>
          <w:color w:val="auto"/>
          <w:highlight w:val="none"/>
        </w:rPr>
        <w:tab/>
      </w:r>
      <w:r>
        <w:rPr>
          <w:rFonts w:hint="eastAsia"/>
          <w:color w:val="auto"/>
          <w:highlight w:val="none"/>
        </w:rPr>
        <w:fldChar w:fldCharType="end"/>
      </w:r>
      <w:r>
        <w:rPr>
          <w:rFonts w:hint="eastAsia"/>
          <w:color w:val="auto"/>
          <w:highlight w:val="none"/>
          <w:lang w:val="en-US" w:eastAsia="zh-CN"/>
        </w:rPr>
        <w:t>32</w:t>
      </w:r>
    </w:p>
    <w:p w14:paraId="0097573B">
      <w:pPr>
        <w:pStyle w:val="45"/>
        <w:tabs>
          <w:tab w:val="right" w:leader="dot" w:pos="8296"/>
        </w:tabs>
        <w:ind w:firstLine="440"/>
        <w:rPr>
          <w:rFonts w:asciiTheme="minorEastAsia" w:hAnsiTheme="minorEastAsia"/>
          <w:color w:val="auto"/>
          <w:szCs w:val="24"/>
          <w:highlight w:val="none"/>
        </w:rPr>
      </w:pPr>
      <w:r>
        <w:rPr>
          <w:rFonts w:asciiTheme="minorEastAsia" w:hAnsiTheme="minorEastAsia"/>
          <w:color w:val="auto"/>
          <w:szCs w:val="24"/>
          <w:highlight w:val="none"/>
        </w:rPr>
        <w:fldChar w:fldCharType="end"/>
      </w:r>
    </w:p>
    <w:p w14:paraId="4AAF83EB">
      <w:pPr>
        <w:pStyle w:val="70"/>
        <w:ind w:left="180" w:leftChars="75" w:firstLine="480"/>
        <w:rPr>
          <w:rFonts w:asciiTheme="minorEastAsia" w:hAnsiTheme="minorEastAsia" w:eastAsiaTheme="minorEastAsia"/>
          <w:color w:val="auto"/>
          <w:sz w:val="28"/>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440" w:right="1519" w:bottom="1440" w:left="1519" w:header="851" w:footer="992" w:gutter="0"/>
          <w:cols w:space="720" w:num="1"/>
          <w:docGrid w:linePitch="462" w:charSpace="0"/>
        </w:sectPr>
      </w:pPr>
      <w:r>
        <w:rPr>
          <w:rFonts w:hint="eastAsia"/>
          <w:color w:val="auto"/>
          <w:highlight w:val="none"/>
        </w:rPr>
        <w:br w:type="page"/>
      </w:r>
    </w:p>
    <w:p w14:paraId="44A50F1F">
      <w:pPr>
        <w:numPr>
          <w:ilvl w:val="0"/>
          <w:numId w:val="0"/>
        </w:numPr>
        <w:ind w:firstLine="562" w:firstLineChars="200"/>
        <w:jc w:val="center"/>
        <w:outlineLvl w:val="1"/>
        <w:rPr>
          <w:rFonts w:asciiTheme="minorEastAsia" w:hAnsiTheme="minorEastAsia" w:eastAsiaTheme="minorEastAsia"/>
          <w:b/>
          <w:color w:val="auto"/>
          <w:sz w:val="28"/>
          <w:highlight w:val="none"/>
        </w:rPr>
      </w:pPr>
      <w:r>
        <w:rPr>
          <w:rFonts w:hint="eastAsia" w:asciiTheme="minorEastAsia" w:hAnsiTheme="minorEastAsia" w:eastAsiaTheme="minorEastAsia" w:cstheme="minorBidi"/>
          <w:b/>
          <w:color w:val="auto"/>
          <w:sz w:val="28"/>
          <w:lang w:val="en-US" w:eastAsia="zh-CN" w:bidi="ar-SA"/>
        </w:rPr>
        <w:t>第一章</w:t>
      </w:r>
      <w:r>
        <w:rPr>
          <w:rFonts w:hint="eastAsia" w:asciiTheme="minorEastAsia" w:hAnsiTheme="minorEastAsia" w:eastAsiaTheme="minorEastAsia"/>
          <w:b/>
          <w:color w:val="auto"/>
          <w:sz w:val="28"/>
          <w:highlight w:val="none"/>
        </w:rPr>
        <w:t xml:space="preserve"> </w:t>
      </w:r>
      <w:bookmarkStart w:id="1" w:name="_Toc192058170"/>
      <w:bookmarkStart w:id="2" w:name="_Hlk193096165"/>
      <w:r>
        <w:rPr>
          <w:rFonts w:hint="eastAsia" w:asciiTheme="minorEastAsia" w:hAnsiTheme="minorEastAsia" w:eastAsiaTheme="minorEastAsia"/>
          <w:b/>
          <w:color w:val="auto"/>
          <w:sz w:val="28"/>
          <w:highlight w:val="none"/>
        </w:rPr>
        <w:t>磋商公告</w:t>
      </w:r>
      <w:bookmarkEnd w:id="1"/>
    </w:p>
    <w:p w14:paraId="4A5B915E">
      <w:pPr>
        <w:pStyle w:val="72"/>
        <w:widowControl w:val="0"/>
        <w:autoSpaceDE w:val="0"/>
        <w:autoSpaceDN w:val="0"/>
        <w:adjustRightInd w:val="0"/>
        <w:spacing w:before="93" w:beforeLines="30" w:after="93" w:afterLines="3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2"/>
          <w:highlight w:val="none"/>
        </w:rPr>
        <w:t>肥西县公共资源交易有限责任公司受</w:t>
      </w:r>
      <w:r>
        <w:rPr>
          <w:rFonts w:hint="eastAsia" w:asciiTheme="majorEastAsia" w:hAnsiTheme="majorEastAsia" w:eastAsiaTheme="majorEastAsia" w:cstheme="majorEastAsia"/>
          <w:color w:val="auto"/>
          <w:kern w:val="2"/>
          <w:highlight w:val="none"/>
          <w:lang w:eastAsia="zh-CN"/>
        </w:rPr>
        <w:t>肥西县中医院</w:t>
      </w:r>
      <w:r>
        <w:rPr>
          <w:rFonts w:hint="eastAsia" w:asciiTheme="majorEastAsia" w:hAnsiTheme="majorEastAsia" w:eastAsiaTheme="majorEastAsia" w:cstheme="majorEastAsia"/>
          <w:color w:val="auto"/>
          <w:kern w:val="2"/>
          <w:highlight w:val="none"/>
        </w:rPr>
        <w:t>委托，现对</w:t>
      </w:r>
      <w:r>
        <w:rPr>
          <w:rFonts w:hint="eastAsia" w:asciiTheme="majorEastAsia" w:hAnsiTheme="majorEastAsia" w:eastAsiaTheme="majorEastAsia" w:cstheme="majorEastAsia"/>
          <w:color w:val="auto"/>
          <w:kern w:val="2"/>
          <w:highlight w:val="none"/>
          <w:lang w:eastAsia="zh-CN"/>
        </w:rPr>
        <w:t>肥西县中医院尿沉渣等项目试剂配送服务</w:t>
      </w:r>
      <w:r>
        <w:rPr>
          <w:rFonts w:hint="eastAsia" w:asciiTheme="majorEastAsia" w:hAnsiTheme="majorEastAsia" w:eastAsiaTheme="majorEastAsia" w:cstheme="majorEastAsia"/>
          <w:color w:val="auto"/>
          <w:kern w:val="2"/>
          <w:highlight w:val="none"/>
        </w:rPr>
        <w:t>进行磋商，欢迎具备条件的供应商参加磋商。</w:t>
      </w:r>
    </w:p>
    <w:p w14:paraId="763D8A34">
      <w:pPr>
        <w:keepNext w:val="0"/>
        <w:keepLines w:val="0"/>
        <w:pageBreakBefore w:val="0"/>
        <w:widowControl w:val="0"/>
        <w:kinsoku/>
        <w:wordWrap/>
        <w:overflowPunct/>
        <w:topLinePunct w:val="0"/>
        <w:bidi w:val="0"/>
        <w:spacing w:before="93" w:beforeLines="30" w:after="93" w:afterLines="30" w:line="460" w:lineRule="exact"/>
        <w:ind w:firstLine="482"/>
        <w:textAlignment w:val="auto"/>
        <w:rPr>
          <w:rFonts w:asciiTheme="majorEastAsia" w:hAnsiTheme="majorEastAsia" w:eastAsiaTheme="majorEastAsia" w:cstheme="majorEastAsia"/>
          <w:b/>
          <w:bCs/>
          <w:color w:val="auto"/>
          <w:szCs w:val="24"/>
          <w:highlight w:val="none"/>
        </w:rPr>
      </w:pPr>
      <w:r>
        <w:rPr>
          <w:rFonts w:hint="eastAsia" w:asciiTheme="majorEastAsia" w:hAnsiTheme="majorEastAsia" w:eastAsiaTheme="majorEastAsia" w:cstheme="majorEastAsia"/>
          <w:b/>
          <w:bCs/>
          <w:color w:val="auto"/>
          <w:szCs w:val="24"/>
          <w:highlight w:val="none"/>
        </w:rPr>
        <w:t>1.项目名称及内容</w:t>
      </w:r>
    </w:p>
    <w:p w14:paraId="6FA5BFAC">
      <w:pPr>
        <w:keepNext w:val="0"/>
        <w:keepLines w:val="0"/>
        <w:pageBreakBefore w:val="0"/>
        <w:widowControl w:val="0"/>
        <w:kinsoku/>
        <w:wordWrap/>
        <w:overflowPunct/>
        <w:topLinePunct w:val="0"/>
        <w:autoSpaceDE w:val="0"/>
        <w:autoSpaceDN w:val="0"/>
        <w:bidi w:val="0"/>
        <w:adjustRightInd w:val="0"/>
        <w:spacing w:before="93" w:beforeLines="30" w:after="93" w:afterLines="30" w:line="460" w:lineRule="exact"/>
        <w:ind w:firstLine="480"/>
        <w:jc w:val="left"/>
        <w:textAlignment w:val="auto"/>
        <w:rPr>
          <w:rFonts w:hint="eastAsia" w:asciiTheme="majorEastAsia" w:hAnsiTheme="majorEastAsia" w:eastAsiaTheme="majorEastAsia" w:cstheme="majorEastAsia"/>
          <w:color w:val="auto"/>
          <w:szCs w:val="24"/>
          <w:highlight w:val="none"/>
          <w:lang w:eastAsia="zh-CN"/>
        </w:rPr>
      </w:pPr>
      <w:r>
        <w:rPr>
          <w:rFonts w:hint="eastAsia" w:asciiTheme="majorEastAsia" w:hAnsiTheme="majorEastAsia" w:eastAsiaTheme="majorEastAsia" w:cstheme="majorEastAsia"/>
          <w:color w:val="auto"/>
          <w:szCs w:val="24"/>
          <w:highlight w:val="none"/>
        </w:rPr>
        <w:t>1.1 项目编号：</w:t>
      </w:r>
      <w:r>
        <w:rPr>
          <w:rFonts w:hint="eastAsia" w:asciiTheme="majorEastAsia" w:hAnsiTheme="majorEastAsia" w:eastAsiaTheme="majorEastAsia" w:cstheme="majorEastAsia"/>
          <w:color w:val="auto"/>
          <w:szCs w:val="24"/>
          <w:highlight w:val="none"/>
          <w:lang w:eastAsia="zh-CN"/>
        </w:rPr>
        <w:t>2026PHBN302</w:t>
      </w:r>
      <w:r>
        <w:rPr>
          <w:rFonts w:hint="eastAsia" w:ascii="宋体" w:hAnsi="宋体" w:eastAsia="宋体"/>
          <w:sz w:val="24"/>
          <w:szCs w:val="18"/>
          <w:highlight w:val="none"/>
          <w:u w:val="none"/>
          <w:lang w:val="zh-CN"/>
        </w:rPr>
        <w:t>；包别编号：</w:t>
      </w:r>
      <w:r>
        <w:rPr>
          <w:rFonts w:hint="eastAsia" w:ascii="宋体" w:hAnsi="宋体" w:eastAsia="宋体" w:cs="宋体"/>
          <w:strike w:val="0"/>
          <w:dstrike w:val="0"/>
          <w:sz w:val="24"/>
          <w:szCs w:val="24"/>
          <w:highlight w:val="none"/>
          <w:lang w:val="en-US" w:eastAsia="zh-CN"/>
        </w:rPr>
        <w:t>第1包：</w:t>
      </w:r>
      <w:r>
        <w:rPr>
          <w:rFonts w:hint="eastAsia" w:asciiTheme="majorEastAsia" w:hAnsiTheme="majorEastAsia" w:eastAsiaTheme="majorEastAsia" w:cstheme="majorEastAsia"/>
          <w:color w:val="auto"/>
          <w:szCs w:val="24"/>
          <w:highlight w:val="none"/>
          <w:lang w:eastAsia="zh-CN"/>
        </w:rPr>
        <w:t>2026PHBN302</w:t>
      </w:r>
      <w:r>
        <w:rPr>
          <w:rFonts w:hint="eastAsia" w:ascii="宋体" w:hAnsi="宋体" w:eastAsia="宋体"/>
          <w:sz w:val="24"/>
          <w:szCs w:val="18"/>
          <w:highlight w:val="none"/>
          <w:u w:val="none"/>
          <w:lang w:val="en-US" w:eastAsia="zh-CN"/>
        </w:rPr>
        <w:t>01</w:t>
      </w:r>
      <w:r>
        <w:rPr>
          <w:rFonts w:hint="eastAsia" w:ascii="宋体" w:hAnsi="宋体" w:eastAsia="宋体" w:cs="宋体"/>
          <w:strike w:val="0"/>
          <w:dstrike w:val="0"/>
          <w:sz w:val="24"/>
          <w:szCs w:val="24"/>
          <w:highlight w:val="none"/>
          <w:lang w:val="en-US" w:eastAsia="zh-CN"/>
        </w:rPr>
        <w:t>；第2包：</w:t>
      </w:r>
      <w:r>
        <w:rPr>
          <w:rFonts w:hint="eastAsia" w:asciiTheme="majorEastAsia" w:hAnsiTheme="majorEastAsia" w:eastAsiaTheme="majorEastAsia" w:cstheme="majorEastAsia"/>
          <w:color w:val="auto"/>
          <w:szCs w:val="24"/>
          <w:highlight w:val="none"/>
          <w:lang w:eastAsia="zh-CN"/>
        </w:rPr>
        <w:t>2026PHBN302</w:t>
      </w:r>
      <w:r>
        <w:rPr>
          <w:rFonts w:hint="eastAsia" w:ascii="宋体" w:hAnsi="宋体" w:eastAsia="宋体"/>
          <w:sz w:val="24"/>
          <w:szCs w:val="18"/>
          <w:highlight w:val="none"/>
          <w:u w:val="none"/>
          <w:lang w:val="en-US" w:eastAsia="zh-CN"/>
        </w:rPr>
        <w:t>02</w:t>
      </w:r>
    </w:p>
    <w:p w14:paraId="4303BD08">
      <w:pPr>
        <w:keepNext w:val="0"/>
        <w:keepLines w:val="0"/>
        <w:pageBreakBefore w:val="0"/>
        <w:widowControl w:val="0"/>
        <w:kinsoku/>
        <w:wordWrap/>
        <w:overflowPunct/>
        <w:topLinePunct w:val="0"/>
        <w:autoSpaceDE w:val="0"/>
        <w:autoSpaceDN w:val="0"/>
        <w:bidi w:val="0"/>
        <w:adjustRightInd w:val="0"/>
        <w:spacing w:before="93" w:beforeLines="30" w:after="93" w:afterLines="30" w:line="460" w:lineRule="exact"/>
        <w:ind w:firstLine="480"/>
        <w:jc w:val="left"/>
        <w:textAlignment w:val="auto"/>
        <w:rPr>
          <w:rFonts w:hint="eastAsia" w:asciiTheme="majorEastAsia" w:hAnsiTheme="majorEastAsia" w:eastAsiaTheme="majorEastAsia" w:cstheme="majorEastAsia"/>
          <w:color w:val="auto"/>
          <w:szCs w:val="24"/>
          <w:highlight w:val="none"/>
          <w:lang w:eastAsia="zh-CN"/>
        </w:rPr>
      </w:pPr>
      <w:r>
        <w:rPr>
          <w:rFonts w:hint="eastAsia" w:asciiTheme="majorEastAsia" w:hAnsiTheme="majorEastAsia" w:eastAsiaTheme="majorEastAsia" w:cstheme="majorEastAsia"/>
          <w:color w:val="auto"/>
          <w:szCs w:val="24"/>
          <w:highlight w:val="none"/>
        </w:rPr>
        <w:t>1.2 项目名称：</w:t>
      </w:r>
      <w:r>
        <w:rPr>
          <w:rFonts w:hint="eastAsia" w:asciiTheme="majorEastAsia" w:hAnsiTheme="majorEastAsia" w:eastAsiaTheme="majorEastAsia" w:cstheme="majorEastAsia"/>
          <w:color w:val="auto"/>
          <w:szCs w:val="24"/>
          <w:highlight w:val="none"/>
          <w:lang w:eastAsia="zh-CN"/>
        </w:rPr>
        <w:t>肥西县中医院尿沉渣等项目试剂配送服务</w:t>
      </w:r>
    </w:p>
    <w:p w14:paraId="43535B9A">
      <w:pPr>
        <w:keepNext w:val="0"/>
        <w:keepLines w:val="0"/>
        <w:pageBreakBefore w:val="0"/>
        <w:widowControl w:val="0"/>
        <w:kinsoku/>
        <w:wordWrap/>
        <w:overflowPunct/>
        <w:topLinePunct w:val="0"/>
        <w:autoSpaceDE w:val="0"/>
        <w:autoSpaceDN w:val="0"/>
        <w:bidi w:val="0"/>
        <w:adjustRightInd w:val="0"/>
        <w:spacing w:before="93" w:beforeLines="30" w:after="93" w:afterLines="30" w:line="460" w:lineRule="exact"/>
        <w:ind w:firstLine="480"/>
        <w:jc w:val="left"/>
        <w:textAlignment w:val="auto"/>
        <w:rPr>
          <w:rFonts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1.3 项目地点：</w:t>
      </w:r>
      <w:r>
        <w:rPr>
          <w:rFonts w:hint="eastAsia" w:asciiTheme="majorEastAsia" w:hAnsiTheme="majorEastAsia" w:eastAsiaTheme="majorEastAsia" w:cstheme="majorEastAsia"/>
          <w:color w:val="auto"/>
          <w:szCs w:val="24"/>
          <w:highlight w:val="none"/>
          <w:lang w:eastAsia="zh-CN"/>
        </w:rPr>
        <w:t>肥西县</w:t>
      </w:r>
    </w:p>
    <w:p w14:paraId="64CC1E7D">
      <w:pPr>
        <w:keepNext w:val="0"/>
        <w:keepLines w:val="0"/>
        <w:pageBreakBefore w:val="0"/>
        <w:widowControl w:val="0"/>
        <w:kinsoku/>
        <w:wordWrap/>
        <w:overflowPunct/>
        <w:topLinePunct w:val="0"/>
        <w:autoSpaceDE w:val="0"/>
        <w:autoSpaceDN w:val="0"/>
        <w:bidi w:val="0"/>
        <w:adjustRightInd w:val="0"/>
        <w:spacing w:before="93" w:beforeLines="30" w:after="93" w:afterLines="30" w:line="460" w:lineRule="exact"/>
        <w:ind w:firstLine="480"/>
        <w:jc w:val="left"/>
        <w:textAlignment w:val="auto"/>
        <w:rPr>
          <w:rFonts w:hint="eastAsia" w:asciiTheme="majorEastAsia" w:hAnsiTheme="majorEastAsia" w:eastAsiaTheme="majorEastAsia" w:cstheme="majorEastAsia"/>
          <w:color w:val="auto"/>
          <w:szCs w:val="24"/>
          <w:highlight w:val="none"/>
          <w:lang w:eastAsia="zh-CN"/>
        </w:rPr>
      </w:pPr>
      <w:r>
        <w:rPr>
          <w:rFonts w:hint="eastAsia" w:asciiTheme="majorEastAsia" w:hAnsiTheme="majorEastAsia" w:eastAsiaTheme="majorEastAsia" w:cstheme="majorEastAsia"/>
          <w:color w:val="auto"/>
          <w:szCs w:val="24"/>
          <w:highlight w:val="none"/>
        </w:rPr>
        <w:t>1.4 项目单位：</w:t>
      </w:r>
      <w:r>
        <w:rPr>
          <w:rFonts w:hint="eastAsia" w:asciiTheme="majorEastAsia" w:hAnsiTheme="majorEastAsia" w:eastAsiaTheme="majorEastAsia" w:cstheme="majorEastAsia"/>
          <w:color w:val="auto"/>
          <w:kern w:val="2"/>
          <w:highlight w:val="none"/>
          <w:lang w:eastAsia="zh-CN"/>
        </w:rPr>
        <w:t>肥西县中医院</w:t>
      </w:r>
    </w:p>
    <w:p w14:paraId="60EC226E">
      <w:pPr>
        <w:keepNext w:val="0"/>
        <w:keepLines w:val="0"/>
        <w:pageBreakBefore w:val="0"/>
        <w:widowControl w:val="0"/>
        <w:kinsoku/>
        <w:wordWrap/>
        <w:overflowPunct/>
        <w:topLinePunct w:val="0"/>
        <w:autoSpaceDE w:val="0"/>
        <w:autoSpaceDN w:val="0"/>
        <w:bidi w:val="0"/>
        <w:adjustRightInd w:val="0"/>
        <w:spacing w:before="93" w:beforeLines="30" w:after="93" w:afterLines="30" w:line="460" w:lineRule="exact"/>
        <w:ind w:firstLine="480"/>
        <w:jc w:val="left"/>
        <w:textAlignment w:val="auto"/>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1.5 项目概况：</w:t>
      </w:r>
      <w:r>
        <w:rPr>
          <w:rFonts w:hint="eastAsia" w:cs="宋体"/>
          <w:color w:val="auto"/>
          <w:sz w:val="24"/>
          <w:szCs w:val="24"/>
          <w:highlight w:val="none"/>
          <w:lang w:val="en-US" w:eastAsia="zh-CN"/>
        </w:rPr>
        <w:t>拟肥西县中医院尿沉渣等项目试剂配送服务，共分为2个包，本次采购第1-2包，每包拟招标一家供应商为肥西县中医院提供相关产品配送服务，在服务期限内按采购人需求分批配送，并完成与此相关的配套服务。详见采购需求。</w:t>
      </w:r>
    </w:p>
    <w:p w14:paraId="1D0DB8C5">
      <w:pPr>
        <w:keepNext w:val="0"/>
        <w:keepLines w:val="0"/>
        <w:pageBreakBefore w:val="0"/>
        <w:widowControl w:val="0"/>
        <w:kinsoku/>
        <w:wordWrap/>
        <w:overflowPunct/>
        <w:topLinePunct w:val="0"/>
        <w:autoSpaceDE w:val="0"/>
        <w:autoSpaceDN w:val="0"/>
        <w:bidi w:val="0"/>
        <w:adjustRightInd w:val="0"/>
        <w:spacing w:before="93" w:beforeLines="30" w:after="93" w:afterLines="30" w:line="460" w:lineRule="exact"/>
        <w:ind w:firstLine="480"/>
        <w:jc w:val="left"/>
        <w:textAlignment w:val="auto"/>
        <w:rPr>
          <w:rFonts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1.6 资金来源：</w:t>
      </w:r>
      <w:r>
        <w:rPr>
          <w:rFonts w:hint="eastAsia" w:asciiTheme="majorEastAsia" w:hAnsiTheme="majorEastAsia" w:eastAsiaTheme="majorEastAsia" w:cstheme="majorEastAsia"/>
          <w:color w:val="auto"/>
          <w:szCs w:val="24"/>
          <w:highlight w:val="none"/>
          <w:lang w:val="en-US" w:eastAsia="zh-CN"/>
        </w:rPr>
        <w:t>财政</w:t>
      </w:r>
      <w:r>
        <w:rPr>
          <w:rFonts w:hint="eastAsia" w:asciiTheme="majorEastAsia" w:hAnsiTheme="majorEastAsia" w:eastAsiaTheme="majorEastAsia" w:cstheme="majorEastAsia"/>
          <w:color w:val="auto"/>
          <w:szCs w:val="24"/>
          <w:highlight w:val="none"/>
        </w:rPr>
        <w:t>资金</w:t>
      </w:r>
    </w:p>
    <w:p w14:paraId="219ED78A">
      <w:pPr>
        <w:keepNext w:val="0"/>
        <w:keepLines w:val="0"/>
        <w:pageBreakBefore w:val="0"/>
        <w:widowControl w:val="0"/>
        <w:kinsoku/>
        <w:wordWrap/>
        <w:overflowPunct/>
        <w:topLinePunct w:val="0"/>
        <w:autoSpaceDE w:val="0"/>
        <w:autoSpaceDN w:val="0"/>
        <w:bidi w:val="0"/>
        <w:adjustRightInd w:val="0"/>
        <w:spacing w:before="93" w:beforeLines="30" w:after="93" w:afterLines="30" w:line="460" w:lineRule="exact"/>
        <w:ind w:firstLine="480"/>
        <w:jc w:val="left"/>
        <w:textAlignment w:val="auto"/>
        <w:rPr>
          <w:rFonts w:hint="default" w:asciiTheme="majorEastAsia" w:hAnsiTheme="majorEastAsia" w:eastAsiaTheme="majorEastAsia" w:cstheme="majorEastAsia"/>
          <w:color w:val="auto"/>
          <w:szCs w:val="24"/>
          <w:highlight w:val="none"/>
          <w:lang w:val="en-US" w:eastAsia="zh-CN"/>
        </w:rPr>
      </w:pPr>
      <w:r>
        <w:rPr>
          <w:rFonts w:hint="eastAsia" w:asciiTheme="majorEastAsia" w:hAnsiTheme="majorEastAsia" w:eastAsiaTheme="majorEastAsia" w:cstheme="majorEastAsia"/>
          <w:color w:val="auto"/>
          <w:szCs w:val="24"/>
          <w:highlight w:val="none"/>
        </w:rPr>
        <w:t>1.7 项目预算：</w:t>
      </w:r>
      <w:r>
        <w:rPr>
          <w:rFonts w:hint="eastAsia" w:asciiTheme="majorEastAsia" w:hAnsiTheme="majorEastAsia" w:eastAsiaTheme="majorEastAsia" w:cstheme="majorEastAsia"/>
          <w:color w:val="auto"/>
          <w:szCs w:val="24"/>
          <w:highlight w:val="none"/>
          <w:lang w:eastAsia="zh-CN"/>
        </w:rPr>
        <w:t>第</w:t>
      </w:r>
      <w:r>
        <w:rPr>
          <w:rFonts w:hint="eastAsia" w:asciiTheme="majorEastAsia" w:hAnsiTheme="majorEastAsia" w:eastAsiaTheme="majorEastAsia" w:cstheme="majorEastAsia"/>
          <w:color w:val="auto"/>
          <w:szCs w:val="24"/>
          <w:highlight w:val="none"/>
          <w:lang w:val="en-US" w:eastAsia="zh-CN"/>
        </w:rPr>
        <w:t>1</w:t>
      </w:r>
      <w:r>
        <w:rPr>
          <w:rFonts w:hint="eastAsia" w:asciiTheme="majorEastAsia" w:hAnsiTheme="majorEastAsia" w:eastAsiaTheme="majorEastAsia" w:cstheme="majorEastAsia"/>
          <w:color w:val="auto"/>
          <w:szCs w:val="24"/>
          <w:highlight w:val="none"/>
          <w:lang w:eastAsia="zh-CN"/>
        </w:rPr>
        <w:t>包</w:t>
      </w:r>
      <w:r>
        <w:rPr>
          <w:rFonts w:hint="eastAsia" w:asciiTheme="majorEastAsia" w:hAnsiTheme="majorEastAsia" w:eastAsiaTheme="majorEastAsia" w:cstheme="majorEastAsia"/>
          <w:color w:val="auto"/>
          <w:szCs w:val="24"/>
          <w:highlight w:val="none"/>
          <w:lang w:val="en-US" w:eastAsia="zh-CN"/>
        </w:rPr>
        <w:t>28</w:t>
      </w:r>
      <w:r>
        <w:rPr>
          <w:rFonts w:hint="eastAsia" w:asciiTheme="majorEastAsia" w:hAnsiTheme="majorEastAsia" w:eastAsiaTheme="majorEastAsia" w:cstheme="majorEastAsia"/>
          <w:color w:val="auto"/>
          <w:szCs w:val="24"/>
          <w:highlight w:val="none"/>
        </w:rPr>
        <w:t>万元</w:t>
      </w:r>
      <w:r>
        <w:rPr>
          <w:rFonts w:hint="eastAsia" w:asciiTheme="majorEastAsia" w:hAnsiTheme="majorEastAsia" w:eastAsiaTheme="majorEastAsia" w:cstheme="majorEastAsia"/>
          <w:color w:val="auto"/>
          <w:szCs w:val="24"/>
          <w:highlight w:val="none"/>
          <w:lang w:eastAsia="zh-CN"/>
        </w:rPr>
        <w:t>；第</w:t>
      </w:r>
      <w:r>
        <w:rPr>
          <w:rFonts w:hint="eastAsia" w:asciiTheme="majorEastAsia" w:hAnsiTheme="majorEastAsia" w:eastAsiaTheme="majorEastAsia" w:cstheme="majorEastAsia"/>
          <w:color w:val="auto"/>
          <w:szCs w:val="24"/>
          <w:highlight w:val="none"/>
          <w:lang w:val="en-US" w:eastAsia="zh-CN"/>
        </w:rPr>
        <w:t>2包7万元</w:t>
      </w:r>
    </w:p>
    <w:p w14:paraId="5EB465F3">
      <w:pPr>
        <w:keepNext w:val="0"/>
        <w:keepLines w:val="0"/>
        <w:pageBreakBefore w:val="0"/>
        <w:widowControl w:val="0"/>
        <w:kinsoku/>
        <w:wordWrap/>
        <w:overflowPunct/>
        <w:topLinePunct w:val="0"/>
        <w:autoSpaceDE w:val="0"/>
        <w:autoSpaceDN w:val="0"/>
        <w:bidi w:val="0"/>
        <w:adjustRightInd w:val="0"/>
        <w:spacing w:before="93" w:beforeLines="30" w:after="93" w:afterLines="30" w:line="460" w:lineRule="exact"/>
        <w:ind w:firstLine="480"/>
        <w:jc w:val="left"/>
        <w:textAlignment w:val="auto"/>
        <w:rPr>
          <w:rFonts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1.</w:t>
      </w:r>
      <w:r>
        <w:rPr>
          <w:rFonts w:hint="eastAsia" w:asciiTheme="majorEastAsia" w:hAnsiTheme="majorEastAsia" w:eastAsiaTheme="majorEastAsia" w:cstheme="majorEastAsia"/>
          <w:color w:val="auto"/>
          <w:szCs w:val="24"/>
          <w:highlight w:val="none"/>
          <w:lang w:val="en-US" w:eastAsia="zh-CN"/>
        </w:rPr>
        <w:t>8</w:t>
      </w:r>
      <w:r>
        <w:rPr>
          <w:rFonts w:hint="eastAsia" w:asciiTheme="majorEastAsia" w:hAnsiTheme="majorEastAsia" w:eastAsiaTheme="majorEastAsia" w:cstheme="majorEastAsia"/>
          <w:color w:val="auto"/>
          <w:szCs w:val="24"/>
          <w:highlight w:val="none"/>
        </w:rPr>
        <w:t xml:space="preserve"> 项目类别：服务类</w:t>
      </w:r>
    </w:p>
    <w:p w14:paraId="6F766B98">
      <w:pPr>
        <w:keepNext w:val="0"/>
        <w:keepLines w:val="0"/>
        <w:pageBreakBefore w:val="0"/>
        <w:widowControl w:val="0"/>
        <w:kinsoku/>
        <w:wordWrap/>
        <w:overflowPunct/>
        <w:topLinePunct w:val="0"/>
        <w:autoSpaceDE w:val="0"/>
        <w:autoSpaceDN w:val="0"/>
        <w:bidi w:val="0"/>
        <w:adjustRightInd w:val="0"/>
        <w:spacing w:before="93" w:beforeLines="30" w:after="93" w:afterLines="30" w:line="460" w:lineRule="exact"/>
        <w:ind w:firstLine="480"/>
        <w:jc w:val="left"/>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9</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 xml:space="preserve"> 包别划分：共分 </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 xml:space="preserve"> 个包</w:t>
      </w:r>
    </w:p>
    <w:p w14:paraId="5205DFF5">
      <w:pPr>
        <w:keepNext w:val="0"/>
        <w:keepLines w:val="0"/>
        <w:pageBreakBefore w:val="0"/>
        <w:widowControl w:val="0"/>
        <w:kinsoku/>
        <w:wordWrap/>
        <w:overflowPunct/>
        <w:topLinePunct w:val="0"/>
        <w:bidi w:val="0"/>
        <w:spacing w:before="93" w:beforeLines="30" w:after="93" w:afterLines="30" w:line="460" w:lineRule="exact"/>
        <w:ind w:firstLine="482"/>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 xml:space="preserve">2.供应商资格要求 </w:t>
      </w:r>
    </w:p>
    <w:p w14:paraId="50A36E66">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2.1 供应商具有独立承担民事责任的能力；</w:t>
      </w:r>
    </w:p>
    <w:p w14:paraId="1FC665B5">
      <w:pPr>
        <w:keepNext w:val="0"/>
        <w:keepLines w:val="0"/>
        <w:pageBreakBefore w:val="0"/>
        <w:widowControl w:val="0"/>
        <w:kinsoku/>
        <w:wordWrap/>
        <w:overflowPunct/>
        <w:topLinePunct w:val="0"/>
        <w:autoSpaceDE w:val="0"/>
        <w:autoSpaceDN w:val="0"/>
        <w:bidi w:val="0"/>
        <w:adjustRightInd w:val="0"/>
        <w:spacing w:before="93" w:beforeLines="30" w:after="93" w:afterLines="30" w:line="460" w:lineRule="exact"/>
        <w:ind w:firstLine="480"/>
        <w:jc w:val="left"/>
        <w:textAlignment w:val="auto"/>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2.2 供应商资质</w:t>
      </w: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w:t>
      </w:r>
      <w:r>
        <w:rPr>
          <w:rFonts w:hint="eastAsia" w:asciiTheme="majorEastAsia" w:hAnsiTheme="majorEastAsia" w:eastAsiaTheme="majorEastAsia" w:cstheme="majorEastAsia"/>
          <w:b/>
          <w:bCs/>
          <w:color w:val="000000" w:themeColor="text1"/>
          <w:szCs w:val="24"/>
          <w:highlight w:val="none"/>
          <w:lang w:val="en-US" w:eastAsia="zh-CN"/>
          <w14:textFill>
            <w14:solidFill>
              <w14:schemeClr w14:val="tx1"/>
            </w14:solidFill>
          </w14:textFill>
        </w:rPr>
        <w:t>具有医疗器械生产或医疗器械经营资格</w:t>
      </w: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w:t>
      </w:r>
    </w:p>
    <w:p w14:paraId="307AB4DE">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eastAsiaTheme="majorEastAsia"/>
          <w:color w:val="000000" w:themeColor="text1"/>
          <w:szCs w:val="24"/>
          <w:highlight w:val="none"/>
          <w:lang w:val="en-US" w:eastAsia="zh-CN"/>
          <w14:textFill>
            <w14:solidFill>
              <w14:schemeClr w14:val="tx1"/>
            </w14:solidFill>
          </w14:textFill>
        </w:rPr>
        <w:t>2.3</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本项目</w:t>
      </w: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不接受</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联合体参与磋商。</w:t>
      </w:r>
    </w:p>
    <w:p w14:paraId="4D9E8657">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asciiTheme="majorEastAsia" w:hAnsiTheme="majorEastAsia" w:eastAsiaTheme="majorEastAsia" w:cstheme="majorEastAsia"/>
          <w:b/>
          <w:bCs/>
          <w:i/>
          <w:i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 xml:space="preserve"> 供应商存在以下不良信用记录情形之一的，不得推荐为成交候选人，不得确定为成交人</w:t>
      </w:r>
      <w:r>
        <w:rPr>
          <w:rFonts w:hint="eastAsia" w:asciiTheme="majorEastAsia" w:hAnsiTheme="majorEastAsia" w:eastAsiaTheme="majorEastAsia" w:cstheme="majorEastAsia"/>
          <w:b/>
          <w:bCs/>
          <w:i/>
          <w:iCs/>
          <w:color w:val="000000" w:themeColor="text1"/>
          <w:szCs w:val="24"/>
          <w:highlight w:val="none"/>
          <w14:textFill>
            <w14:solidFill>
              <w14:schemeClr w14:val="tx1"/>
            </w14:solidFill>
          </w14:textFill>
        </w:rPr>
        <w:t>：</w:t>
      </w:r>
    </w:p>
    <w:p w14:paraId="3F0A003C">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（1）在“信用中国”网站（http://www.creditchina.gov.cn/）中被列入失信被执行人名单；</w:t>
      </w:r>
    </w:p>
    <w:p w14:paraId="615373CE">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（2）在“信用中国”网站（http://www.creditchina.gov.cn/）中被列入重大税收违法失信主体名单；</w:t>
      </w:r>
    </w:p>
    <w:p w14:paraId="1033F5D6">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hint="default" w:asciiTheme="majorEastAsia" w:hAnsiTheme="majorEastAsia" w:eastAsiaTheme="majorEastAsia" w:cstheme="majorEastAsia"/>
          <w:b/>
          <w:bCs/>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2.6其它：</w:t>
      </w:r>
      <w:r>
        <w:rPr>
          <w:rFonts w:hint="eastAsia" w:asciiTheme="majorEastAsia" w:hAnsiTheme="majorEastAsia" w:eastAsiaTheme="majorEastAsia" w:cstheme="majorEastAsia"/>
          <w:b/>
          <w:bCs/>
          <w:color w:val="000000" w:themeColor="text1"/>
          <w:szCs w:val="24"/>
          <w:highlight w:val="none"/>
          <w:lang w:val="en-US" w:eastAsia="zh-CN"/>
          <w14:textFill>
            <w14:solidFill>
              <w14:schemeClr w14:val="tx1"/>
            </w14:solidFill>
          </w14:textFill>
        </w:rPr>
        <w:t>无</w:t>
      </w:r>
    </w:p>
    <w:p w14:paraId="3DD0DFB7">
      <w:pPr>
        <w:keepNext w:val="0"/>
        <w:keepLines w:val="0"/>
        <w:pageBreakBefore w:val="0"/>
        <w:widowControl w:val="0"/>
        <w:tabs>
          <w:tab w:val="center" w:pos="4394"/>
        </w:tabs>
        <w:kinsoku/>
        <w:wordWrap/>
        <w:overflowPunct/>
        <w:topLinePunct w:val="0"/>
        <w:bidi w:val="0"/>
        <w:spacing w:before="93" w:beforeLines="30" w:after="93" w:afterLines="30" w:line="460" w:lineRule="exact"/>
        <w:ind w:firstLine="482"/>
        <w:textAlignment w:val="auto"/>
        <w:rPr>
          <w:rFonts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3.磋商文件的获取</w:t>
      </w: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ab/>
      </w:r>
    </w:p>
    <w:p w14:paraId="4E48D502">
      <w:pPr>
        <w:keepNext w:val="0"/>
        <w:keepLines w:val="0"/>
        <w:pageBreakBefore w:val="0"/>
        <w:widowControl w:val="0"/>
        <w:kinsoku/>
        <w:wordWrap/>
        <w:overflowPunct/>
        <w:topLinePunct w:val="0"/>
        <w:bidi w:val="0"/>
        <w:adjustRightInd w:val="0"/>
        <w:snapToGrid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3.1 获取时间：202</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年</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06</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月</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11</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日至磋商时间。</w:t>
      </w:r>
    </w:p>
    <w:p w14:paraId="0A878A07">
      <w:pPr>
        <w:keepNext w:val="0"/>
        <w:keepLines w:val="0"/>
        <w:pageBreakBefore w:val="0"/>
        <w:widowControl w:val="0"/>
        <w:kinsoku/>
        <w:wordWrap/>
        <w:overflowPunct/>
        <w:topLinePunct w:val="0"/>
        <w:bidi w:val="0"/>
        <w:adjustRightInd w:val="0"/>
        <w:snapToGrid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3.2 获取地点：优质采云采购平台（http://www.youzhicai.com/）</w:t>
      </w:r>
    </w:p>
    <w:p w14:paraId="4D4D6552">
      <w:pPr>
        <w:keepNext w:val="0"/>
        <w:keepLines w:val="0"/>
        <w:pageBreakBefore w:val="0"/>
        <w:widowControl w:val="0"/>
        <w:kinsoku/>
        <w:wordWrap/>
        <w:overflowPunct/>
        <w:topLinePunct w:val="0"/>
        <w:bidi w:val="0"/>
        <w:adjustRightInd w:val="0"/>
        <w:snapToGrid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3.3 获取方式：在线下载</w:t>
      </w:r>
    </w:p>
    <w:p w14:paraId="24FD9AEF">
      <w:pPr>
        <w:keepNext w:val="0"/>
        <w:keepLines w:val="0"/>
        <w:pageBreakBefore w:val="0"/>
        <w:widowControl w:val="0"/>
        <w:kinsoku/>
        <w:wordWrap/>
        <w:overflowPunct/>
        <w:topLinePunct w:val="0"/>
        <w:bidi w:val="0"/>
        <w:spacing w:before="93" w:beforeLines="30" w:after="93" w:afterLines="30" w:line="460" w:lineRule="exact"/>
        <w:ind w:firstLine="482"/>
        <w:textAlignment w:val="auto"/>
        <w:rPr>
          <w:rFonts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4.响应文件提交截止时间</w:t>
      </w:r>
    </w:p>
    <w:p w14:paraId="4230F836">
      <w:pPr>
        <w:keepNext w:val="0"/>
        <w:keepLines w:val="0"/>
        <w:pageBreakBefore w:val="0"/>
        <w:widowControl w:val="0"/>
        <w:kinsoku/>
        <w:wordWrap/>
        <w:overflowPunct/>
        <w:topLinePunct w:val="0"/>
        <w:bidi w:val="0"/>
        <w:adjustRightInd w:val="0"/>
        <w:snapToGrid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同磋商时间。</w:t>
      </w:r>
    </w:p>
    <w:p w14:paraId="59C49549">
      <w:pPr>
        <w:keepNext w:val="0"/>
        <w:keepLines w:val="0"/>
        <w:pageBreakBefore w:val="0"/>
        <w:widowControl w:val="0"/>
        <w:kinsoku/>
        <w:wordWrap/>
        <w:overflowPunct/>
        <w:topLinePunct w:val="0"/>
        <w:bidi w:val="0"/>
        <w:spacing w:before="93" w:beforeLines="30" w:after="93" w:afterLines="30" w:line="460" w:lineRule="exact"/>
        <w:ind w:firstLine="482"/>
        <w:textAlignment w:val="auto"/>
        <w:rPr>
          <w:rFonts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5.磋商时间及地点</w:t>
      </w:r>
    </w:p>
    <w:p w14:paraId="5045C66D">
      <w:pPr>
        <w:keepNext w:val="0"/>
        <w:keepLines w:val="0"/>
        <w:pageBreakBefore w:val="0"/>
        <w:widowControl w:val="0"/>
        <w:kinsoku/>
        <w:wordWrap/>
        <w:overflowPunct/>
        <w:topLinePunct w:val="0"/>
        <w:bidi w:val="0"/>
        <w:adjustRightInd w:val="0"/>
        <w:snapToGrid w:val="0"/>
        <w:spacing w:before="93" w:beforeLines="30" w:after="93" w:afterLines="30" w:line="460" w:lineRule="exact"/>
        <w:ind w:firstLine="480"/>
        <w:textAlignment w:val="auto"/>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5.1 磋商时间：202</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年</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06</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月</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23</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日</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上午09时00分</w:t>
      </w:r>
    </w:p>
    <w:p w14:paraId="2E50BD9D">
      <w:pPr>
        <w:keepNext w:val="0"/>
        <w:keepLines w:val="0"/>
        <w:pageBreakBefore w:val="0"/>
        <w:widowControl w:val="0"/>
        <w:kinsoku/>
        <w:wordWrap/>
        <w:overflowPunct/>
        <w:topLinePunct w:val="0"/>
        <w:bidi w:val="0"/>
        <w:adjustRightInd w:val="0"/>
        <w:snapToGrid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5.2 磋商地点：优质采云采购平台（http://www.youzhicai.com/）</w:t>
      </w:r>
    </w:p>
    <w:p w14:paraId="0B5163B0">
      <w:pPr>
        <w:keepNext w:val="0"/>
        <w:keepLines w:val="0"/>
        <w:pageBreakBefore w:val="0"/>
        <w:widowControl w:val="0"/>
        <w:kinsoku/>
        <w:wordWrap/>
        <w:overflowPunct/>
        <w:topLinePunct w:val="0"/>
        <w:bidi w:val="0"/>
        <w:spacing w:before="93" w:beforeLines="30" w:after="93" w:afterLines="30" w:line="460" w:lineRule="exact"/>
        <w:ind w:firstLine="482"/>
        <w:textAlignment w:val="auto"/>
        <w:rPr>
          <w:rFonts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6.发布公告的媒介</w:t>
      </w:r>
    </w:p>
    <w:p w14:paraId="675FB547">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本次磋商公告同时在肥西县公共资源交易有限责任公司、优质采云采购平台、安徽省招标投标信息网、中国采购与招标网上发布。</w:t>
      </w:r>
    </w:p>
    <w:p w14:paraId="0B40057B">
      <w:pPr>
        <w:keepNext w:val="0"/>
        <w:keepLines w:val="0"/>
        <w:pageBreakBefore w:val="0"/>
        <w:widowControl w:val="0"/>
        <w:kinsoku/>
        <w:wordWrap/>
        <w:overflowPunct/>
        <w:topLinePunct w:val="0"/>
        <w:bidi w:val="0"/>
        <w:spacing w:before="93" w:beforeLines="30" w:after="93" w:afterLines="30" w:line="460" w:lineRule="exact"/>
        <w:ind w:firstLine="482"/>
        <w:textAlignment w:val="auto"/>
        <w:rPr>
          <w:rFonts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7.联系方式</w:t>
      </w:r>
    </w:p>
    <w:p w14:paraId="61AA7D91">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7.1 业主单位</w:t>
      </w:r>
    </w:p>
    <w:p w14:paraId="549352BC">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业主单位名称：</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肥西县中医院</w:t>
      </w:r>
    </w:p>
    <w:p w14:paraId="46041BFB">
      <w:pPr>
        <w:spacing w:line="360" w:lineRule="auto"/>
        <w:ind w:firstLine="435"/>
        <w:rPr>
          <w:rFonts w:hint="eastAsia"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地  址：</w:t>
      </w:r>
      <w:r>
        <w:rPr>
          <w:rFonts w:hint="eastAsia" w:asciiTheme="majorEastAsia" w:hAnsiTheme="majorEastAsia" w:eastAsiaTheme="majorEastAsia" w:cstheme="majorEastAsia"/>
          <w:sz w:val="24"/>
          <w:szCs w:val="24"/>
          <w:highlight w:val="none"/>
          <w:u w:val="single"/>
        </w:rPr>
        <w:t>安徽省合肥市肥西县上派镇青龙路与站下路交叉口</w:t>
      </w:r>
    </w:p>
    <w:p w14:paraId="5F2171C9">
      <w:pPr>
        <w:spacing w:line="360" w:lineRule="auto"/>
        <w:ind w:firstLine="435"/>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rPr>
        <w:t>联系人：</w:t>
      </w:r>
      <w:r>
        <w:rPr>
          <w:rFonts w:hint="eastAsia" w:asciiTheme="majorEastAsia" w:hAnsiTheme="majorEastAsia" w:eastAsiaTheme="majorEastAsia" w:cstheme="majorEastAsia"/>
          <w:sz w:val="24"/>
          <w:szCs w:val="24"/>
          <w:highlight w:val="none"/>
          <w:u w:val="single"/>
          <w:lang w:eastAsia="zh-CN"/>
        </w:rPr>
        <w:t>吕工</w:t>
      </w:r>
    </w:p>
    <w:p w14:paraId="72BFEF00">
      <w:pPr>
        <w:spacing w:line="360" w:lineRule="auto"/>
        <w:ind w:firstLine="435"/>
        <w:rPr>
          <w:rFonts w:hint="default"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rPr>
        <w:t>电  话：</w:t>
      </w:r>
      <w:r>
        <w:rPr>
          <w:rFonts w:hint="eastAsia" w:asciiTheme="majorEastAsia" w:hAnsiTheme="majorEastAsia" w:eastAsiaTheme="majorEastAsia" w:cstheme="majorEastAsia"/>
          <w:sz w:val="24"/>
          <w:szCs w:val="24"/>
          <w:highlight w:val="none"/>
          <w:u w:val="single"/>
          <w:lang w:val="en-US" w:eastAsia="zh-CN"/>
        </w:rPr>
        <w:t>0551-68836900</w:t>
      </w:r>
    </w:p>
    <w:p w14:paraId="2CF4FB02">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asciiTheme="majorEastAsia" w:hAnsiTheme="majorEastAsia" w:eastAsiaTheme="majorEastAsia" w:cstheme="majorEastAsia"/>
          <w:b/>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7.2 代理机构</w:t>
      </w:r>
    </w:p>
    <w:p w14:paraId="0F43CF6B">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代理机构名称：肥西县公共资源交易有限责任公司</w:t>
      </w:r>
    </w:p>
    <w:p w14:paraId="2EEF8B08">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地  址：肥西县上派镇紫石路与佛光路交叉口肥光办公区3号楼2楼</w:t>
      </w:r>
    </w:p>
    <w:p w14:paraId="0E79932F">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联系人：</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谭</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工</w:t>
      </w:r>
    </w:p>
    <w:p w14:paraId="52502491">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电  话：0551-68825</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007</w:t>
      </w:r>
    </w:p>
    <w:p w14:paraId="34B98323">
      <w:pPr>
        <w:spacing w:line="360" w:lineRule="auto"/>
        <w:ind w:firstLine="43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7.3</w:t>
      </w:r>
      <w:r>
        <w:rPr>
          <w:rFonts w:hint="eastAsia" w:asciiTheme="majorEastAsia" w:hAnsiTheme="majorEastAsia" w:eastAsiaTheme="majorEastAsia" w:cstheme="majorEastAsia"/>
          <w:sz w:val="24"/>
          <w:szCs w:val="24"/>
          <w:highlight w:val="none"/>
        </w:rPr>
        <w:t>电子交易系统</w:t>
      </w:r>
    </w:p>
    <w:p w14:paraId="28555257">
      <w:pPr>
        <w:spacing w:line="360" w:lineRule="auto"/>
        <w:ind w:firstLine="43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名  称：</w:t>
      </w:r>
      <w:r>
        <w:rPr>
          <w:rFonts w:hint="eastAsia" w:asciiTheme="majorEastAsia" w:hAnsiTheme="majorEastAsia" w:eastAsiaTheme="majorEastAsia" w:cstheme="majorEastAsia"/>
          <w:sz w:val="24"/>
          <w:szCs w:val="24"/>
          <w:highlight w:val="none"/>
          <w:u w:val="single"/>
        </w:rPr>
        <w:t>优质采云采购平台</w:t>
      </w:r>
    </w:p>
    <w:p w14:paraId="4FFA3EBC">
      <w:pPr>
        <w:spacing w:line="360" w:lineRule="auto"/>
        <w:ind w:firstLine="435"/>
        <w:rPr>
          <w:rFonts w:hint="eastAsia" w:asciiTheme="majorEastAsia" w:hAnsiTheme="majorEastAsia" w:eastAsiaTheme="majorEastAsia" w:cstheme="majorEastAsia"/>
          <w:sz w:val="24"/>
          <w:szCs w:val="24"/>
          <w:highlight w:val="none"/>
        </w:rPr>
      </w:pPr>
      <w:bookmarkStart w:id="3" w:name="_Hlk38114117"/>
      <w:r>
        <w:rPr>
          <w:rFonts w:hint="eastAsia" w:asciiTheme="majorEastAsia" w:hAnsiTheme="majorEastAsia" w:eastAsiaTheme="majorEastAsia" w:cstheme="majorEastAsia"/>
          <w:sz w:val="24"/>
          <w:szCs w:val="24"/>
          <w:highlight w:val="none"/>
        </w:rPr>
        <w:t>电  话：</w:t>
      </w:r>
      <w:r>
        <w:rPr>
          <w:rFonts w:hint="eastAsia" w:cs="宋体"/>
          <w:color w:val="auto"/>
          <w:sz w:val="24"/>
          <w:szCs w:val="18"/>
          <w:highlight w:val="none"/>
        </w:rPr>
        <w:t>400-0099-555</w:t>
      </w:r>
    </w:p>
    <w:bookmarkEnd w:id="3"/>
    <w:p w14:paraId="39EA17C2">
      <w:pPr>
        <w:spacing w:line="360" w:lineRule="auto"/>
        <w:ind w:firstLine="435"/>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sz w:val="24"/>
          <w:szCs w:val="24"/>
          <w:highlight w:val="none"/>
          <w:lang w:val="en-US" w:eastAsia="zh-CN"/>
        </w:rPr>
        <w:t>7.4</w:t>
      </w:r>
      <w:r>
        <w:rPr>
          <w:rFonts w:hint="eastAsia" w:asciiTheme="majorEastAsia" w:hAnsiTheme="majorEastAsia" w:eastAsiaTheme="majorEastAsia" w:cstheme="majorEastAsia"/>
          <w:sz w:val="24"/>
          <w:szCs w:val="24"/>
          <w:highlight w:val="none"/>
        </w:rPr>
        <w:t>监督管理部门</w:t>
      </w:r>
    </w:p>
    <w:p w14:paraId="5760B7DA">
      <w:pPr>
        <w:spacing w:line="360" w:lineRule="auto"/>
        <w:ind w:firstLine="435"/>
        <w:rPr>
          <w:rFonts w:hint="eastAsia"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监督管理部门：</w:t>
      </w:r>
      <w:r>
        <w:rPr>
          <w:rFonts w:hint="eastAsia" w:asciiTheme="majorEastAsia" w:hAnsiTheme="majorEastAsia" w:eastAsiaTheme="majorEastAsia" w:cstheme="majorEastAsia"/>
          <w:sz w:val="24"/>
          <w:szCs w:val="24"/>
          <w:highlight w:val="none"/>
          <w:u w:val="single"/>
        </w:rPr>
        <w:t>肥西县中医院监察室</w:t>
      </w:r>
    </w:p>
    <w:p w14:paraId="22AC3727">
      <w:pPr>
        <w:spacing w:line="360" w:lineRule="auto"/>
        <w:ind w:firstLine="435"/>
        <w:rPr>
          <w:rFonts w:hint="eastAsia"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地  址：</w:t>
      </w:r>
      <w:r>
        <w:rPr>
          <w:rFonts w:hint="eastAsia" w:asciiTheme="majorEastAsia" w:hAnsiTheme="majorEastAsia" w:eastAsiaTheme="majorEastAsia" w:cstheme="majorEastAsia"/>
          <w:sz w:val="24"/>
          <w:szCs w:val="24"/>
          <w:highlight w:val="none"/>
          <w:u w:val="single"/>
        </w:rPr>
        <w:t>合肥市肥西县上派镇青龙路与站下路交叉口肥西县中医院新区监察室</w:t>
      </w:r>
    </w:p>
    <w:p w14:paraId="137808A7">
      <w:pPr>
        <w:keepNext w:val="0"/>
        <w:keepLines w:val="0"/>
        <w:pageBreakBefore w:val="0"/>
        <w:widowControl w:val="0"/>
        <w:kinsoku/>
        <w:wordWrap/>
        <w:overflowPunct/>
        <w:topLinePunct w:val="0"/>
        <w:bidi w:val="0"/>
        <w:spacing w:before="93" w:beforeLines="30" w:after="93" w:afterLines="30" w:line="460" w:lineRule="exact"/>
        <w:ind w:firstLine="482"/>
        <w:textAlignment w:val="auto"/>
        <w:rPr>
          <w:rFonts w:hint="eastAsia" w:asciiTheme="majorEastAsia" w:hAnsiTheme="majorEastAsia" w:eastAsiaTheme="majorEastAsia" w:cstheme="majorEastAsia"/>
          <w:b/>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sz w:val="24"/>
          <w:szCs w:val="24"/>
          <w:highlight w:val="none"/>
        </w:rPr>
        <w:t>电  话：</w:t>
      </w:r>
      <w:r>
        <w:rPr>
          <w:rFonts w:hint="eastAsia" w:asciiTheme="majorEastAsia" w:hAnsiTheme="majorEastAsia" w:eastAsiaTheme="majorEastAsia" w:cstheme="majorEastAsia"/>
          <w:sz w:val="24"/>
          <w:szCs w:val="24"/>
          <w:highlight w:val="none"/>
          <w:u w:val="single"/>
        </w:rPr>
        <w:t xml:space="preserve"> 0551-68830096</w:t>
      </w:r>
    </w:p>
    <w:p w14:paraId="104B63D0">
      <w:pPr>
        <w:keepNext w:val="0"/>
        <w:keepLines w:val="0"/>
        <w:pageBreakBefore w:val="0"/>
        <w:widowControl w:val="0"/>
        <w:kinsoku/>
        <w:wordWrap/>
        <w:overflowPunct/>
        <w:topLinePunct w:val="0"/>
        <w:bidi w:val="0"/>
        <w:spacing w:before="93" w:beforeLines="30" w:after="93" w:afterLines="30" w:line="460" w:lineRule="exact"/>
        <w:ind w:firstLine="482"/>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szCs w:val="24"/>
          <w:highlight w:val="none"/>
          <w14:textFill>
            <w14:solidFill>
              <w14:schemeClr w14:val="tx1"/>
            </w14:solidFill>
          </w14:textFill>
        </w:rPr>
        <w:t>8.其他事项说明</w:t>
      </w:r>
    </w:p>
    <w:p w14:paraId="6C9A365A">
      <w:pPr>
        <w:keepNext w:val="0"/>
        <w:keepLines w:val="0"/>
        <w:pageBreakBefore w:val="0"/>
        <w:widowControl w:val="0"/>
        <w:kinsoku/>
        <w:wordWrap/>
        <w:overflowPunct/>
        <w:topLinePunct w:val="0"/>
        <w:bidi w:val="0"/>
        <w:spacing w:before="93" w:beforeLines="30" w:after="93" w:afterLines="30" w:line="460" w:lineRule="exact"/>
        <w:ind w:firstLine="480"/>
        <w:textAlignment w:val="auto"/>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8.1 电子化交易要求：</w:t>
      </w:r>
    </w:p>
    <w:p w14:paraId="7219E046">
      <w:pPr>
        <w:spacing w:before="93" w:beforeLines="30" w:after="93" w:afterLines="30"/>
        <w:ind w:firstLine="480"/>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（1）潜在供应商须登录“优质采云采购平台”（网址：http://www.youzhicai.com/，以下称“优质采平台”）参与本项目磋商活动。首次登录须办理注册手续，请务必选择注册为“</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供应商</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角色”类型。注册流程见优质采平台“用户注册”栏目，咨询电话：400-0099-555。因未及时办理注册手续影响参加磋商活动的，责任自负。</w:t>
      </w:r>
    </w:p>
    <w:p w14:paraId="46EBD645">
      <w:pPr>
        <w:spacing w:before="93" w:beforeLines="30" w:after="93" w:afterLines="30"/>
        <w:ind w:firstLine="480"/>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已注册的潜在供应商可登录优质采平台获取磋商文件，本项目的磋商文件及其他资料（含澄清、答疑及相关补充文件）通过优质采平台发布，业主单位/代理机构不再另行书面通知，潜在供应商应及时关注、查阅优质采平台。因未及时查看导致不利后果的，责任自负。</w:t>
      </w:r>
    </w:p>
    <w:p w14:paraId="653B69DF">
      <w:pPr>
        <w:spacing w:before="93" w:beforeLines="30" w:after="93" w:afterLines="30"/>
        <w:ind w:firstLine="480"/>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（3）已注册的潜在供应商若注册信息发生变更（如：与初始注册信息不一致），应及时网上提交变更申请。因未及时变更导致不利后果的，责任自负。</w:t>
      </w:r>
    </w:p>
    <w:p w14:paraId="5591DA56">
      <w:pPr>
        <w:spacing w:before="93" w:beforeLines="30" w:after="93" w:afterLines="30"/>
        <w:ind w:firstLine="480"/>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4）本项目采用全流程电子化交易方式，潜在供应商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0A7D2026">
      <w:pPr>
        <w:spacing w:before="93" w:beforeLines="30" w:after="93" w:afterLines="30"/>
        <w:ind w:firstLine="480"/>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（5）响应文件必须使用“优质采投标文件制作工具”制作生成并上传。下载地址：http://toolcdn.youzhicai.com/tools/BidderTools.zip，使用说明书及视频教程下载地址：http://file.youzhicai.com/files/BidderHelp.rar。</w:t>
      </w:r>
    </w:p>
    <w:p w14:paraId="292F2FFB">
      <w:pPr>
        <w:spacing w:before="93" w:beforeLines="30" w:after="93" w:afterLines="30"/>
        <w:ind w:firstLine="480"/>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8.2 供应商应合理安排磋商文件获取时间，特别是网络速度慢的地区防止在系统关闭前网络拥堵无法操作。如果因计算机及网络故障造成无法完成磋商文件获取，责任自负。</w:t>
      </w:r>
      <w:bookmarkEnd w:id="2"/>
      <w:r>
        <w:rPr>
          <w:rFonts w:hint="eastAsia" w:asciiTheme="majorEastAsia" w:hAnsiTheme="majorEastAsia" w:eastAsiaTheme="majorEastAsia" w:cstheme="majorEastAsia"/>
          <w:color w:val="000000" w:themeColor="text1"/>
          <w:szCs w:val="24"/>
          <w:highlight w:val="none"/>
          <w14:textFill>
            <w14:solidFill>
              <w14:schemeClr w14:val="tx1"/>
            </w14:solidFill>
          </w14:textFill>
        </w:rPr>
        <w:br w:type="page"/>
      </w:r>
    </w:p>
    <w:p w14:paraId="2C65B0F9">
      <w:pPr>
        <w:ind w:firstLine="562"/>
        <w:jc w:val="center"/>
        <w:outlineLvl w:val="1"/>
        <w:rPr>
          <w:rFonts w:asciiTheme="minorEastAsia" w:hAnsiTheme="minorEastAsia" w:eastAsiaTheme="minorEastAsia"/>
          <w:b/>
          <w:color w:val="000000" w:themeColor="text1"/>
          <w:sz w:val="28"/>
          <w:highlight w:val="none"/>
          <w14:textFill>
            <w14:solidFill>
              <w14:schemeClr w14:val="tx1"/>
            </w14:solidFill>
          </w14:textFill>
        </w:rPr>
      </w:pPr>
      <w:bookmarkStart w:id="4" w:name="_Toc192058171"/>
      <w:r>
        <w:rPr>
          <w:rFonts w:hint="eastAsia" w:asciiTheme="minorEastAsia" w:hAnsiTheme="minorEastAsia" w:eastAsiaTheme="minorEastAsia"/>
          <w:b/>
          <w:color w:val="000000" w:themeColor="text1"/>
          <w:sz w:val="28"/>
          <w:highlight w:val="none"/>
          <w14:textFill>
            <w14:solidFill>
              <w14:schemeClr w14:val="tx1"/>
            </w14:solidFill>
          </w14:textFill>
        </w:rPr>
        <w:t>第二章</w:t>
      </w:r>
      <w:r>
        <w:rPr>
          <w:rFonts w:asciiTheme="minorEastAsia" w:hAnsiTheme="minorEastAsia" w:eastAsiaTheme="minorEastAsia"/>
          <w:b/>
          <w:color w:val="000000" w:themeColor="text1"/>
          <w:sz w:val="28"/>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8"/>
          <w:highlight w:val="none"/>
          <w14:textFill>
            <w14:solidFill>
              <w14:schemeClr w14:val="tx1"/>
            </w14:solidFill>
          </w14:textFill>
        </w:rPr>
        <w:t xml:space="preserve"> 供应商</w:t>
      </w:r>
      <w:r>
        <w:rPr>
          <w:rFonts w:asciiTheme="minorEastAsia" w:hAnsiTheme="minorEastAsia" w:eastAsiaTheme="minorEastAsia"/>
          <w:b/>
          <w:color w:val="000000" w:themeColor="text1"/>
          <w:sz w:val="28"/>
          <w:highlight w:val="none"/>
          <w14:textFill>
            <w14:solidFill>
              <w14:schemeClr w14:val="tx1"/>
            </w14:solidFill>
          </w14:textFill>
        </w:rPr>
        <w:t>须知</w:t>
      </w:r>
      <w:bookmarkEnd w:id="4"/>
    </w:p>
    <w:p w14:paraId="31CDDFA0">
      <w:pPr>
        <w:ind w:firstLine="482"/>
        <w:jc w:val="center"/>
        <w:outlineLvl w:val="2"/>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供应商</w:t>
      </w:r>
      <w:r>
        <w:rPr>
          <w:rFonts w:asciiTheme="minorEastAsia" w:hAnsiTheme="minorEastAsia" w:eastAsiaTheme="minorEastAsia"/>
          <w:b/>
          <w:color w:val="000000" w:themeColor="text1"/>
          <w:highlight w:val="none"/>
          <w14:textFill>
            <w14:solidFill>
              <w14:schemeClr w14:val="tx1"/>
            </w14:solidFill>
          </w14:textFill>
        </w:rPr>
        <w:t>须</w:t>
      </w:r>
      <w:r>
        <w:rPr>
          <w:rFonts w:hint="eastAsia" w:asciiTheme="minorEastAsia" w:hAnsiTheme="minorEastAsia" w:eastAsiaTheme="minorEastAsia"/>
          <w:b/>
          <w:color w:val="000000" w:themeColor="text1"/>
          <w:highlight w:val="none"/>
          <w14:textFill>
            <w14:solidFill>
              <w14:schemeClr w14:val="tx1"/>
            </w14:solidFill>
          </w14:textFill>
        </w:rPr>
        <w:t>知前附表</w:t>
      </w:r>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1333"/>
        <w:gridCol w:w="6176"/>
      </w:tblGrid>
      <w:tr w14:paraId="4208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FAB7353">
            <w:pPr>
              <w:pStyle w:val="73"/>
              <w:keepNext w:val="0"/>
              <w:keepLines w:val="0"/>
              <w:suppressLineNumbers w:val="0"/>
              <w:spacing w:before="0" w:beforeAutospacing="0" w:after="0" w:afterAutospacing="0"/>
              <w:ind w:left="0" w:right="0"/>
              <w:rPr>
                <w:rFonts w:hint="default"/>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条款号</w:t>
            </w:r>
          </w:p>
        </w:tc>
        <w:tc>
          <w:tcPr>
            <w:tcW w:w="782" w:type="pct"/>
            <w:vAlign w:val="center"/>
          </w:tcPr>
          <w:p w14:paraId="0BF99812">
            <w:pPr>
              <w:pStyle w:val="73"/>
              <w:keepNext w:val="0"/>
              <w:keepLines w:val="0"/>
              <w:suppressLineNumbers w:val="0"/>
              <w:spacing w:before="0" w:beforeAutospacing="0" w:after="0" w:afterAutospacing="0"/>
              <w:ind w:left="0" w:right="0"/>
              <w:rPr>
                <w:rFonts w:hint="default"/>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条款名称</w:t>
            </w:r>
          </w:p>
        </w:tc>
        <w:tc>
          <w:tcPr>
            <w:tcW w:w="3623" w:type="pct"/>
            <w:vAlign w:val="center"/>
          </w:tcPr>
          <w:p w14:paraId="2C8BC91C">
            <w:pPr>
              <w:pStyle w:val="73"/>
              <w:keepNext w:val="0"/>
              <w:keepLines w:val="0"/>
              <w:suppressLineNumbers w:val="0"/>
              <w:spacing w:before="0" w:beforeAutospacing="0" w:after="0" w:afterAutospacing="0"/>
              <w:ind w:left="0" w:right="0"/>
              <w:rPr>
                <w:rFonts w:hint="default"/>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内容、说明与要求</w:t>
            </w:r>
          </w:p>
        </w:tc>
      </w:tr>
      <w:tr w14:paraId="7A82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66FB541">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82" w:type="pct"/>
            <w:vAlign w:val="center"/>
          </w:tcPr>
          <w:p w14:paraId="03C2AAF8">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服务地点</w:t>
            </w:r>
          </w:p>
        </w:tc>
        <w:tc>
          <w:tcPr>
            <w:tcW w:w="3623" w:type="pct"/>
            <w:vAlign w:val="center"/>
          </w:tcPr>
          <w:p w14:paraId="7F790C67">
            <w:pPr>
              <w:pStyle w:val="73"/>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肥西县</w:t>
            </w:r>
          </w:p>
        </w:tc>
      </w:tr>
      <w:tr w14:paraId="500E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B2D92E3">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782" w:type="pct"/>
            <w:vAlign w:val="center"/>
          </w:tcPr>
          <w:p w14:paraId="3AD8FA48">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服务期限</w:t>
            </w:r>
          </w:p>
        </w:tc>
        <w:tc>
          <w:tcPr>
            <w:tcW w:w="3623" w:type="pct"/>
            <w:vAlign w:val="center"/>
          </w:tcPr>
          <w:p w14:paraId="537A603A">
            <w:pPr>
              <w:pStyle w:val="100"/>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ascii="宋体" w:hAnsi="宋体" w:eastAsia="宋体" w:cs="宋体"/>
                <w:b w:val="0"/>
                <w:bCs/>
                <w:color w:val="auto"/>
                <w:sz w:val="24"/>
                <w:szCs w:val="24"/>
                <w:highlight w:val="none"/>
                <w:lang w:val="en-US" w:eastAsia="zh-CN"/>
              </w:rPr>
              <w:t>本项目服务期一年，合同生效后一年内按采购人要求分批供货，每批产品接采购人通知后，按采购人要求在3个日历日内完成供货。若一年期满后，在年度预算能够保障的前提下，若各项服务均能满足采购人需求，并经考核合格后，可续签两年合同，合同一年一签，成交费率及产品结算单价保持不变。</w:t>
            </w:r>
          </w:p>
        </w:tc>
      </w:tr>
      <w:tr w14:paraId="210F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42CB92D">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782" w:type="pct"/>
            <w:vAlign w:val="center"/>
          </w:tcPr>
          <w:p w14:paraId="5106F01F">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现场踏勘</w:t>
            </w:r>
          </w:p>
        </w:tc>
        <w:tc>
          <w:tcPr>
            <w:tcW w:w="3623" w:type="pct"/>
            <w:vAlign w:val="center"/>
          </w:tcPr>
          <w:p w14:paraId="52CE0BCE">
            <w:pPr>
              <w:keepNext w:val="0"/>
              <w:keepLines w:val="0"/>
              <w:suppressLineNumbers w:val="0"/>
              <w:spacing w:before="0" w:beforeAutospacing="0" w:after="0" w:afterAutospacing="0"/>
              <w:ind w:left="0" w:right="0" w:firstLine="0" w:firstLineChars="0"/>
              <w:rPr>
                <w:rFonts w:hint="default" w:cs="宋体"/>
                <w:b/>
                <w:bCs/>
                <w:color w:val="000000" w:themeColor="text1"/>
                <w:kern w:val="2"/>
                <w:szCs w:val="24"/>
                <w:highlight w:val="none"/>
                <w14:textFill>
                  <w14:solidFill>
                    <w14:schemeClr w14:val="tx1"/>
                  </w14:solidFill>
                </w14:textFill>
              </w:rPr>
            </w:pPr>
            <w:r>
              <w:rPr>
                <w:rFonts w:hint="eastAsia" w:cs="宋体"/>
                <w:b/>
                <w:bCs/>
                <w:color w:val="000000" w:themeColor="text1"/>
                <w:kern w:val="2"/>
                <w:szCs w:val="24"/>
                <w:highlight w:val="none"/>
                <w:lang w:eastAsia="zh-CN"/>
                <w14:textFill>
                  <w14:solidFill>
                    <w14:schemeClr w14:val="tx1"/>
                  </w14:solidFill>
                </w14:textFill>
              </w:rPr>
              <w:t>☑</w:t>
            </w:r>
            <w:r>
              <w:rPr>
                <w:rFonts w:hint="eastAsia" w:cs="宋体"/>
                <w:b/>
                <w:bCs/>
                <w:color w:val="000000" w:themeColor="text1"/>
                <w:kern w:val="2"/>
                <w:szCs w:val="24"/>
                <w:highlight w:val="none"/>
                <w14:textFill>
                  <w14:solidFill>
                    <w14:schemeClr w14:val="tx1"/>
                  </w14:solidFill>
                </w14:textFill>
              </w:rPr>
              <w:t>自行踏勘</w:t>
            </w:r>
          </w:p>
          <w:p w14:paraId="6684699C">
            <w:pPr>
              <w:keepNext w:val="0"/>
              <w:keepLines w:val="0"/>
              <w:suppressLineNumbers w:val="0"/>
              <w:spacing w:before="0" w:beforeAutospacing="0" w:after="0" w:afterAutospacing="0"/>
              <w:ind w:left="0" w:right="0" w:firstLine="0" w:firstLineChars="0"/>
              <w:rPr>
                <w:rFonts w:hint="default" w:cs="宋体"/>
                <w:bCs/>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w:t>
            </w:r>
            <w:r>
              <w:rPr>
                <w:rFonts w:hint="eastAsia" w:cs="宋体"/>
                <w:bCs/>
                <w:color w:val="000000" w:themeColor="text1"/>
                <w:kern w:val="2"/>
                <w:szCs w:val="24"/>
                <w:highlight w:val="none"/>
                <w14:textFill>
                  <w14:solidFill>
                    <w14:schemeClr w14:val="tx1"/>
                  </w14:solidFill>
                </w14:textFill>
              </w:rPr>
              <w:t>集中组织</w:t>
            </w:r>
          </w:p>
          <w:p w14:paraId="0A18A7E1">
            <w:pPr>
              <w:keepNext w:val="0"/>
              <w:keepLines w:val="0"/>
              <w:suppressLineNumbers w:val="0"/>
              <w:spacing w:before="0" w:beforeAutospacing="0" w:after="0" w:afterAutospacing="0"/>
              <w:ind w:left="0" w:right="0" w:firstLine="0" w:firstLineChars="0"/>
              <w:rPr>
                <w:rFonts w:hint="default" w:cs="宋体"/>
                <w:bCs/>
                <w:color w:val="000000" w:themeColor="text1"/>
                <w:kern w:val="2"/>
                <w:szCs w:val="24"/>
                <w:highlight w:val="none"/>
                <w:u w:val="singl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时间：</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年</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月</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日</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时</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分</w:t>
            </w:r>
          </w:p>
          <w:p w14:paraId="75A3A136">
            <w:pPr>
              <w:keepNext w:val="0"/>
              <w:keepLines w:val="0"/>
              <w:suppressLineNumbers w:val="0"/>
              <w:spacing w:before="0" w:beforeAutospacing="0" w:after="0" w:afterAutospacing="0"/>
              <w:ind w:left="0" w:right="0" w:firstLine="0" w:firstLineChars="0"/>
              <w:rPr>
                <w:rFonts w:hint="default" w:cs="宋体"/>
                <w:bCs/>
                <w:color w:val="000000" w:themeColor="text1"/>
                <w:kern w:val="2"/>
                <w:szCs w:val="24"/>
                <w:highlight w:val="none"/>
                <w:u w:val="singl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现场踏勘联系人及联系电话：</w:t>
            </w:r>
            <w:r>
              <w:rPr>
                <w:rFonts w:hint="eastAsia" w:cs="宋体"/>
                <w:bCs/>
                <w:color w:val="000000" w:themeColor="text1"/>
                <w:kern w:val="2"/>
                <w:szCs w:val="24"/>
                <w:highlight w:val="none"/>
                <w:u w:val="single"/>
                <w14:textFill>
                  <w14:solidFill>
                    <w14:schemeClr w14:val="tx1"/>
                  </w14:solidFill>
                </w14:textFill>
              </w:rPr>
              <w:t xml:space="preserve">           </w:t>
            </w:r>
          </w:p>
          <w:p w14:paraId="72DADD71">
            <w:pPr>
              <w:pStyle w:val="73"/>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备注：如供应商未参加业主单位统一组织的现场踏勘，视同放弃现场踏勘，由此引起的一切责任由供应商自行承担。</w:t>
            </w:r>
          </w:p>
        </w:tc>
      </w:tr>
      <w:tr w14:paraId="05A3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3" w:type="dxa"/>
            <w:vAlign w:val="center"/>
          </w:tcPr>
          <w:p w14:paraId="06BFA5F2">
            <w:pPr>
              <w:pStyle w:val="74"/>
              <w:keepNext w:val="0"/>
              <w:keepLines w:val="0"/>
              <w:suppressLineNumbers w:val="0"/>
              <w:tabs>
                <w:tab w:val="center" w:pos="4153"/>
                <w:tab w:val="right" w:pos="8306"/>
              </w:tabs>
              <w:spacing w:before="0" w:beforeAutospacing="0" w:after="0" w:afterAutospacing="0"/>
              <w:ind w:left="0" w:leftChars="0" w:right="0" w:rightChars="0"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1333" w:type="dxa"/>
            <w:vAlign w:val="center"/>
          </w:tcPr>
          <w:p w14:paraId="44F77BE5">
            <w:pPr>
              <w:pStyle w:val="73"/>
              <w:keepNext w:val="0"/>
              <w:keepLines w:val="0"/>
              <w:widowControl w:val="0"/>
              <w:suppressLineNumbers w:val="0"/>
              <w:spacing w:before="0" w:beforeAutospacing="0" w:after="0" w:afterAutospacing="0"/>
              <w:ind w:left="0" w:leftChars="0" w:right="0" w:rightChars="0" w:firstLine="0" w:firstLineChars="0"/>
              <w:jc w:val="left"/>
              <w:rPr>
                <w:rFonts w:hint="eastAsia"/>
                <w:color w:val="000000" w:themeColor="text1"/>
                <w:highlight w:val="none"/>
                <w14:textFill>
                  <w14:solidFill>
                    <w14:schemeClr w14:val="tx1"/>
                  </w14:solidFill>
                </w14:textFill>
              </w:rPr>
            </w:pPr>
            <w:r>
              <w:rPr>
                <w:rFonts w:hint="eastAsia" w:ascii="宋体" w:hAnsi="宋体" w:eastAsia="宋体"/>
                <w:b w:val="0"/>
                <w:sz w:val="24"/>
                <w:highlight w:val="none"/>
                <w:lang w:val="en-US" w:eastAsia="zh-CN"/>
              </w:rPr>
              <w:t>包别</w:t>
            </w:r>
            <w:r>
              <w:rPr>
                <w:rFonts w:hint="eastAsia" w:ascii="宋体" w:hAnsi="宋体" w:eastAsia="宋体"/>
                <w:b w:val="0"/>
                <w:sz w:val="24"/>
                <w:highlight w:val="none"/>
              </w:rPr>
              <w:t>划分</w:t>
            </w:r>
          </w:p>
        </w:tc>
        <w:tc>
          <w:tcPr>
            <w:tcW w:w="6176" w:type="dxa"/>
            <w:vAlign w:val="center"/>
          </w:tcPr>
          <w:p w14:paraId="3E2FD4A0">
            <w:pPr>
              <w:pStyle w:val="73"/>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sz w:val="24"/>
              </w:rPr>
            </w:pPr>
            <w:r>
              <w:rPr>
                <w:rFonts w:hint="eastAsia" w:ascii="宋体" w:hAnsi="宋体" w:eastAsia="宋体" w:cs="宋体"/>
                <w:b w:val="0"/>
                <w:bCs w:val="0"/>
                <w:sz w:val="24"/>
                <w:szCs w:val="24"/>
                <w:lang w:eastAsia="zh-CN"/>
              </w:rPr>
              <w:t>□</w:t>
            </w:r>
            <w:r>
              <w:rPr>
                <w:rFonts w:hint="eastAsia" w:ascii="宋体" w:hAnsi="宋体" w:eastAsia="宋体" w:cs="宋体"/>
                <w:b w:val="0"/>
                <w:sz w:val="24"/>
              </w:rPr>
              <w:t xml:space="preserve">不分包     </w:t>
            </w:r>
            <w:r>
              <w:rPr>
                <w:rFonts w:hint="eastAsia" w:ascii="宋体" w:hAnsi="宋体" w:eastAsia="宋体" w:cs="宋体"/>
                <w:b w:val="0"/>
                <w:sz w:val="24"/>
                <w:lang w:eastAsia="zh-CN"/>
              </w:rPr>
              <w:t>☑</w:t>
            </w:r>
            <w:r>
              <w:rPr>
                <w:rFonts w:hint="eastAsia" w:ascii="宋体" w:hAnsi="宋体" w:eastAsia="宋体" w:cs="宋体"/>
                <w:b w:val="0"/>
                <w:sz w:val="24"/>
              </w:rPr>
              <w:t xml:space="preserve">分为 </w:t>
            </w:r>
            <w:r>
              <w:rPr>
                <w:rFonts w:hint="eastAsia" w:cs="宋体"/>
                <w:b w:val="0"/>
                <w:sz w:val="24"/>
                <w:lang w:val="en-US" w:eastAsia="zh-CN"/>
              </w:rPr>
              <w:t>2</w:t>
            </w:r>
            <w:r>
              <w:rPr>
                <w:rFonts w:hint="eastAsia" w:ascii="宋体" w:hAnsi="宋体" w:eastAsia="宋体" w:cs="宋体"/>
                <w:b w:val="0"/>
                <w:sz w:val="24"/>
              </w:rPr>
              <w:t xml:space="preserve"> 个包</w:t>
            </w:r>
          </w:p>
          <w:p w14:paraId="0A3133FD">
            <w:pPr>
              <w:pStyle w:val="73"/>
              <w:keepNext w:val="0"/>
              <w:keepLines w:val="0"/>
              <w:widowControl w:val="0"/>
              <w:suppressLineNumbers w:val="0"/>
              <w:spacing w:before="0" w:beforeAutospacing="0" w:after="0" w:afterAutospacing="0" w:line="360" w:lineRule="auto"/>
              <w:ind w:left="0" w:leftChars="0" w:right="0" w:rightChars="0" w:firstLine="0" w:firstLineChars="0"/>
              <w:jc w:val="both"/>
              <w:rPr>
                <w:rFonts w:hint="eastAsia"/>
                <w:color w:val="000000" w:themeColor="text1"/>
                <w:highlight w:val="none"/>
                <w14:textFill>
                  <w14:solidFill>
                    <w14:schemeClr w14:val="tx1"/>
                  </w14:solidFill>
                </w14:textFill>
              </w:rPr>
            </w:pPr>
            <w:r>
              <w:rPr>
                <w:rFonts w:hint="eastAsia" w:ascii="宋体" w:hAnsi="宋体" w:eastAsia="宋体" w:cs="宋体"/>
                <w:b w:val="0"/>
                <w:bCs w:val="0"/>
                <w:sz w:val="24"/>
                <w:szCs w:val="24"/>
              </w:rPr>
              <w:t>供应商参加多个包磋商的成交包数规定：</w:t>
            </w:r>
            <w:r>
              <w:rPr>
                <w:rFonts w:hint="eastAsia" w:ascii="宋体" w:hAnsi="宋体" w:eastAsia="宋体" w:cs="宋体"/>
                <w:b w:val="0"/>
                <w:bCs w:val="0"/>
                <w:sz w:val="24"/>
                <w:szCs w:val="18"/>
                <w:u w:val="single"/>
                <w:lang w:eastAsia="zh-CN"/>
              </w:rPr>
              <w:t>投标供应商</w:t>
            </w:r>
            <w:r>
              <w:rPr>
                <w:rFonts w:hint="eastAsia" w:ascii="宋体" w:hAnsi="宋体" w:eastAsia="宋体" w:cs="宋体"/>
                <w:b w:val="0"/>
                <w:bCs w:val="0"/>
                <w:sz w:val="24"/>
                <w:szCs w:val="18"/>
                <w:u w:val="single"/>
              </w:rPr>
              <w:t>可同时投本项目</w:t>
            </w:r>
            <w:r>
              <w:rPr>
                <w:rFonts w:hint="eastAsia" w:cs="宋体"/>
                <w:b w:val="0"/>
                <w:bCs w:val="0"/>
                <w:sz w:val="24"/>
                <w:szCs w:val="18"/>
                <w:u w:val="single"/>
                <w:lang w:val="en-US" w:eastAsia="zh-CN"/>
              </w:rPr>
              <w:t>2</w:t>
            </w:r>
            <w:r>
              <w:rPr>
                <w:rFonts w:hint="eastAsia" w:ascii="宋体" w:hAnsi="宋体" w:eastAsia="宋体" w:cs="宋体"/>
                <w:b w:val="0"/>
                <w:bCs w:val="0"/>
                <w:sz w:val="24"/>
                <w:szCs w:val="18"/>
                <w:u w:val="single"/>
              </w:rPr>
              <w:t>个包别，最多只能中</w:t>
            </w:r>
            <w:r>
              <w:rPr>
                <w:rFonts w:hint="eastAsia" w:cs="宋体"/>
                <w:b w:val="0"/>
                <w:bCs w:val="0"/>
                <w:sz w:val="24"/>
                <w:szCs w:val="18"/>
                <w:u w:val="single"/>
                <w:lang w:val="en-US" w:eastAsia="zh-CN"/>
              </w:rPr>
              <w:t>1</w:t>
            </w:r>
            <w:r>
              <w:rPr>
                <w:rFonts w:hint="eastAsia" w:ascii="宋体" w:hAnsi="宋体" w:eastAsia="宋体" w:cs="宋体"/>
                <w:b w:val="0"/>
                <w:bCs w:val="0"/>
                <w:sz w:val="24"/>
                <w:szCs w:val="18"/>
                <w:u w:val="single"/>
              </w:rPr>
              <w:t>个包。评审时按照第1包到第2包的顺序进行评审，如某</w:t>
            </w:r>
            <w:r>
              <w:rPr>
                <w:rFonts w:hint="eastAsia" w:ascii="宋体" w:hAnsi="宋体" w:eastAsia="宋体" w:cs="宋体"/>
                <w:b w:val="0"/>
                <w:bCs w:val="0"/>
                <w:sz w:val="24"/>
                <w:szCs w:val="18"/>
                <w:u w:val="single"/>
                <w:lang w:eastAsia="zh-CN"/>
              </w:rPr>
              <w:t>投标供应商</w:t>
            </w:r>
            <w:r>
              <w:rPr>
                <w:rFonts w:hint="eastAsia" w:ascii="宋体" w:hAnsi="宋体" w:eastAsia="宋体" w:cs="宋体"/>
                <w:b w:val="0"/>
                <w:bCs w:val="0"/>
                <w:sz w:val="24"/>
                <w:szCs w:val="18"/>
                <w:u w:val="single"/>
              </w:rPr>
              <w:t>在某个包别中取得中标资格，则在其他包别中通过</w:t>
            </w:r>
            <w:r>
              <w:rPr>
                <w:rFonts w:hint="eastAsia" w:ascii="宋体" w:hAnsi="宋体" w:eastAsia="宋体" w:cs="宋体"/>
                <w:b w:val="0"/>
                <w:bCs w:val="0"/>
                <w:sz w:val="24"/>
                <w:szCs w:val="18"/>
                <w:u w:val="single"/>
                <w:lang w:eastAsia="zh-CN"/>
              </w:rPr>
              <w:t>初审</w:t>
            </w:r>
            <w:r>
              <w:rPr>
                <w:rFonts w:hint="eastAsia" w:ascii="宋体" w:hAnsi="宋体" w:eastAsia="宋体" w:cs="宋体"/>
                <w:b w:val="0"/>
                <w:bCs w:val="0"/>
                <w:sz w:val="24"/>
                <w:szCs w:val="18"/>
                <w:u w:val="single"/>
              </w:rPr>
              <w:t>后，仅作为有效</w:t>
            </w:r>
            <w:r>
              <w:rPr>
                <w:rFonts w:hint="eastAsia" w:ascii="宋体" w:hAnsi="宋体" w:eastAsia="宋体" w:cs="宋体"/>
                <w:b w:val="0"/>
                <w:bCs w:val="0"/>
                <w:sz w:val="24"/>
                <w:szCs w:val="18"/>
                <w:u w:val="single"/>
                <w:lang w:eastAsia="zh-CN"/>
              </w:rPr>
              <w:t>投标供应商</w:t>
            </w:r>
            <w:r>
              <w:rPr>
                <w:rFonts w:hint="eastAsia" w:ascii="宋体" w:hAnsi="宋体" w:eastAsia="宋体" w:cs="宋体"/>
                <w:b w:val="0"/>
                <w:bCs w:val="0"/>
                <w:sz w:val="24"/>
                <w:szCs w:val="18"/>
                <w:u w:val="single"/>
              </w:rPr>
              <w:t>，不再具有中标资格且不参与中标候选排名</w:t>
            </w:r>
            <w:r>
              <w:rPr>
                <w:rFonts w:hint="eastAsia" w:ascii="宋体" w:hAnsi="宋体" w:eastAsia="宋体" w:cs="宋体"/>
                <w:b w:val="0"/>
                <w:bCs w:val="0"/>
                <w:sz w:val="24"/>
                <w:szCs w:val="18"/>
                <w:u w:val="single"/>
                <w:lang w:eastAsia="zh-CN"/>
              </w:rPr>
              <w:t>。如某包因成交供应商放弃成交资格、质疑或投诉等原因导致评审结果变更的，不影响其他包评审结果。</w:t>
            </w:r>
          </w:p>
        </w:tc>
      </w:tr>
      <w:tr w14:paraId="1604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05F69F5">
            <w:pPr>
              <w:pStyle w:val="74"/>
              <w:keepNext w:val="0"/>
              <w:keepLines w:val="0"/>
              <w:suppressLineNumbers w:val="0"/>
              <w:spacing w:before="0" w:beforeAutospacing="0" w:after="0" w:afterAutospacing="0"/>
              <w:ind w:left="0" w:right="0"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782" w:type="pct"/>
            <w:vAlign w:val="center"/>
          </w:tcPr>
          <w:p w14:paraId="4B10F82F">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关于联合体参加磋商的相关约定（如允许联合体）</w:t>
            </w:r>
          </w:p>
        </w:tc>
        <w:tc>
          <w:tcPr>
            <w:tcW w:w="3623" w:type="pct"/>
            <w:vAlign w:val="center"/>
          </w:tcPr>
          <w:p w14:paraId="6D938928">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（1）联合体参加磋商的，磋商文件获取信息填写，由联合体中任一成员单位完成均可。</w:t>
            </w:r>
          </w:p>
          <w:p w14:paraId="4A2D3383">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（2）联合体参加磋商的须提供联合协议（见响应文件格式），相关证明材料由供应商根据联合协议分工情况及磋商文件要求提供。</w:t>
            </w:r>
          </w:p>
          <w:p w14:paraId="14D17912">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r>
      <w:tr w14:paraId="4641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C5FD300">
            <w:pPr>
              <w:pStyle w:val="74"/>
              <w:keepNext w:val="0"/>
              <w:keepLines w:val="0"/>
              <w:suppressLineNumbers w:val="0"/>
              <w:spacing w:before="0" w:beforeAutospacing="0" w:after="0" w:afterAutospacing="0"/>
              <w:ind w:left="0" w:right="0"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782" w:type="pct"/>
            <w:vAlign w:val="center"/>
          </w:tcPr>
          <w:p w14:paraId="441D9322">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初审业绩要求（如有）</w:t>
            </w:r>
          </w:p>
        </w:tc>
        <w:tc>
          <w:tcPr>
            <w:tcW w:w="3623" w:type="pct"/>
            <w:vAlign w:val="center"/>
          </w:tcPr>
          <w:p w14:paraId="298A1836">
            <w:pPr>
              <w:keepNext w:val="0"/>
              <w:keepLines w:val="0"/>
              <w:suppressLineNumbers w:val="0"/>
              <w:spacing w:before="0" w:beforeAutospacing="0" w:after="0" w:afterAutospacing="0"/>
              <w:ind w:left="0" w:right="0" w:firstLine="0" w:firstLineChars="0"/>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供应商应按下列规定提供业绩证明资料：</w:t>
            </w:r>
          </w:p>
          <w:p w14:paraId="64F86FF3">
            <w:pPr>
              <w:keepNext w:val="0"/>
              <w:keepLines w:val="0"/>
              <w:suppressLineNumbers w:val="0"/>
              <w:spacing w:before="0" w:beforeAutospacing="0" w:after="0" w:afterAutospacing="0"/>
              <w:ind w:left="0" w:right="0" w:firstLine="0" w:firstLineChars="0"/>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□已完成的业绩：响应文件中须同时提供以下业绩证明材料：</w:t>
            </w:r>
          </w:p>
          <w:p w14:paraId="2BCCA864">
            <w:pPr>
              <w:keepNext w:val="0"/>
              <w:keepLines w:val="0"/>
              <w:suppressLineNumbers w:val="0"/>
              <w:spacing w:before="0" w:beforeAutospacing="0" w:after="0" w:afterAutospacing="0"/>
              <w:ind w:left="0" w:right="0" w:firstLine="0" w:firstLineChars="0"/>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（1）业绩合同扫描件；</w:t>
            </w:r>
          </w:p>
          <w:p w14:paraId="021FEEE6">
            <w:pPr>
              <w:keepNext w:val="0"/>
              <w:keepLines w:val="0"/>
              <w:suppressLineNumbers w:val="0"/>
              <w:spacing w:before="0" w:beforeAutospacing="0" w:after="0" w:afterAutospacing="0"/>
              <w:ind w:left="0" w:right="0" w:firstLine="0" w:firstLineChars="0"/>
              <w:rPr>
                <w:rFonts w:hint="default"/>
                <w:color w:val="000000" w:themeColor="text1"/>
                <w:szCs w:val="20"/>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（2）与该业绩对应的项目已完成的证明材料（如验收报告或业主（或合同甲方）证明）。</w:t>
            </w:r>
          </w:p>
          <w:p w14:paraId="674B375B">
            <w:pPr>
              <w:keepNext w:val="0"/>
              <w:keepLines w:val="0"/>
              <w:suppressLineNumbers w:val="0"/>
              <w:spacing w:before="0" w:beforeAutospacing="0" w:after="0" w:afterAutospacing="0"/>
              <w:ind w:left="0" w:right="0" w:firstLine="0" w:firstLineChars="0"/>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□正在履约或已完成的业绩：响应文件中须同时提供以下业绩证明材料：</w:t>
            </w:r>
          </w:p>
          <w:p w14:paraId="1E866A10">
            <w:pPr>
              <w:keepNext w:val="0"/>
              <w:keepLines w:val="0"/>
              <w:suppressLineNumbers w:val="0"/>
              <w:spacing w:before="0" w:beforeAutospacing="0" w:after="0" w:afterAutospacing="0"/>
              <w:ind w:left="0" w:right="0" w:firstLine="0" w:firstLineChars="0"/>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（1）业绩合同扫描件；</w:t>
            </w:r>
          </w:p>
          <w:p w14:paraId="23FB5B36">
            <w:pPr>
              <w:keepNext w:val="0"/>
              <w:keepLines w:val="0"/>
              <w:suppressLineNumbers w:val="0"/>
              <w:spacing w:before="0" w:beforeAutospacing="0" w:after="0" w:afterAutospacing="0"/>
              <w:ind w:left="0" w:right="0" w:firstLine="0" w:firstLineChars="0"/>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（2）与该业绩对应的项目正在履约或已完成的证明材料（如验收报告或业主（或合同甲方）证明）。</w:t>
            </w:r>
          </w:p>
          <w:p w14:paraId="75A6BA10">
            <w:pPr>
              <w:keepNext w:val="0"/>
              <w:keepLines w:val="0"/>
              <w:suppressLineNumbers w:val="0"/>
              <w:spacing w:before="0" w:beforeAutospacing="0" w:after="0" w:afterAutospacing="0"/>
              <w:ind w:left="0" w:right="0" w:firstLine="0" w:firstLineChars="0"/>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已签订合同但尚未实施的业绩不予认可。即截至磋商时间，项目如存在目前尚未开始履约、人员进场但尚未实质性开展、处于暂停等情况的，该业绩不予认可。</w:t>
            </w:r>
          </w:p>
          <w:p w14:paraId="7B192BF1">
            <w:pPr>
              <w:keepNext w:val="0"/>
              <w:keepLines w:val="0"/>
              <w:suppressLineNumbers w:val="0"/>
              <w:spacing w:before="0" w:beforeAutospacing="0" w:after="0" w:afterAutospacing="0"/>
              <w:ind w:left="0" w:right="0" w:firstLine="0" w:firstLineChars="0"/>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注：（1）正在履约或已完成的证明材料须加盖项目业主单位或合同甲方公章(证明材料已有项目业主单位或合同甲方公章的除外)，否则评审委员会不予认可。</w:t>
            </w:r>
          </w:p>
          <w:p w14:paraId="4DB974C4">
            <w:pPr>
              <w:keepNext w:val="0"/>
              <w:keepLines w:val="0"/>
              <w:suppressLineNumbers w:val="0"/>
              <w:spacing w:before="0" w:beforeAutospacing="0" w:after="0" w:afterAutospacing="0"/>
              <w:ind w:left="0" w:right="0" w:firstLine="0" w:firstLineChars="0"/>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（2）如果业绩合同和项目已完成（或正在履约）的证明材料中的合同金额、建筑面积等合同要素不一致的，以项目已完成（或正在履约）的证明材料为准。</w:t>
            </w:r>
          </w:p>
          <w:p w14:paraId="4CAB5956">
            <w:pPr>
              <w:keepNext w:val="0"/>
              <w:keepLines w:val="0"/>
              <w:suppressLineNumbers w:val="0"/>
              <w:spacing w:before="0" w:beforeAutospacing="0" w:after="0" w:afterAutospacing="0"/>
              <w:ind w:left="0" w:right="0" w:firstLine="0" w:firstLineChars="0"/>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以上涉及到的证明资料信息应完整或能充分反映评审因素。如未能明确反映评审因素的（如合同总金额、面积等），应另附业主（或合同甲方）证明材料予以明确说明，须加盖项目业主单位或合同甲方公章，否则评审委员会不予认可。</w:t>
            </w:r>
          </w:p>
        </w:tc>
      </w:tr>
      <w:tr w14:paraId="6913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5C31A5E">
            <w:pPr>
              <w:pStyle w:val="74"/>
              <w:keepNext w:val="0"/>
              <w:keepLines w:val="0"/>
              <w:suppressLineNumbers w:val="0"/>
              <w:spacing w:before="0" w:beforeAutospacing="0" w:after="0" w:afterAutospacing="0"/>
              <w:ind w:left="0" w:right="0"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782" w:type="pct"/>
            <w:vAlign w:val="center"/>
          </w:tcPr>
          <w:p w14:paraId="32BCE754">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供应商提出疑问截止时间</w:t>
            </w:r>
          </w:p>
        </w:tc>
        <w:tc>
          <w:tcPr>
            <w:tcW w:w="3623" w:type="pct"/>
          </w:tcPr>
          <w:p w14:paraId="7F2FD502">
            <w:pPr>
              <w:keepNext w:val="0"/>
              <w:keepLines w:val="0"/>
              <w:suppressLineNumbers w:val="0"/>
              <w:spacing w:before="0" w:beforeAutospacing="0" w:after="0" w:afterAutospacing="0" w:line="440" w:lineRule="exact"/>
              <w:ind w:left="0" w:right="0" w:firstLine="0" w:firstLineChars="0"/>
              <w:rPr>
                <w:rFonts w:hint="default"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（1）时间：</w:t>
            </w:r>
            <w:r>
              <w:rPr>
                <w:rFonts w:hint="eastAsia" w:cs="宋体"/>
                <w:b/>
                <w:color w:val="000000" w:themeColor="text1"/>
                <w:kern w:val="2"/>
                <w:szCs w:val="24"/>
                <w:highlight w:val="none"/>
                <w:u w:val="single"/>
                <w14:textFill>
                  <w14:solidFill>
                    <w14:schemeClr w14:val="tx1"/>
                  </w14:solidFill>
                </w14:textFill>
              </w:rPr>
              <w:t>202</w:t>
            </w:r>
            <w:r>
              <w:rPr>
                <w:rFonts w:hint="eastAsia" w:cs="宋体"/>
                <w:b/>
                <w:color w:val="000000" w:themeColor="text1"/>
                <w:kern w:val="2"/>
                <w:szCs w:val="24"/>
                <w:highlight w:val="none"/>
                <w:u w:val="single"/>
                <w:lang w:val="en-US" w:eastAsia="zh-CN"/>
                <w14:textFill>
                  <w14:solidFill>
                    <w14:schemeClr w14:val="tx1"/>
                  </w14:solidFill>
                </w14:textFill>
              </w:rPr>
              <w:t>6</w:t>
            </w:r>
            <w:r>
              <w:rPr>
                <w:rFonts w:hint="eastAsia" w:cs="宋体"/>
                <w:b/>
                <w:color w:val="000000" w:themeColor="text1"/>
                <w:kern w:val="2"/>
                <w:szCs w:val="24"/>
                <w:highlight w:val="none"/>
                <w14:textFill>
                  <w14:solidFill>
                    <w14:schemeClr w14:val="tx1"/>
                  </w14:solidFill>
                </w14:textFill>
              </w:rPr>
              <w:t>年</w:t>
            </w:r>
            <w:r>
              <w:rPr>
                <w:rFonts w:hint="eastAsia" w:cs="宋体"/>
                <w:b/>
                <w:color w:val="000000" w:themeColor="text1"/>
                <w:kern w:val="2"/>
                <w:szCs w:val="24"/>
                <w:highlight w:val="none"/>
                <w:u w:val="single"/>
                <w14:textFill>
                  <w14:solidFill>
                    <w14:schemeClr w14:val="tx1"/>
                  </w14:solidFill>
                </w14:textFill>
              </w:rPr>
              <w:t xml:space="preserve"> </w:t>
            </w:r>
            <w:r>
              <w:rPr>
                <w:rFonts w:hint="eastAsia" w:cs="宋体"/>
                <w:b/>
                <w:color w:val="000000" w:themeColor="text1"/>
                <w:kern w:val="2"/>
                <w:szCs w:val="24"/>
                <w:highlight w:val="none"/>
                <w:u w:val="single"/>
                <w:lang w:val="en-US" w:eastAsia="zh-CN"/>
                <w14:textFill>
                  <w14:solidFill>
                    <w14:schemeClr w14:val="tx1"/>
                  </w14:solidFill>
                </w14:textFill>
              </w:rPr>
              <w:t xml:space="preserve">06 </w:t>
            </w:r>
            <w:r>
              <w:rPr>
                <w:rFonts w:hint="eastAsia" w:cs="宋体"/>
                <w:b/>
                <w:color w:val="000000" w:themeColor="text1"/>
                <w:kern w:val="2"/>
                <w:szCs w:val="24"/>
                <w:highlight w:val="none"/>
                <w14:textFill>
                  <w14:solidFill>
                    <w14:schemeClr w14:val="tx1"/>
                  </w14:solidFill>
                </w14:textFill>
              </w:rPr>
              <w:t>月</w:t>
            </w:r>
            <w:r>
              <w:rPr>
                <w:rFonts w:hint="eastAsia" w:cs="宋体"/>
                <w:b/>
                <w:color w:val="000000" w:themeColor="text1"/>
                <w:kern w:val="2"/>
                <w:szCs w:val="24"/>
                <w:highlight w:val="none"/>
                <w:u w:val="single"/>
                <w14:textFill>
                  <w14:solidFill>
                    <w14:schemeClr w14:val="tx1"/>
                  </w14:solidFill>
                </w14:textFill>
              </w:rPr>
              <w:t xml:space="preserve"> </w:t>
            </w:r>
            <w:r>
              <w:rPr>
                <w:rFonts w:hint="eastAsia" w:cs="宋体"/>
                <w:b/>
                <w:color w:val="000000" w:themeColor="text1"/>
                <w:kern w:val="2"/>
                <w:szCs w:val="24"/>
                <w:highlight w:val="none"/>
                <w:u w:val="single"/>
                <w:lang w:val="en-US" w:eastAsia="zh-CN"/>
                <w14:textFill>
                  <w14:solidFill>
                    <w14:schemeClr w14:val="tx1"/>
                  </w14:solidFill>
                </w14:textFill>
              </w:rPr>
              <w:t xml:space="preserve">18 </w:t>
            </w:r>
            <w:r>
              <w:rPr>
                <w:rFonts w:hint="eastAsia" w:cs="宋体"/>
                <w:b/>
                <w:color w:val="000000" w:themeColor="text1"/>
                <w:kern w:val="2"/>
                <w:szCs w:val="24"/>
                <w:highlight w:val="none"/>
                <w14:textFill>
                  <w14:solidFill>
                    <w14:schemeClr w14:val="tx1"/>
                  </w14:solidFill>
                </w14:textFill>
              </w:rPr>
              <w:t>日</w:t>
            </w:r>
            <w:r>
              <w:rPr>
                <w:rFonts w:hint="eastAsia" w:cs="宋体"/>
                <w:b/>
                <w:color w:val="000000" w:themeColor="text1"/>
                <w:kern w:val="2"/>
                <w:szCs w:val="24"/>
                <w:highlight w:val="none"/>
                <w:u w:val="single"/>
                <w14:textFill>
                  <w14:solidFill>
                    <w14:schemeClr w14:val="tx1"/>
                  </w14:solidFill>
                </w14:textFill>
              </w:rPr>
              <w:t>17</w:t>
            </w:r>
            <w:r>
              <w:rPr>
                <w:rFonts w:hint="eastAsia" w:cs="宋体"/>
                <w:b/>
                <w:color w:val="000000" w:themeColor="text1"/>
                <w:kern w:val="2"/>
                <w:szCs w:val="24"/>
                <w:highlight w:val="none"/>
                <w14:textFill>
                  <w14:solidFill>
                    <w14:schemeClr w14:val="tx1"/>
                  </w14:solidFill>
                </w14:textFill>
              </w:rPr>
              <w:t>时</w:t>
            </w:r>
            <w:r>
              <w:rPr>
                <w:rFonts w:hint="eastAsia" w:cs="宋体"/>
                <w:b/>
                <w:color w:val="000000" w:themeColor="text1"/>
                <w:kern w:val="2"/>
                <w:szCs w:val="24"/>
                <w:highlight w:val="none"/>
                <w:u w:val="single"/>
                <w14:textFill>
                  <w14:solidFill>
                    <w14:schemeClr w14:val="tx1"/>
                  </w14:solidFill>
                </w14:textFill>
              </w:rPr>
              <w:t>30</w:t>
            </w:r>
            <w:r>
              <w:rPr>
                <w:rFonts w:hint="eastAsia" w:cs="宋体"/>
                <w:b/>
                <w:color w:val="000000" w:themeColor="text1"/>
                <w:kern w:val="2"/>
                <w:szCs w:val="24"/>
                <w:highlight w:val="none"/>
                <w14:textFill>
                  <w14:solidFill>
                    <w14:schemeClr w14:val="tx1"/>
                  </w14:solidFill>
                </w14:textFill>
              </w:rPr>
              <w:t>分。</w:t>
            </w:r>
          </w:p>
          <w:p w14:paraId="02AB0516">
            <w:pPr>
              <w:keepNext w:val="0"/>
              <w:keepLines w:val="0"/>
              <w:suppressLineNumbers w:val="0"/>
              <w:spacing w:before="0" w:beforeAutospacing="0" w:after="0" w:afterAutospacing="0" w:line="440" w:lineRule="exact"/>
              <w:ind w:left="0" w:right="0" w:firstLine="0" w:firstLineChars="0"/>
              <w:rPr>
                <w:rFonts w:hint="default"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（2）形式：通过</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优质采云采购平台</w:t>
            </w:r>
            <w:r>
              <w:rPr>
                <w:rFonts w:hint="eastAsia" w:cs="宋体"/>
                <w:bCs/>
                <w:color w:val="000000" w:themeColor="text1"/>
                <w:szCs w:val="24"/>
                <w:highlight w:val="none"/>
                <w14:textFill>
                  <w14:solidFill>
                    <w14:schemeClr w14:val="tx1"/>
                  </w14:solidFill>
                </w14:textFill>
              </w:rPr>
              <w:t>提交。</w:t>
            </w:r>
          </w:p>
          <w:p w14:paraId="584A79B7">
            <w:pPr>
              <w:keepNext w:val="0"/>
              <w:keepLines w:val="0"/>
              <w:suppressLineNumbers w:val="0"/>
              <w:spacing w:before="0" w:beforeAutospacing="0" w:after="0" w:afterAutospacing="0" w:line="440" w:lineRule="exact"/>
              <w:ind w:left="0" w:right="0" w:firstLine="0" w:firstLineChars="0"/>
              <w:rPr>
                <w:rFonts w:hint="default"/>
                <w:color w:val="000000" w:themeColor="text1"/>
                <w:szCs w:val="20"/>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供应商请注意：肥西县公共资源交易有限责任公司对磋商文件进行的澄清、更正或更改，将在网站上及时发布，该公告内容为磋商文件的组成部分，对供应商具有同样约束力效力。供应商应主动上网查询。肥西县公共资源交易有限责任公司不承担供应商未及时关注相关信息引发的相关责任。</w:t>
            </w:r>
          </w:p>
        </w:tc>
      </w:tr>
      <w:tr w14:paraId="4939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BB8F81B">
            <w:pPr>
              <w:pStyle w:val="74"/>
              <w:keepNext w:val="0"/>
              <w:keepLines w:val="0"/>
              <w:suppressLineNumbers w:val="0"/>
              <w:spacing w:before="0" w:beforeAutospacing="0" w:after="0" w:afterAutospacing="0"/>
              <w:ind w:left="0" w:right="0"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782" w:type="pct"/>
            <w:vAlign w:val="center"/>
          </w:tcPr>
          <w:p w14:paraId="32118001">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构成磋商的其他材料</w:t>
            </w:r>
          </w:p>
        </w:tc>
        <w:tc>
          <w:tcPr>
            <w:tcW w:w="3623" w:type="pct"/>
            <w:vAlign w:val="center"/>
          </w:tcPr>
          <w:p w14:paraId="6BAB9A64">
            <w:pPr>
              <w:keepNext w:val="0"/>
              <w:keepLines w:val="0"/>
              <w:suppressLineNumbers w:val="0"/>
              <w:adjustRightInd w:val="0"/>
              <w:snapToGrid w:val="0"/>
              <w:spacing w:before="0" w:beforeAutospacing="0" w:after="0" w:afterAutospacing="0"/>
              <w:ind w:left="0" w:right="0" w:firstLine="0" w:firstLineChars="0"/>
              <w:jc w:val="left"/>
              <w:rPr>
                <w:rFonts w:hint="default"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sym w:font="Wingdings 2" w:char="F052"/>
            </w:r>
            <w:r>
              <w:rPr>
                <w:rFonts w:hint="eastAsia" w:asciiTheme="minorEastAsia" w:hAnsiTheme="minorEastAsia" w:eastAsiaTheme="minorEastAsia"/>
                <w:color w:val="000000" w:themeColor="text1"/>
                <w:szCs w:val="20"/>
                <w:highlight w:val="none"/>
                <w14:textFill>
                  <w14:solidFill>
                    <w14:schemeClr w14:val="tx1"/>
                  </w14:solidFill>
                </w14:textFill>
              </w:rPr>
              <w:t xml:space="preserve">无  </w:t>
            </w:r>
            <w:r>
              <w:rPr>
                <w:rFonts w:hint="eastAsia" w:cs="宋体"/>
                <w:bCs/>
                <w:color w:val="000000" w:themeColor="text1"/>
                <w:szCs w:val="24"/>
                <w:highlight w:val="none"/>
                <w14:textFill>
                  <w14:solidFill>
                    <w14:schemeClr w14:val="tx1"/>
                  </w14:solidFill>
                </w14:textFill>
              </w:rPr>
              <w:t>□图纸  □其他：</w:t>
            </w:r>
            <w:r>
              <w:rPr>
                <w:rFonts w:hint="eastAsia" w:cs="宋体"/>
                <w:bCs/>
                <w:color w:val="000000" w:themeColor="text1"/>
                <w:szCs w:val="24"/>
                <w:highlight w:val="none"/>
                <w:u w:val="single"/>
                <w14:textFill>
                  <w14:solidFill>
                    <w14:schemeClr w14:val="tx1"/>
                  </w14:solidFill>
                </w14:textFill>
              </w:rPr>
              <w:t xml:space="preserve">        </w:t>
            </w:r>
          </w:p>
          <w:p w14:paraId="2BD69471">
            <w:pPr>
              <w:keepNext w:val="0"/>
              <w:keepLines w:val="0"/>
              <w:suppressLineNumbers w:val="0"/>
              <w:adjustRightInd w:val="0"/>
              <w:snapToGrid w:val="0"/>
              <w:spacing w:before="0" w:beforeAutospacing="0" w:after="0" w:afterAutospacing="0"/>
              <w:ind w:left="0" w:right="0" w:firstLine="0" w:firstLineChars="0"/>
              <w:jc w:val="left"/>
              <w:rPr>
                <w:rFonts w:hint="default"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获得方式：</w:t>
            </w:r>
          </w:p>
          <w:p w14:paraId="4FE74B75">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上述资料请供应商在获取磋商文件后，自行登录电子交易系统下载本项目附件。</w:t>
            </w:r>
          </w:p>
        </w:tc>
      </w:tr>
      <w:tr w14:paraId="77A4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7CEA1EA">
            <w:pPr>
              <w:pStyle w:val="74"/>
              <w:keepNext w:val="0"/>
              <w:keepLines w:val="0"/>
              <w:suppressLineNumbers w:val="0"/>
              <w:spacing w:before="0" w:beforeAutospacing="0" w:after="0" w:afterAutospacing="0"/>
              <w:ind w:left="0" w:right="0"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782" w:type="pct"/>
            <w:vAlign w:val="center"/>
          </w:tcPr>
          <w:p w14:paraId="0CD1AF0C">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磋商保证金及电子交易服务费用</w:t>
            </w:r>
          </w:p>
        </w:tc>
        <w:tc>
          <w:tcPr>
            <w:tcW w:w="3623" w:type="pct"/>
            <w:vAlign w:val="center"/>
          </w:tcPr>
          <w:p w14:paraId="68555DA1">
            <w:pPr>
              <w:keepNext w:val="0"/>
              <w:keepLines w:val="0"/>
              <w:suppressLineNumbers w:val="0"/>
              <w:spacing w:before="0" w:beforeAutospacing="0" w:after="0" w:afterAutospacing="0"/>
              <w:ind w:left="0" w:right="0" w:firstLine="0" w:firstLineChars="0"/>
              <w:jc w:val="left"/>
              <w:rPr>
                <w:rFonts w:hint="eastAsia" w:cs="宋体"/>
                <w:color w:val="000000" w:themeColor="text1"/>
                <w:szCs w:val="20"/>
                <w:highlight w:val="none"/>
                <w14:textFill>
                  <w14:solidFill>
                    <w14:schemeClr w14:val="tx1"/>
                  </w14:solidFill>
                </w14:textFill>
              </w:rPr>
            </w:pPr>
            <w:r>
              <w:rPr>
                <w:rFonts w:hint="eastAsia" w:cs="宋体"/>
                <w:color w:val="000000" w:themeColor="text1"/>
                <w:szCs w:val="20"/>
                <w:highlight w:val="none"/>
                <w14:textFill>
                  <w14:solidFill>
                    <w14:schemeClr w14:val="tx1"/>
                  </w14:solidFill>
                </w14:textFill>
              </w:rPr>
              <w:t>是否要求</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0"/>
                <w:highlight w:val="none"/>
                <w14:textFill>
                  <w14:solidFill>
                    <w14:schemeClr w14:val="tx1"/>
                  </w14:solidFill>
                </w14:textFill>
              </w:rPr>
              <w:t>递交磋商保证金：</w:t>
            </w:r>
          </w:p>
          <w:p w14:paraId="10313F86">
            <w:pPr>
              <w:keepNext w:val="0"/>
              <w:keepLines w:val="0"/>
              <w:suppressLineNumbers w:val="0"/>
              <w:spacing w:before="0" w:beforeAutospacing="0" w:after="0" w:afterAutospacing="0"/>
              <w:ind w:left="0" w:right="0" w:firstLine="0" w:firstLineChars="0"/>
              <w:jc w:val="left"/>
              <w:rPr>
                <w:rFonts w:hint="eastAsia" w:cs="宋体"/>
                <w:color w:val="000000" w:themeColor="text1"/>
                <w:szCs w:val="20"/>
                <w:highlight w:val="none"/>
                <w:lang w:val="en-US" w:eastAsia="zh-CN"/>
                <w14:textFill>
                  <w14:solidFill>
                    <w14:schemeClr w14:val="tx1"/>
                  </w14:solidFill>
                </w14:textFill>
              </w:rPr>
            </w:pPr>
            <w:r>
              <w:rPr>
                <w:rFonts w:hint="default" w:ascii="Segoe UI Symbol" w:hAnsi="Segoe UI Symbol" w:cs="Segoe UI Symbol"/>
                <w:b/>
                <w:bCs/>
                <w:color w:val="000000" w:themeColor="text1"/>
                <w:szCs w:val="20"/>
                <w:highlight w:val="none"/>
                <w14:textFill>
                  <w14:solidFill>
                    <w14:schemeClr w14:val="tx1"/>
                  </w14:solidFill>
                </w14:textFill>
              </w:rPr>
              <w:t>☑</w:t>
            </w:r>
            <w:r>
              <w:rPr>
                <w:rFonts w:hint="eastAsia" w:cs="宋体"/>
                <w:color w:val="000000" w:themeColor="text1"/>
                <w:szCs w:val="20"/>
                <w:highlight w:val="none"/>
                <w14:textFill>
                  <w14:solidFill>
                    <w14:schemeClr w14:val="tx1"/>
                  </w14:solidFill>
                </w14:textFill>
              </w:rPr>
              <w:t>不要求</w:t>
            </w:r>
            <w:r>
              <w:rPr>
                <w:rFonts w:hint="eastAsia" w:cs="宋体"/>
                <w:color w:val="000000" w:themeColor="text1"/>
                <w:szCs w:val="20"/>
                <w:highlight w:val="none"/>
                <w:lang w:val="en-US" w:eastAsia="zh-CN"/>
                <w14:textFill>
                  <w14:solidFill>
                    <w14:schemeClr w14:val="tx1"/>
                  </w14:solidFill>
                </w14:textFill>
              </w:rPr>
              <w:t xml:space="preserve"> </w:t>
            </w:r>
          </w:p>
          <w:p w14:paraId="191DF094">
            <w:pPr>
              <w:keepNext w:val="0"/>
              <w:keepLines w:val="0"/>
              <w:suppressLineNumbers w:val="0"/>
              <w:spacing w:before="0" w:beforeAutospacing="0" w:after="0" w:afterAutospacing="0"/>
              <w:ind w:left="0" w:right="0" w:firstLine="0" w:firstLineChars="0"/>
              <w:jc w:val="left"/>
              <w:rPr>
                <w:rFonts w:hint="default" w:cs="宋体"/>
                <w:color w:val="000000" w:themeColor="text1"/>
                <w:szCs w:val="20"/>
                <w:highlight w:val="none"/>
                <w14:textFill>
                  <w14:solidFill>
                    <w14:schemeClr w14:val="tx1"/>
                  </w14:solidFill>
                </w14:textFill>
              </w:rPr>
            </w:pPr>
            <w:r>
              <w:rPr>
                <w:rFonts w:hint="eastAsia" w:cs="宋体"/>
                <w:color w:val="000000" w:themeColor="text1"/>
                <w:szCs w:val="20"/>
                <w:highlight w:val="none"/>
                <w14:textFill>
                  <w14:solidFill>
                    <w14:schemeClr w14:val="tx1"/>
                  </w14:solidFill>
                </w14:textFill>
              </w:rPr>
              <w:sym w:font="Wingdings 2" w:char="00A3"/>
            </w:r>
            <w:r>
              <w:rPr>
                <w:rFonts w:hint="eastAsia" w:cs="宋体"/>
                <w:color w:val="000000" w:themeColor="text1"/>
                <w:szCs w:val="20"/>
                <w:highlight w:val="none"/>
                <w14:textFill>
                  <w14:solidFill>
                    <w14:schemeClr w14:val="tx1"/>
                  </w14:solidFill>
                </w14:textFill>
              </w:rPr>
              <w:t>要求</w:t>
            </w:r>
          </w:p>
          <w:p w14:paraId="48DC04FB">
            <w:pPr>
              <w:keepNext w:val="0"/>
              <w:keepLines w:val="0"/>
              <w:suppressLineNumbers w:val="0"/>
              <w:snapToGrid w:val="0"/>
              <w:spacing w:before="0" w:beforeAutospacing="0" w:after="0" w:afterAutospacing="0" w:line="460" w:lineRule="exact"/>
              <w:ind w:left="0" w:right="0" w:firstLine="0" w:firstLineChars="0"/>
              <w:rPr>
                <w:rFonts w:hint="eastAsia"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是否要求供应商递交电子交易服务费用：</w:t>
            </w:r>
          </w:p>
          <w:p w14:paraId="520E2FF0">
            <w:pPr>
              <w:keepNext w:val="0"/>
              <w:keepLines w:val="0"/>
              <w:suppressLineNumbers w:val="0"/>
              <w:snapToGrid w:val="0"/>
              <w:spacing w:before="0" w:beforeAutospacing="0" w:after="0" w:afterAutospacing="0" w:line="460" w:lineRule="exact"/>
              <w:ind w:left="0" w:right="0" w:firstLine="0" w:firstLineChars="0"/>
              <w:rPr>
                <w:rFonts w:hint="eastAsia"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□不要求</w:t>
            </w:r>
          </w:p>
          <w:p w14:paraId="46FF68B6">
            <w:pPr>
              <w:keepNext w:val="0"/>
              <w:keepLines w:val="0"/>
              <w:suppressLineNumbers w:val="0"/>
              <w:snapToGrid w:val="0"/>
              <w:spacing w:before="0" w:beforeAutospacing="0" w:after="0" w:afterAutospacing="0" w:line="460" w:lineRule="exact"/>
              <w:ind w:left="0" w:right="0" w:firstLine="0" w:firstLineChars="0"/>
              <w:rPr>
                <w:rFonts w:hint="default" w:cs="宋体"/>
                <w:b/>
                <w:bCs/>
                <w:color w:val="000000" w:themeColor="text1"/>
                <w:kern w:val="2"/>
                <w:szCs w:val="24"/>
                <w:highlight w:val="none"/>
                <w14:textFill>
                  <w14:solidFill>
                    <w14:schemeClr w14:val="tx1"/>
                  </w14:solidFill>
                </w14:textFill>
              </w:rPr>
            </w:pPr>
            <w:r>
              <w:rPr>
                <w:rFonts w:hint="default" w:ascii="Segoe UI Symbol" w:hAnsi="Segoe UI Symbol" w:cs="Segoe UI Symbol"/>
                <w:b/>
                <w:bCs/>
                <w:color w:val="000000" w:themeColor="text1"/>
                <w:kern w:val="2"/>
                <w:szCs w:val="24"/>
                <w:highlight w:val="none"/>
                <w14:textFill>
                  <w14:solidFill>
                    <w14:schemeClr w14:val="tx1"/>
                  </w14:solidFill>
                </w14:textFill>
              </w:rPr>
              <w:t>☑</w:t>
            </w:r>
            <w:r>
              <w:rPr>
                <w:rFonts w:hint="eastAsia" w:cs="宋体"/>
                <w:b/>
                <w:bCs/>
                <w:color w:val="000000" w:themeColor="text1"/>
                <w:kern w:val="2"/>
                <w:szCs w:val="24"/>
                <w:highlight w:val="none"/>
                <w14:textFill>
                  <w14:solidFill>
                    <w14:schemeClr w14:val="tx1"/>
                  </w14:solidFill>
                </w14:textFill>
              </w:rPr>
              <w:t>要求</w:t>
            </w:r>
          </w:p>
          <w:p w14:paraId="5EAA56BF">
            <w:pPr>
              <w:keepNext w:val="0"/>
              <w:keepLines w:val="0"/>
              <w:suppressLineNumbers w:val="0"/>
              <w:snapToGrid w:val="0"/>
              <w:spacing w:before="0" w:beforeAutospacing="0" w:after="0" w:afterAutospacing="0" w:line="460" w:lineRule="exact"/>
              <w:ind w:left="0" w:right="0" w:firstLine="120" w:firstLineChars="50"/>
              <w:rPr>
                <w:rFonts w:hint="default"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电子交易服务费用的形式：</w:t>
            </w:r>
            <w:r>
              <w:rPr>
                <w:rFonts w:hint="eastAsia" w:cs="宋体"/>
                <w:b/>
                <w:bCs/>
                <w:color w:val="000000" w:themeColor="text1"/>
                <w:kern w:val="2"/>
                <w:szCs w:val="24"/>
                <w:highlight w:val="none"/>
                <w14:textFill>
                  <w14:solidFill>
                    <w14:schemeClr w14:val="tx1"/>
                  </w14:solidFill>
                </w14:textFill>
              </w:rPr>
              <w:sym w:font="Wingdings" w:char="00FE"/>
            </w:r>
            <w:r>
              <w:rPr>
                <w:rFonts w:hint="eastAsia" w:cs="宋体"/>
                <w:color w:val="000000" w:themeColor="text1"/>
                <w:kern w:val="2"/>
                <w:szCs w:val="24"/>
                <w:highlight w:val="none"/>
                <w14:textFill>
                  <w14:solidFill>
                    <w14:schemeClr w14:val="tx1"/>
                  </w14:solidFill>
                </w14:textFill>
              </w:rPr>
              <w:t xml:space="preserve">银行转账  </w:t>
            </w:r>
            <w:r>
              <w:rPr>
                <w:rFonts w:hint="eastAsia" w:cs="宋体"/>
                <w:b/>
                <w:bCs/>
                <w:color w:val="000000" w:themeColor="text1"/>
                <w:kern w:val="2"/>
                <w:szCs w:val="24"/>
                <w:highlight w:val="none"/>
                <w14:textFill>
                  <w14:solidFill>
                    <w14:schemeClr w14:val="tx1"/>
                  </w14:solidFill>
                </w14:textFill>
              </w:rPr>
              <w:sym w:font="Wingdings" w:char="00FE"/>
            </w:r>
            <w:r>
              <w:rPr>
                <w:rFonts w:hint="eastAsia" w:cs="宋体"/>
                <w:color w:val="000000" w:themeColor="text1"/>
                <w:kern w:val="2"/>
                <w:szCs w:val="24"/>
                <w:highlight w:val="none"/>
                <w14:textFill>
                  <w14:solidFill>
                    <w14:schemeClr w14:val="tx1"/>
                  </w14:solidFill>
                </w14:textFill>
              </w:rPr>
              <w:t xml:space="preserve">银行电汇 </w:t>
            </w:r>
          </w:p>
          <w:p w14:paraId="5979FC22">
            <w:pPr>
              <w:keepNext w:val="0"/>
              <w:keepLines w:val="0"/>
              <w:suppressLineNumbers w:val="0"/>
              <w:snapToGrid w:val="0"/>
              <w:spacing w:before="0" w:beforeAutospacing="0" w:after="0" w:afterAutospacing="0" w:line="460" w:lineRule="exact"/>
              <w:ind w:left="0" w:right="0" w:firstLine="120" w:firstLineChars="50"/>
              <w:rPr>
                <w:rFonts w:hint="default" w:cs="宋体"/>
                <w:b/>
                <w:bCs/>
                <w:color w:val="000000" w:themeColor="text1"/>
                <w:kern w:val="2"/>
                <w:szCs w:val="24"/>
                <w:highlight w:val="none"/>
                <w14:textFill>
                  <w14:solidFill>
                    <w14:schemeClr w14:val="tx1"/>
                  </w14:solidFill>
                </w14:textFill>
              </w:rPr>
            </w:pPr>
            <w:r>
              <w:rPr>
                <w:rFonts w:hint="eastAsia" w:cs="宋体"/>
                <w:b/>
                <w:bCs/>
                <w:color w:val="000000" w:themeColor="text1"/>
                <w:kern w:val="2"/>
                <w:szCs w:val="24"/>
                <w:highlight w:val="none"/>
                <w14:textFill>
                  <w14:solidFill>
                    <w14:schemeClr w14:val="tx1"/>
                  </w14:solidFill>
                </w14:textFill>
              </w:rPr>
              <w:t>电子交易服务费用的金额：人民币200元，售后不退。</w:t>
            </w:r>
          </w:p>
          <w:p w14:paraId="3091562D">
            <w:pPr>
              <w:keepNext w:val="0"/>
              <w:keepLines w:val="0"/>
              <w:suppressLineNumbers w:val="0"/>
              <w:snapToGrid w:val="0"/>
              <w:spacing w:before="0" w:beforeAutospacing="0" w:after="0" w:afterAutospacing="0" w:line="460" w:lineRule="exact"/>
              <w:ind w:left="0" w:right="0" w:firstLine="120" w:firstLineChars="50"/>
              <w:rPr>
                <w:rFonts w:hint="default"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递交要求：</w:t>
            </w:r>
          </w:p>
          <w:p w14:paraId="4B799E2F">
            <w:pPr>
              <w:keepNext w:val="0"/>
              <w:keepLines w:val="0"/>
              <w:suppressLineNumbers w:val="0"/>
              <w:snapToGrid w:val="0"/>
              <w:spacing w:before="0" w:beforeAutospacing="0" w:after="0" w:afterAutospacing="0"/>
              <w:ind w:left="0" w:right="0" w:firstLine="0" w:firstLineChars="0"/>
              <w:rPr>
                <w:rFonts w:hint="default"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①电子交易服务费用的到账截止时间：同磋商时间。</w:t>
            </w:r>
          </w:p>
          <w:p w14:paraId="79E72615">
            <w:pPr>
              <w:keepNext w:val="0"/>
              <w:keepLines w:val="0"/>
              <w:suppressLineNumbers w:val="0"/>
              <w:snapToGrid w:val="0"/>
              <w:spacing w:before="0" w:beforeAutospacing="0" w:after="0" w:afterAutospacing="0"/>
              <w:ind w:left="0" w:right="0" w:firstLine="0" w:firstLineChars="0"/>
              <w:rPr>
                <w:rFonts w:hint="default"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②电子交易服务费用应当从供应商账户转出。</w:t>
            </w:r>
          </w:p>
          <w:p w14:paraId="5200D1D3">
            <w:pPr>
              <w:pStyle w:val="7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sz w:val="24"/>
                <w:highlight w:val="none"/>
              </w:rPr>
            </w:pPr>
            <w:r>
              <w:rPr>
                <w:rFonts w:hint="eastAsia" w:ascii="宋体" w:hAnsi="宋体" w:eastAsia="宋体"/>
                <w:b w:val="0"/>
                <w:sz w:val="24"/>
                <w:highlight w:val="none"/>
                <w:lang w:eastAsia="zh-CN"/>
              </w:rPr>
              <w:t>（</w:t>
            </w:r>
            <w:r>
              <w:rPr>
                <w:rFonts w:hint="eastAsia" w:ascii="宋体" w:hAnsi="宋体" w:eastAsia="宋体"/>
                <w:b w:val="0"/>
                <w:sz w:val="24"/>
                <w:highlight w:val="none"/>
                <w:lang w:val="en-US" w:eastAsia="zh-CN"/>
              </w:rPr>
              <w:t>1</w:t>
            </w:r>
            <w:r>
              <w:rPr>
                <w:rFonts w:hint="eastAsia" w:ascii="宋体" w:hAnsi="宋体" w:eastAsia="宋体"/>
                <w:b w:val="0"/>
                <w:sz w:val="24"/>
                <w:highlight w:val="none"/>
                <w:lang w:eastAsia="zh-CN"/>
              </w:rPr>
              <w:t>）</w:t>
            </w:r>
            <w:r>
              <w:rPr>
                <w:rFonts w:hint="eastAsia" w:ascii="宋体" w:hAnsi="宋体" w:eastAsia="宋体"/>
                <w:b/>
                <w:bCs w:val="0"/>
                <w:sz w:val="24"/>
                <w:highlight w:val="none"/>
                <w:lang w:eastAsia="zh-CN"/>
              </w:rPr>
              <w:t>第</w:t>
            </w:r>
            <w:r>
              <w:rPr>
                <w:rFonts w:hint="eastAsia" w:ascii="宋体" w:hAnsi="宋体" w:eastAsia="宋体"/>
                <w:b/>
                <w:bCs w:val="0"/>
                <w:sz w:val="24"/>
                <w:highlight w:val="none"/>
                <w:lang w:val="en-US" w:eastAsia="zh-CN"/>
              </w:rPr>
              <w:t>1包</w:t>
            </w:r>
            <w:r>
              <w:rPr>
                <w:rFonts w:hint="eastAsia" w:ascii="宋体" w:hAnsi="宋体" w:eastAsia="宋体"/>
                <w:b w:val="0"/>
                <w:sz w:val="24"/>
                <w:highlight w:val="none"/>
              </w:rPr>
              <w:t>转入的开户银行及账号：</w:t>
            </w:r>
          </w:p>
          <w:p w14:paraId="31D92005">
            <w:pPr>
              <w:pStyle w:val="7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sz w:val="24"/>
                <w:highlight w:val="none"/>
              </w:rPr>
            </w:pPr>
            <w:r>
              <w:rPr>
                <w:rFonts w:hint="eastAsia" w:ascii="宋体" w:hAnsi="宋体" w:eastAsia="宋体"/>
                <w:b w:val="0"/>
                <w:sz w:val="24"/>
                <w:highlight w:val="none"/>
              </w:rPr>
              <w:t>开户银行：广发银行股份有限公司合肥肥西支行</w:t>
            </w:r>
          </w:p>
          <w:p w14:paraId="63B4982A">
            <w:pPr>
              <w:pStyle w:val="7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sz w:val="24"/>
                <w:highlight w:val="none"/>
                <w:lang w:eastAsia="zh-CN"/>
              </w:rPr>
            </w:pPr>
            <w:r>
              <w:rPr>
                <w:rFonts w:hint="eastAsia" w:ascii="宋体" w:hAnsi="宋体" w:eastAsia="宋体"/>
                <w:b w:val="0"/>
                <w:sz w:val="24"/>
                <w:highlight w:val="none"/>
              </w:rPr>
              <w:t>开户名：</w:t>
            </w:r>
            <w:r>
              <w:rPr>
                <w:rFonts w:hint="eastAsia" w:ascii="宋体" w:hAnsi="宋体" w:eastAsia="宋体"/>
                <w:b w:val="0"/>
                <w:sz w:val="24"/>
                <w:highlight w:val="none"/>
                <w:lang w:eastAsia="zh-CN"/>
              </w:rPr>
              <w:t>肥西县公共资源交易有限责任公司</w:t>
            </w:r>
          </w:p>
          <w:p w14:paraId="3207487E">
            <w:pPr>
              <w:pStyle w:val="7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sz w:val="24"/>
                <w:highlight w:val="none"/>
                <w:lang w:eastAsia="zh-CN"/>
              </w:rPr>
            </w:pPr>
            <w:r>
              <w:rPr>
                <w:rFonts w:hint="eastAsia" w:ascii="宋体" w:hAnsi="宋体" w:eastAsia="宋体" w:cs="宋体"/>
                <w:b/>
                <w:bCs/>
                <w:color w:val="FF0000"/>
                <w:kern w:val="2"/>
                <w:sz w:val="24"/>
                <w:szCs w:val="24"/>
                <w:highlight w:val="none"/>
                <w:lang w:val="en-US" w:eastAsia="zh-CN" w:bidi="ar-SA"/>
              </w:rPr>
              <w:t>账号：6232594999000547966</w:t>
            </w:r>
          </w:p>
          <w:p w14:paraId="22D25268">
            <w:pPr>
              <w:pStyle w:val="7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sz w:val="24"/>
                <w:highlight w:val="none"/>
              </w:rPr>
            </w:pPr>
            <w:r>
              <w:rPr>
                <w:rFonts w:hint="eastAsia" w:ascii="宋体" w:hAnsi="宋体" w:eastAsia="宋体"/>
                <w:b w:val="0"/>
                <w:sz w:val="24"/>
                <w:highlight w:val="none"/>
                <w:lang w:eastAsia="zh-CN"/>
              </w:rPr>
              <w:t>（</w:t>
            </w:r>
            <w:r>
              <w:rPr>
                <w:rFonts w:hint="eastAsia" w:ascii="宋体" w:hAnsi="宋体" w:eastAsia="宋体"/>
                <w:b w:val="0"/>
                <w:sz w:val="24"/>
                <w:highlight w:val="none"/>
                <w:lang w:val="en-US" w:eastAsia="zh-CN"/>
              </w:rPr>
              <w:t>2</w:t>
            </w:r>
            <w:r>
              <w:rPr>
                <w:rFonts w:hint="eastAsia" w:ascii="宋体" w:hAnsi="宋体" w:eastAsia="宋体"/>
                <w:b w:val="0"/>
                <w:sz w:val="24"/>
                <w:highlight w:val="none"/>
                <w:lang w:eastAsia="zh-CN"/>
              </w:rPr>
              <w:t>）</w:t>
            </w:r>
            <w:r>
              <w:rPr>
                <w:rFonts w:hint="eastAsia" w:ascii="宋体" w:hAnsi="宋体" w:eastAsia="宋体"/>
                <w:b/>
                <w:bCs w:val="0"/>
                <w:sz w:val="24"/>
                <w:highlight w:val="none"/>
                <w:lang w:eastAsia="zh-CN"/>
              </w:rPr>
              <w:t>第</w:t>
            </w:r>
            <w:r>
              <w:rPr>
                <w:rFonts w:hint="eastAsia" w:ascii="宋体" w:hAnsi="宋体" w:eastAsia="宋体"/>
                <w:b/>
                <w:bCs w:val="0"/>
                <w:sz w:val="24"/>
                <w:highlight w:val="none"/>
                <w:lang w:val="en-US" w:eastAsia="zh-CN"/>
              </w:rPr>
              <w:t>2包</w:t>
            </w:r>
            <w:r>
              <w:rPr>
                <w:rFonts w:hint="eastAsia" w:ascii="宋体" w:hAnsi="宋体" w:eastAsia="宋体"/>
                <w:b w:val="0"/>
                <w:sz w:val="24"/>
                <w:highlight w:val="none"/>
              </w:rPr>
              <w:t>转入的开户银行及账号：</w:t>
            </w:r>
          </w:p>
          <w:p w14:paraId="4ED90CD8">
            <w:pPr>
              <w:pStyle w:val="7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sz w:val="24"/>
                <w:highlight w:val="none"/>
              </w:rPr>
            </w:pPr>
            <w:r>
              <w:rPr>
                <w:rFonts w:hint="eastAsia" w:ascii="宋体" w:hAnsi="宋体" w:eastAsia="宋体"/>
                <w:b w:val="0"/>
                <w:sz w:val="24"/>
                <w:highlight w:val="none"/>
              </w:rPr>
              <w:t>开户银行：广发银行股份有限公司合肥肥西支行</w:t>
            </w:r>
          </w:p>
          <w:p w14:paraId="16779DEF">
            <w:pPr>
              <w:pStyle w:val="7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sz w:val="24"/>
                <w:highlight w:val="none"/>
                <w:lang w:eastAsia="zh-CN"/>
              </w:rPr>
            </w:pPr>
            <w:r>
              <w:rPr>
                <w:rFonts w:hint="eastAsia" w:ascii="宋体" w:hAnsi="宋体" w:eastAsia="宋体"/>
                <w:b w:val="0"/>
                <w:sz w:val="24"/>
                <w:highlight w:val="none"/>
              </w:rPr>
              <w:t>开户名：</w:t>
            </w:r>
            <w:r>
              <w:rPr>
                <w:rFonts w:hint="eastAsia" w:ascii="宋体" w:hAnsi="宋体" w:eastAsia="宋体"/>
                <w:b w:val="0"/>
                <w:sz w:val="24"/>
                <w:highlight w:val="none"/>
                <w:lang w:eastAsia="zh-CN"/>
              </w:rPr>
              <w:t>肥西县公共资源交易有限责任公司</w:t>
            </w:r>
          </w:p>
          <w:p w14:paraId="073BC5F0">
            <w:pPr>
              <w:pStyle w:val="73"/>
              <w:keepNext w:val="0"/>
              <w:keepLines w:val="0"/>
              <w:widowControl w:val="0"/>
              <w:suppressLineNumbers w:val="0"/>
              <w:spacing w:before="0" w:beforeAutospacing="0" w:after="0" w:afterAutospacing="0" w:line="360" w:lineRule="auto"/>
              <w:ind w:left="0" w:right="0"/>
              <w:jc w:val="both"/>
              <w:rPr>
                <w:rFonts w:hint="eastAsia" w:cs="宋体"/>
                <w:color w:val="000000" w:themeColor="text1"/>
                <w:kern w:val="2"/>
                <w:szCs w:val="24"/>
                <w:highlight w:val="none"/>
                <w14:textFill>
                  <w14:solidFill>
                    <w14:schemeClr w14:val="tx1"/>
                  </w14:solidFill>
                </w14:textFill>
              </w:rPr>
            </w:pPr>
            <w:r>
              <w:rPr>
                <w:rFonts w:hint="eastAsia" w:ascii="宋体" w:hAnsi="宋体" w:eastAsia="宋体"/>
                <w:b/>
                <w:bCs w:val="0"/>
                <w:color w:val="FF0000"/>
                <w:sz w:val="24"/>
                <w:highlight w:val="none"/>
                <w:lang w:eastAsia="zh-CN"/>
              </w:rPr>
              <w:t>账号：6232594999000547974</w:t>
            </w:r>
          </w:p>
          <w:p w14:paraId="18E8DEE4">
            <w:pPr>
              <w:keepNext w:val="0"/>
              <w:keepLines w:val="0"/>
              <w:suppressLineNumbers w:val="0"/>
              <w:snapToGrid w:val="0"/>
              <w:spacing w:before="0" w:beforeAutospacing="0" w:after="0" w:afterAutospacing="0" w:line="460" w:lineRule="exact"/>
              <w:ind w:left="0" w:right="0" w:firstLine="120" w:firstLineChars="50"/>
              <w:rPr>
                <w:rFonts w:hint="default"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注意事项：</w:t>
            </w:r>
          </w:p>
          <w:p w14:paraId="0776D8FE">
            <w:pPr>
              <w:keepNext w:val="0"/>
              <w:keepLines w:val="0"/>
              <w:suppressLineNumbers w:val="0"/>
              <w:snapToGrid w:val="0"/>
              <w:spacing w:before="0" w:beforeAutospacing="0" w:after="0" w:afterAutospacing="0" w:line="460" w:lineRule="exact"/>
              <w:ind w:left="0" w:right="0" w:firstLine="120" w:firstLineChars="50"/>
              <w:rPr>
                <w:rFonts w:hint="default"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（1）电子交易服务费用采用虚拟账号，项目磋商失败后，电子交易服务费用交纳账号将会发生变化，请供应商参与后续磋商时，注意勿将电子交易服务费用错交至其他项目账号或前次公告账号。</w:t>
            </w:r>
          </w:p>
          <w:p w14:paraId="24058F31">
            <w:pPr>
              <w:keepNext w:val="0"/>
              <w:keepLines w:val="0"/>
              <w:suppressLineNumbers w:val="0"/>
              <w:snapToGrid w:val="0"/>
              <w:spacing w:before="0" w:beforeAutospacing="0" w:after="0" w:afterAutospacing="0" w:line="460" w:lineRule="exact"/>
              <w:ind w:left="0" w:right="0" w:firstLine="120" w:firstLineChars="50"/>
              <w:rPr>
                <w:rFonts w:hint="default"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（3）凡转账到其他项目账户或本项目前次公告账户的，电子交易服务费用无效。</w:t>
            </w:r>
          </w:p>
          <w:p w14:paraId="10A654BC">
            <w:pPr>
              <w:keepNext w:val="0"/>
              <w:keepLines w:val="0"/>
              <w:suppressLineNumbers w:val="0"/>
              <w:snapToGrid w:val="0"/>
              <w:spacing w:before="0" w:beforeAutospacing="0" w:after="0" w:afterAutospacing="0" w:line="460" w:lineRule="exact"/>
              <w:ind w:left="0" w:right="0" w:firstLine="0" w:firstLineChars="0"/>
              <w:rPr>
                <w:rFonts w:hint="eastAsia"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（4）供应商参与本项目多个包别磋商的（如分多包别的），应该按包别分别递交电子交易服务费用。未递交电子交易服务费用的包别，</w:t>
            </w:r>
            <w:r>
              <w:rPr>
                <w:rFonts w:hint="eastAsia" w:cs="宋体"/>
                <w:b/>
                <w:bCs/>
                <w:color w:val="000000" w:themeColor="text1"/>
                <w:kern w:val="2"/>
                <w:szCs w:val="24"/>
                <w:highlight w:val="none"/>
                <w14:textFill>
                  <w14:solidFill>
                    <w14:schemeClr w14:val="tx1"/>
                  </w14:solidFill>
                </w14:textFill>
              </w:rPr>
              <w:t>其响应无效。</w:t>
            </w:r>
          </w:p>
          <w:p w14:paraId="6BD9A97B">
            <w:pPr>
              <w:keepNext w:val="0"/>
              <w:keepLines w:val="0"/>
              <w:suppressLineNumbers w:val="0"/>
              <w:snapToGrid w:val="0"/>
              <w:spacing w:before="0" w:beforeAutospacing="0" w:after="0" w:afterAutospacing="0" w:line="460" w:lineRule="exact"/>
              <w:ind w:left="0" w:right="0" w:firstLine="0" w:firstLineChars="0"/>
              <w:rPr>
                <w:rFonts w:hint="eastAsia" w:cs="宋体"/>
                <w:b/>
                <w:bCs/>
                <w:color w:val="000000" w:themeColor="text1"/>
                <w:kern w:val="2"/>
                <w:szCs w:val="24"/>
                <w:highlight w:val="none"/>
                <w:lang w:eastAsia="zh-CN"/>
                <w14:textFill>
                  <w14:solidFill>
                    <w14:schemeClr w14:val="tx1"/>
                  </w14:solidFill>
                </w14:textFill>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5</w:t>
            </w:r>
            <w:r>
              <w:rPr>
                <w:rFonts w:hint="eastAsia" w:ascii="宋体" w:hAnsi="宋体" w:eastAsia="宋体" w:cs="宋体"/>
                <w:b/>
                <w:bCs/>
                <w:sz w:val="24"/>
                <w:szCs w:val="24"/>
                <w:lang w:eastAsia="zh-CN"/>
              </w:rPr>
              <w:t>）</w:t>
            </w:r>
            <w:r>
              <w:rPr>
                <w:rFonts w:hint="default" w:ascii="宋体" w:hAnsi="宋体" w:eastAsia="宋体" w:cs="宋体"/>
                <w:b/>
                <w:bCs/>
                <w:sz w:val="24"/>
                <w:szCs w:val="24"/>
              </w:rPr>
              <w:t>优质采云采购平台目前仅支持上传单标段保证金账号信息，各包别账号信息以上述内容为准，请各供应商勿错交账号，同时缴费时务必备注拟投标的项目包别编号。</w:t>
            </w:r>
          </w:p>
          <w:p w14:paraId="41902C00">
            <w:pPr>
              <w:keepNext w:val="0"/>
              <w:keepLines w:val="0"/>
              <w:suppressLineNumbers w:val="0"/>
              <w:snapToGrid w:val="0"/>
              <w:spacing w:before="0" w:beforeAutospacing="0" w:after="0" w:afterAutospacing="0" w:line="460" w:lineRule="exact"/>
              <w:ind w:left="0" w:right="0" w:firstLine="0" w:firstLineChars="0"/>
              <w:rPr>
                <w:rFonts w:hint="default" w:cs="宋体"/>
                <w:color w:val="000000" w:themeColor="text1"/>
                <w:kern w:val="2"/>
                <w:szCs w:val="24"/>
                <w:highlight w:val="none"/>
                <w14:textFill>
                  <w14:solidFill>
                    <w14:schemeClr w14:val="tx1"/>
                  </w14:solidFill>
                </w14:textFill>
              </w:rPr>
            </w:pPr>
            <w:r>
              <w:rPr>
                <w:rFonts w:hint="eastAsia" w:cs="宋体"/>
                <w:b w:val="0"/>
                <w:bCs w:val="0"/>
                <w:color w:val="000000" w:themeColor="text1"/>
                <w:kern w:val="2"/>
                <w:szCs w:val="24"/>
                <w:highlight w:val="none"/>
                <w:lang w:eastAsia="zh-CN"/>
                <w14:textFill>
                  <w14:solidFill>
                    <w14:schemeClr w14:val="tx1"/>
                  </w14:solidFill>
                </w14:textFill>
              </w:rPr>
              <w:t>（</w:t>
            </w:r>
            <w:r>
              <w:rPr>
                <w:rFonts w:hint="eastAsia" w:cs="宋体"/>
                <w:b w:val="0"/>
                <w:bCs w:val="0"/>
                <w:color w:val="000000" w:themeColor="text1"/>
                <w:kern w:val="2"/>
                <w:szCs w:val="24"/>
                <w:highlight w:val="none"/>
                <w:lang w:val="en-US" w:eastAsia="zh-CN"/>
                <w14:textFill>
                  <w14:solidFill>
                    <w14:schemeClr w14:val="tx1"/>
                  </w14:solidFill>
                </w14:textFill>
              </w:rPr>
              <w:t>6）</w:t>
            </w:r>
            <w:r>
              <w:rPr>
                <w:rFonts w:hint="default" w:cs="宋体"/>
                <w:b w:val="0"/>
                <w:bCs w:val="0"/>
                <w:color w:val="000000" w:themeColor="text1"/>
                <w:kern w:val="2"/>
                <w:szCs w:val="24"/>
                <w:highlight w:val="none"/>
                <w14:textFill>
                  <w14:solidFill>
                    <w14:schemeClr w14:val="tx1"/>
                  </w14:solidFill>
                </w14:textFill>
              </w:rPr>
              <w:t>项目开标结束后，如需开具电子交易服务费发票，请致电咨询：王工，联系电话：0551-</w:t>
            </w:r>
            <w:r>
              <w:rPr>
                <w:rFonts w:hint="eastAsia" w:cs="宋体"/>
                <w:b w:val="0"/>
                <w:bCs w:val="0"/>
                <w:color w:val="000000" w:themeColor="text1"/>
                <w:kern w:val="2"/>
                <w:szCs w:val="24"/>
                <w:highlight w:val="none"/>
                <w:lang w:eastAsia="zh-CN"/>
                <w14:textFill>
                  <w14:solidFill>
                    <w14:schemeClr w14:val="tx1"/>
                  </w14:solidFill>
                </w14:textFill>
              </w:rPr>
              <w:t>68821291</w:t>
            </w:r>
            <w:r>
              <w:rPr>
                <w:rFonts w:hint="default" w:cs="宋体"/>
                <w:b w:val="0"/>
                <w:bCs w:val="0"/>
                <w:color w:val="000000" w:themeColor="text1"/>
                <w:kern w:val="2"/>
                <w:szCs w:val="24"/>
                <w:highlight w:val="none"/>
                <w14:textFill>
                  <w14:solidFill>
                    <w14:schemeClr w14:val="tx1"/>
                  </w14:solidFill>
                </w14:textFill>
              </w:rPr>
              <w:t>。</w:t>
            </w:r>
          </w:p>
        </w:tc>
      </w:tr>
      <w:tr w14:paraId="7950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D1F7B59">
            <w:pPr>
              <w:pStyle w:val="74"/>
              <w:keepNext w:val="0"/>
              <w:keepLines w:val="0"/>
              <w:suppressLineNumbers w:val="0"/>
              <w:spacing w:before="0" w:beforeAutospacing="0" w:after="0" w:afterAutospacing="0"/>
              <w:ind w:left="0" w:right="0"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782" w:type="pct"/>
            <w:vAlign w:val="center"/>
          </w:tcPr>
          <w:p w14:paraId="3321B461">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不予退还磋商保证金的情形</w:t>
            </w:r>
          </w:p>
        </w:tc>
        <w:tc>
          <w:tcPr>
            <w:tcW w:w="3623" w:type="pct"/>
            <w:vAlign w:val="center"/>
          </w:tcPr>
          <w:p w14:paraId="757D75A7">
            <w:pPr>
              <w:keepNext w:val="0"/>
              <w:keepLines w:val="0"/>
              <w:suppressLineNumbers w:val="0"/>
              <w:snapToGrid w:val="0"/>
              <w:spacing w:before="0" w:beforeAutospacing="0" w:after="0" w:afterAutospacing="0"/>
              <w:ind w:left="0" w:right="0" w:firstLine="0" w:firstLineChars="0"/>
              <w:rPr>
                <w:rFonts w:hint="default" w:cs="宋体"/>
                <w:color w:val="000000" w:themeColor="text1"/>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w:t>
            </w:r>
          </w:p>
        </w:tc>
      </w:tr>
      <w:tr w14:paraId="5EB21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9D83156">
            <w:pPr>
              <w:pStyle w:val="74"/>
              <w:keepNext w:val="0"/>
              <w:keepLines w:val="0"/>
              <w:suppressLineNumbers w:val="0"/>
              <w:spacing w:before="0" w:beforeAutospacing="0" w:after="0" w:afterAutospacing="0"/>
              <w:ind w:left="0" w:right="0"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782" w:type="pct"/>
            <w:vAlign w:val="center"/>
          </w:tcPr>
          <w:p w14:paraId="5678A2C9">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磋商现场提交的其他材料要求</w:t>
            </w:r>
          </w:p>
        </w:tc>
        <w:tc>
          <w:tcPr>
            <w:tcW w:w="3623" w:type="pct"/>
            <w:vAlign w:val="center"/>
          </w:tcPr>
          <w:p w14:paraId="3FC5B072">
            <w:pPr>
              <w:pStyle w:val="73"/>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w:t>
            </w:r>
          </w:p>
        </w:tc>
      </w:tr>
      <w:tr w14:paraId="0305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04EE9E6">
            <w:pPr>
              <w:pStyle w:val="74"/>
              <w:keepNext w:val="0"/>
              <w:keepLines w:val="0"/>
              <w:suppressLineNumbers w:val="0"/>
              <w:spacing w:before="0" w:beforeAutospacing="0" w:after="0" w:afterAutospacing="0"/>
              <w:ind w:left="0" w:right="0"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2</w:t>
            </w:r>
          </w:p>
        </w:tc>
        <w:tc>
          <w:tcPr>
            <w:tcW w:w="782" w:type="pct"/>
            <w:vAlign w:val="center"/>
          </w:tcPr>
          <w:p w14:paraId="33B4103D">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响应文件解密时间</w:t>
            </w:r>
          </w:p>
        </w:tc>
        <w:tc>
          <w:tcPr>
            <w:tcW w:w="3623" w:type="pct"/>
            <w:vAlign w:val="center"/>
          </w:tcPr>
          <w:p w14:paraId="63DB4DBB">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响应文件提交截止时间后30分钟内（以系统解密倒计时为准）</w:t>
            </w:r>
          </w:p>
        </w:tc>
      </w:tr>
      <w:tr w14:paraId="4E53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Merge w:val="restart"/>
            <w:vAlign w:val="center"/>
          </w:tcPr>
          <w:p w14:paraId="3DC4DC07">
            <w:pPr>
              <w:pStyle w:val="74"/>
              <w:keepNext w:val="0"/>
              <w:keepLines w:val="0"/>
              <w:suppressLineNumbers w:val="0"/>
              <w:spacing w:before="0" w:beforeAutospacing="0" w:after="0" w:afterAutospacing="0"/>
              <w:ind w:left="0" w:right="0"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3</w:t>
            </w:r>
          </w:p>
        </w:tc>
        <w:tc>
          <w:tcPr>
            <w:tcW w:w="782" w:type="pct"/>
            <w:vMerge w:val="restart"/>
            <w:vAlign w:val="center"/>
          </w:tcPr>
          <w:p w14:paraId="3B9CAF63">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确定成交候选人和成交人</w:t>
            </w:r>
          </w:p>
        </w:tc>
        <w:tc>
          <w:tcPr>
            <w:tcW w:w="3623" w:type="pct"/>
            <w:vAlign w:val="center"/>
          </w:tcPr>
          <w:p w14:paraId="27D2AAE0">
            <w:pPr>
              <w:pStyle w:val="73"/>
              <w:keepNext w:val="0"/>
              <w:keepLines w:val="0"/>
              <w:suppressLineNumbers w:val="0"/>
              <w:spacing w:before="0" w:beforeAutospacing="0" w:after="0" w:afterAutospacing="0"/>
              <w:ind w:left="0" w:right="0"/>
              <w:rPr>
                <w:rFonts w:hint="default"/>
                <w:b/>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评审委员会推荐成交候选人的数量：</w:t>
            </w:r>
            <w:r>
              <w:rPr>
                <w:rFonts w:hint="eastAsia"/>
                <w:color w:val="000000" w:themeColor="text1"/>
                <w:highlight w:val="none"/>
                <w:u w:val="single"/>
                <w14:textFill>
                  <w14:solidFill>
                    <w14:schemeClr w14:val="tx1"/>
                  </w14:solidFill>
                </w14:textFill>
              </w:rPr>
              <w:t>1家</w:t>
            </w:r>
          </w:p>
        </w:tc>
      </w:tr>
      <w:tr w14:paraId="0CDD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Merge w:val="continue"/>
            <w:vAlign w:val="center"/>
          </w:tcPr>
          <w:p w14:paraId="03ED9172">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p>
        </w:tc>
        <w:tc>
          <w:tcPr>
            <w:tcW w:w="782" w:type="pct"/>
            <w:vMerge w:val="continue"/>
            <w:vAlign w:val="center"/>
          </w:tcPr>
          <w:p w14:paraId="5336D26C">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p>
        </w:tc>
        <w:tc>
          <w:tcPr>
            <w:tcW w:w="3623" w:type="pct"/>
            <w:vAlign w:val="center"/>
          </w:tcPr>
          <w:p w14:paraId="75D81F38">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确定成交人：</w:t>
            </w:r>
          </w:p>
          <w:p w14:paraId="668C707F">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2" w:char="0052"/>
            </w:r>
            <w:r>
              <w:rPr>
                <w:rFonts w:hint="eastAsia"/>
                <w:color w:val="000000" w:themeColor="text1"/>
                <w:highlight w:val="none"/>
                <w14:textFill>
                  <w14:solidFill>
                    <w14:schemeClr w14:val="tx1"/>
                  </w14:solidFill>
                </w14:textFill>
              </w:rPr>
              <w:t xml:space="preserve">业主单位委托评审委员会确定     </w:t>
            </w:r>
          </w:p>
          <w:p w14:paraId="231C25E4">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2" w:char="00A3"/>
            </w:r>
            <w:r>
              <w:rPr>
                <w:rFonts w:hint="eastAsia"/>
                <w:color w:val="000000" w:themeColor="text1"/>
                <w:highlight w:val="none"/>
                <w14:textFill>
                  <w14:solidFill>
                    <w14:schemeClr w14:val="tx1"/>
                  </w14:solidFill>
                </w14:textFill>
              </w:rPr>
              <w:t>业主单位确定</w:t>
            </w:r>
          </w:p>
        </w:tc>
      </w:tr>
      <w:tr w14:paraId="472E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3943A79">
            <w:pPr>
              <w:pStyle w:val="74"/>
              <w:keepNext w:val="0"/>
              <w:keepLines w:val="0"/>
              <w:suppressLineNumbers w:val="0"/>
              <w:spacing w:before="0" w:beforeAutospacing="0" w:after="0" w:afterAutospacing="0"/>
              <w:ind w:left="0" w:right="0"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4</w:t>
            </w:r>
          </w:p>
        </w:tc>
        <w:tc>
          <w:tcPr>
            <w:tcW w:w="782" w:type="pct"/>
            <w:vAlign w:val="center"/>
          </w:tcPr>
          <w:p w14:paraId="4B60E15E">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成交通知书发出的形式</w:t>
            </w:r>
          </w:p>
        </w:tc>
        <w:tc>
          <w:tcPr>
            <w:tcW w:w="3623" w:type="pct"/>
            <w:vAlign w:val="center"/>
          </w:tcPr>
          <w:p w14:paraId="07A07CE9">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default" w:ascii="Segoe UI Symbol" w:hAnsi="Segoe UI Symbol" w:cs="Segoe UI Symbol"/>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 xml:space="preserve">书面     </w:t>
            </w:r>
            <w:r>
              <w:rPr>
                <w:rFonts w:hint="eastAsia"/>
                <w:color w:val="000000" w:themeColor="text1"/>
                <w:highlight w:val="none"/>
                <w14:textFill>
                  <w14:solidFill>
                    <w14:schemeClr w14:val="tx1"/>
                  </w14:solidFill>
                </w14:textFill>
              </w:rPr>
              <w:sym w:font="Wingdings" w:char="00A8"/>
            </w:r>
            <w:r>
              <w:rPr>
                <w:rFonts w:hint="eastAsia"/>
                <w:color w:val="000000" w:themeColor="text1"/>
                <w:highlight w:val="none"/>
                <w14:textFill>
                  <w14:solidFill>
                    <w14:schemeClr w14:val="tx1"/>
                  </w14:solidFill>
                </w14:textFill>
              </w:rPr>
              <w:t>数据电文</w:t>
            </w:r>
          </w:p>
        </w:tc>
      </w:tr>
      <w:tr w14:paraId="36C6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32F20661">
            <w:pPr>
              <w:pStyle w:val="74"/>
              <w:keepNext w:val="0"/>
              <w:keepLines w:val="0"/>
              <w:suppressLineNumbers w:val="0"/>
              <w:spacing w:before="0" w:beforeAutospacing="0" w:after="0" w:afterAutospacing="0"/>
              <w:ind w:left="0" w:right="0"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5</w:t>
            </w:r>
          </w:p>
        </w:tc>
        <w:tc>
          <w:tcPr>
            <w:tcW w:w="782" w:type="pct"/>
            <w:vAlign w:val="center"/>
          </w:tcPr>
          <w:p w14:paraId="6D9DE77F">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告知磋商结果的</w:t>
            </w:r>
          </w:p>
          <w:p w14:paraId="3EC3B664">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形式</w:t>
            </w:r>
          </w:p>
        </w:tc>
        <w:tc>
          <w:tcPr>
            <w:tcW w:w="3623" w:type="pct"/>
            <w:vAlign w:val="center"/>
          </w:tcPr>
          <w:p w14:paraId="62E73522">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w:char="F0FE"/>
            </w:r>
            <w:r>
              <w:rPr>
                <w:rFonts w:hint="eastAsia"/>
                <w:color w:val="000000" w:themeColor="text1"/>
                <w:highlight w:val="none"/>
                <w14:textFill>
                  <w14:solidFill>
                    <w14:schemeClr w14:val="tx1"/>
                  </w14:solidFill>
                </w14:textFill>
              </w:rPr>
              <w:t>供应商自行登录系统查看</w:t>
            </w:r>
          </w:p>
          <w:p w14:paraId="5B17A26F">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□磋商现场告知</w:t>
            </w:r>
          </w:p>
        </w:tc>
      </w:tr>
      <w:tr w14:paraId="461D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655AB25D">
            <w:pPr>
              <w:pStyle w:val="74"/>
              <w:keepNext w:val="0"/>
              <w:keepLines w:val="0"/>
              <w:suppressLineNumbers w:val="0"/>
              <w:spacing w:before="0" w:beforeAutospacing="0" w:after="0" w:afterAutospacing="0"/>
              <w:ind w:left="0" w:right="0"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6</w:t>
            </w:r>
          </w:p>
        </w:tc>
        <w:tc>
          <w:tcPr>
            <w:tcW w:w="782" w:type="pct"/>
            <w:vAlign w:val="center"/>
          </w:tcPr>
          <w:p w14:paraId="7333539D">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履约</w:t>
            </w:r>
          </w:p>
          <w:p w14:paraId="2D7724AC">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保证金</w:t>
            </w:r>
          </w:p>
        </w:tc>
        <w:tc>
          <w:tcPr>
            <w:tcW w:w="3623" w:type="pct"/>
          </w:tcPr>
          <w:p w14:paraId="7BF97309">
            <w:pPr>
              <w:keepNext w:val="0"/>
              <w:keepLines w:val="0"/>
              <w:suppressLineNumbers w:val="0"/>
              <w:snapToGrid w:val="0"/>
              <w:spacing w:before="0" w:beforeAutospacing="0" w:after="0" w:afterAutospacing="0"/>
              <w:ind w:left="0" w:right="0" w:firstLine="0" w:firstLineChars="0"/>
              <w:rPr>
                <w:rFonts w:hint="default" w:cs="宋体"/>
                <w:snapToGrid w:val="0"/>
                <w:color w:val="000000" w:themeColor="text1"/>
                <w:szCs w:val="24"/>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sym w:font="Wingdings" w:char="00A8"/>
            </w:r>
            <w:r>
              <w:rPr>
                <w:rFonts w:hint="eastAsia" w:cs="宋体"/>
                <w:color w:val="000000" w:themeColor="text1"/>
                <w:szCs w:val="24"/>
                <w:highlight w:val="none"/>
                <w14:textFill>
                  <w14:solidFill>
                    <w14:schemeClr w14:val="tx1"/>
                  </w14:solidFill>
                </w14:textFill>
              </w:rPr>
              <w:t xml:space="preserve">收取     </w:t>
            </w:r>
            <w:r>
              <w:rPr>
                <w:rFonts w:hint="eastAsia" w:cs="宋体"/>
                <w:color w:val="000000" w:themeColor="text1"/>
                <w:szCs w:val="24"/>
                <w:highlight w:val="none"/>
                <w:lang w:eastAsia="zh-CN"/>
                <w14:textFill>
                  <w14:solidFill>
                    <w14:schemeClr w14:val="tx1"/>
                  </w14:solidFill>
                </w14:textFill>
              </w:rPr>
              <w:t>☑</w:t>
            </w:r>
            <w:r>
              <w:rPr>
                <w:rFonts w:hint="eastAsia" w:cs="宋体"/>
                <w:color w:val="000000" w:themeColor="text1"/>
                <w:szCs w:val="24"/>
                <w:highlight w:val="none"/>
                <w14:textFill>
                  <w14:solidFill>
                    <w14:schemeClr w14:val="tx1"/>
                  </w14:solidFill>
                </w14:textFill>
              </w:rPr>
              <w:t>不收取</w:t>
            </w:r>
          </w:p>
          <w:p w14:paraId="557A7FFE">
            <w:pPr>
              <w:keepNext w:val="0"/>
              <w:keepLines w:val="0"/>
              <w:suppressLineNumbers w:val="0"/>
              <w:snapToGrid w:val="0"/>
              <w:spacing w:before="0" w:beforeAutospacing="0" w:after="0" w:afterAutospacing="0"/>
              <w:ind w:left="0" w:right="0" w:firstLine="0" w:firstLineChars="0"/>
              <w:rPr>
                <w:rFonts w:hint="default" w:cs="宋体"/>
                <w:bCs/>
                <w:snapToGrid w:val="0"/>
                <w:color w:val="000000" w:themeColor="text1"/>
                <w:szCs w:val="24"/>
                <w:highlight w:val="none"/>
                <w14:textFill>
                  <w14:solidFill>
                    <w14:schemeClr w14:val="tx1"/>
                  </w14:solidFill>
                </w14:textFill>
              </w:rPr>
            </w:pPr>
            <w:r>
              <w:rPr>
                <w:rFonts w:hint="eastAsia" w:cs="宋体"/>
                <w:snapToGrid w:val="0"/>
                <w:color w:val="000000" w:themeColor="text1"/>
                <w:szCs w:val="24"/>
                <w:highlight w:val="none"/>
                <w14:textFill>
                  <w14:solidFill>
                    <w14:schemeClr w14:val="tx1"/>
                  </w14:solidFill>
                </w14:textFill>
              </w:rPr>
              <w:t>（1）金额：</w:t>
            </w:r>
            <w:r>
              <w:rPr>
                <w:rFonts w:hint="eastAsia" w:cs="宋体"/>
                <w:color w:val="000000" w:themeColor="text1"/>
                <w:szCs w:val="24"/>
                <w:highlight w:val="none"/>
                <w14:textFill>
                  <w14:solidFill>
                    <w14:schemeClr w14:val="tx1"/>
                  </w14:solidFill>
                </w14:textFill>
              </w:rPr>
              <w:sym w:font="Wingdings" w:char="00A8"/>
            </w:r>
            <w:r>
              <w:rPr>
                <w:rFonts w:hint="eastAsia" w:cs="宋体"/>
                <w:snapToGrid w:val="0"/>
                <w:color w:val="000000" w:themeColor="text1"/>
                <w:szCs w:val="24"/>
                <w:highlight w:val="none"/>
                <w14:textFill>
                  <w14:solidFill>
                    <w14:schemeClr w14:val="tx1"/>
                  </w14:solidFill>
                </w14:textFill>
              </w:rPr>
              <w:t>成交金额的</w:t>
            </w:r>
            <w:r>
              <w:rPr>
                <w:rFonts w:hint="eastAsia" w:cs="宋体"/>
                <w:snapToGrid w:val="0"/>
                <w:color w:val="000000" w:themeColor="text1"/>
                <w:szCs w:val="24"/>
                <w:highlight w:val="none"/>
                <w:u w:val="single"/>
                <w14:textFill>
                  <w14:solidFill>
                    <w14:schemeClr w14:val="tx1"/>
                  </w14:solidFill>
                </w14:textFill>
              </w:rPr>
              <w:t xml:space="preserve">  </w:t>
            </w:r>
            <w:r>
              <w:rPr>
                <w:rFonts w:hint="eastAsia" w:cs="宋体"/>
                <w:snapToGrid w:val="0"/>
                <w:color w:val="000000" w:themeColor="text1"/>
                <w:szCs w:val="24"/>
                <w:highlight w:val="none"/>
                <w14:textFill>
                  <w14:solidFill>
                    <w14:schemeClr w14:val="tx1"/>
                  </w14:solidFill>
                </w14:textFill>
              </w:rPr>
              <w:t xml:space="preserve">%   </w:t>
            </w:r>
            <w:r>
              <w:rPr>
                <w:rFonts w:hint="eastAsia"/>
                <w:color w:val="000000" w:themeColor="text1"/>
                <w:szCs w:val="20"/>
                <w:highlight w:val="none"/>
                <w14:textFill>
                  <w14:solidFill>
                    <w14:schemeClr w14:val="tx1"/>
                  </w14:solidFill>
                </w14:textFill>
              </w:rPr>
              <w:sym w:font="Wingdings" w:char="00A8"/>
            </w:r>
            <w:r>
              <w:rPr>
                <w:rFonts w:hint="eastAsia" w:cs="宋体"/>
                <w:color w:val="000000" w:themeColor="text1"/>
                <w:szCs w:val="24"/>
                <w:highlight w:val="none"/>
                <w14:textFill>
                  <w14:solidFill>
                    <w14:schemeClr w14:val="tx1"/>
                  </w14:solidFill>
                </w14:textFill>
              </w:rPr>
              <w:t>定额收取</w:t>
            </w:r>
            <w:r>
              <w:rPr>
                <w:rFonts w:hint="eastAsia" w:cs="宋体"/>
                <w:color w:val="000000" w:themeColor="text1"/>
                <w:szCs w:val="24"/>
                <w:highlight w:val="none"/>
                <w:u w:val="single"/>
                <w14:textFill>
                  <w14:solidFill>
                    <w14:schemeClr w14:val="tx1"/>
                  </w14:solidFill>
                </w14:textFill>
              </w:rPr>
              <w:t xml:space="preserve">      </w:t>
            </w:r>
            <w:r>
              <w:rPr>
                <w:rFonts w:hint="eastAsia" w:cs="宋体"/>
                <w:color w:val="000000" w:themeColor="text1"/>
                <w:szCs w:val="24"/>
                <w:highlight w:val="none"/>
                <w14:textFill>
                  <w14:solidFill>
                    <w14:schemeClr w14:val="tx1"/>
                  </w14:solidFill>
                </w14:textFill>
              </w:rPr>
              <w:t>元</w:t>
            </w:r>
          </w:p>
          <w:p w14:paraId="1DC30016">
            <w:pPr>
              <w:keepNext w:val="0"/>
              <w:keepLines w:val="0"/>
              <w:suppressLineNumbers w:val="0"/>
              <w:snapToGrid w:val="0"/>
              <w:spacing w:before="0" w:beforeAutospacing="0" w:after="0" w:afterAutospacing="0"/>
              <w:ind w:left="0" w:right="0" w:firstLine="0" w:firstLineChars="0"/>
              <w:rPr>
                <w:rFonts w:hint="default" w:cs="宋体"/>
                <w:color w:val="000000" w:themeColor="text1"/>
                <w:szCs w:val="24"/>
                <w:highlight w:val="none"/>
                <w14:textFill>
                  <w14:solidFill>
                    <w14:schemeClr w14:val="tx1"/>
                  </w14:solidFill>
                </w14:textFill>
              </w:rPr>
            </w:pPr>
            <w:r>
              <w:rPr>
                <w:rFonts w:hint="eastAsia" w:cs="宋体"/>
                <w:bCs/>
                <w:snapToGrid w:val="0"/>
                <w:color w:val="000000" w:themeColor="text1"/>
                <w:szCs w:val="24"/>
                <w:highlight w:val="none"/>
                <w14:textFill>
                  <w14:solidFill>
                    <w14:schemeClr w14:val="tx1"/>
                  </w14:solidFill>
                </w14:textFill>
              </w:rPr>
              <w:t>（2）缴纳形式</w:t>
            </w:r>
            <w:r>
              <w:rPr>
                <w:rFonts w:hint="eastAsia" w:cs="宋体"/>
                <w:color w:val="000000" w:themeColor="text1"/>
                <w:szCs w:val="24"/>
                <w:highlight w:val="none"/>
                <w14:textFill>
                  <w14:solidFill>
                    <w14:schemeClr w14:val="tx1"/>
                  </w14:solidFill>
                </w14:textFill>
              </w:rPr>
              <w:t>：</w:t>
            </w:r>
            <w:r>
              <w:rPr>
                <w:rFonts w:hint="eastAsia"/>
                <w:color w:val="000000" w:themeColor="text1"/>
                <w:szCs w:val="20"/>
                <w:highlight w:val="none"/>
                <w14:textFill>
                  <w14:solidFill>
                    <w14:schemeClr w14:val="tx1"/>
                  </w14:solidFill>
                </w14:textFill>
              </w:rPr>
              <w:sym w:font="Wingdings" w:char="F0FE"/>
            </w:r>
            <w:r>
              <w:rPr>
                <w:rFonts w:hint="eastAsia" w:cs="宋体"/>
                <w:color w:val="000000" w:themeColor="text1"/>
                <w:szCs w:val="24"/>
                <w:highlight w:val="none"/>
                <w14:textFill>
                  <w14:solidFill>
                    <w14:schemeClr w14:val="tx1"/>
                  </w14:solidFill>
                </w14:textFill>
              </w:rPr>
              <w:t xml:space="preserve">银行转账  </w:t>
            </w:r>
            <w:r>
              <w:rPr>
                <w:rFonts w:hint="eastAsia"/>
                <w:color w:val="000000" w:themeColor="text1"/>
                <w:szCs w:val="20"/>
                <w:highlight w:val="none"/>
                <w14:textFill>
                  <w14:solidFill>
                    <w14:schemeClr w14:val="tx1"/>
                  </w14:solidFill>
                </w14:textFill>
              </w:rPr>
              <w:sym w:font="Wingdings" w:char="F0FE"/>
            </w:r>
            <w:r>
              <w:rPr>
                <w:rFonts w:hint="eastAsia" w:cs="宋体"/>
                <w:color w:val="000000" w:themeColor="text1"/>
                <w:szCs w:val="24"/>
                <w:highlight w:val="none"/>
                <w14:textFill>
                  <w14:solidFill>
                    <w14:schemeClr w14:val="tx1"/>
                  </w14:solidFill>
                </w14:textFill>
              </w:rPr>
              <w:t xml:space="preserve">银行电汇 </w:t>
            </w:r>
            <w:r>
              <w:rPr>
                <w:rFonts w:hint="default"/>
                <w:color w:val="000000" w:themeColor="text1"/>
                <w:szCs w:val="24"/>
                <w:highlight w:val="none"/>
                <w14:textFill>
                  <w14:solidFill>
                    <w14:schemeClr w14:val="tx1"/>
                  </w14:solidFill>
                </w14:textFill>
              </w:rPr>
              <w:sym w:font="Wingdings" w:char="00FE"/>
            </w:r>
            <w:r>
              <w:rPr>
                <w:rFonts w:hint="eastAsia" w:cs="宋体"/>
                <w:color w:val="000000" w:themeColor="text1"/>
                <w:szCs w:val="24"/>
                <w:highlight w:val="none"/>
                <w14:textFill>
                  <w14:solidFill>
                    <w14:schemeClr w14:val="tx1"/>
                  </w14:solidFill>
                </w14:textFill>
              </w:rPr>
              <w:t>现金保证</w:t>
            </w:r>
          </w:p>
          <w:p w14:paraId="183116F5">
            <w:pPr>
              <w:keepNext w:val="0"/>
              <w:keepLines w:val="0"/>
              <w:suppressLineNumbers w:val="0"/>
              <w:snapToGrid w:val="0"/>
              <w:spacing w:before="0" w:beforeAutospacing="0" w:after="0" w:afterAutospacing="0"/>
              <w:ind w:left="0" w:right="0" w:firstLine="0" w:firstLineChars="0"/>
              <w:rPr>
                <w:rFonts w:hint="default" w:cs="宋体"/>
                <w:b/>
                <w:bCs/>
                <w:snapToGrid w:val="0"/>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具体要求：合同签订前按规定提交履约保证金，若成交人在规定时限内未提交保证金的，业主单位将书面通知成交人，5日内不能办理的，业主单位将有权取消其成交资格,并没收其磋商保证金。在此情况下业主单位可将该项目授予排名第二的供应商或重新磋商。</w:t>
            </w:r>
          </w:p>
          <w:p w14:paraId="6B8E9C89">
            <w:pPr>
              <w:pStyle w:val="73"/>
              <w:keepNext w:val="0"/>
              <w:keepLines w:val="0"/>
              <w:suppressLineNumbers w:val="0"/>
              <w:spacing w:before="0" w:beforeAutospacing="0" w:after="0" w:afterAutospacing="0"/>
              <w:ind w:left="0" w:right="0"/>
              <w:rPr>
                <w:rFonts w:hint="eastAsia" w:eastAsia="宋体"/>
                <w:b/>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（4）收取单位：</w:t>
            </w:r>
            <w:r>
              <w:rPr>
                <w:rFonts w:hint="eastAsia"/>
                <w:color w:val="000000" w:themeColor="text1"/>
                <w:highlight w:val="none"/>
                <w:lang w:eastAsia="zh-CN"/>
                <w14:textFill>
                  <w14:solidFill>
                    <w14:schemeClr w14:val="tx1"/>
                  </w14:solidFill>
                </w14:textFill>
              </w:rPr>
              <w:t>肥西县中医院</w:t>
            </w:r>
          </w:p>
          <w:p w14:paraId="2A7D16C5">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（5）缴纳时间：合同签订前</w:t>
            </w:r>
          </w:p>
          <w:p w14:paraId="0533C6B0">
            <w:pPr>
              <w:pStyle w:val="73"/>
              <w:keepNext w:val="0"/>
              <w:keepLines w:val="0"/>
              <w:suppressLineNumbers w:val="0"/>
              <w:spacing w:before="0" w:beforeAutospacing="0" w:after="0" w:afterAutospacing="0"/>
              <w:ind w:left="0" w:right="0"/>
              <w:rPr>
                <w:rFonts w:hint="default"/>
                <w:b/>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 xml:space="preserve">（6）退还时间：合同终止且无成交人责任后，一个月内退还。   </w:t>
            </w:r>
          </w:p>
        </w:tc>
      </w:tr>
      <w:tr w14:paraId="51D1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6691022C">
            <w:pPr>
              <w:pStyle w:val="74"/>
              <w:keepNext w:val="0"/>
              <w:keepLines w:val="0"/>
              <w:suppressLineNumbers w:val="0"/>
              <w:spacing w:before="0" w:beforeAutospacing="0" w:after="0" w:afterAutospacing="0"/>
              <w:ind w:left="0" w:right="0"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7</w:t>
            </w:r>
          </w:p>
        </w:tc>
        <w:tc>
          <w:tcPr>
            <w:tcW w:w="782" w:type="pct"/>
            <w:vAlign w:val="center"/>
          </w:tcPr>
          <w:p w14:paraId="499F49F1">
            <w:pPr>
              <w:pStyle w:val="74"/>
              <w:keepNext w:val="0"/>
              <w:keepLines w:val="0"/>
              <w:suppressLineNumbers w:val="0"/>
              <w:spacing w:before="0" w:beforeAutospacing="0" w:after="0" w:afterAutospacing="0"/>
              <w:ind w:left="0" w:right="0" w:firstLine="0" w:firstLineChars="0"/>
              <w:rPr>
                <w:rFonts w:hint="default"/>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代理</w:t>
            </w:r>
          </w:p>
          <w:p w14:paraId="537E6EF4">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服务费</w:t>
            </w:r>
          </w:p>
        </w:tc>
        <w:tc>
          <w:tcPr>
            <w:tcW w:w="3623" w:type="pct"/>
            <w:vAlign w:val="center"/>
          </w:tcPr>
          <w:p w14:paraId="2B98967C">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（1）金额：</w:t>
            </w:r>
          </w:p>
          <w:p w14:paraId="378CBF1E">
            <w:pPr>
              <w:pStyle w:val="73"/>
              <w:keepNext w:val="0"/>
              <w:keepLines w:val="0"/>
              <w:suppressLineNumbers w:val="0"/>
              <w:spacing w:before="0" w:beforeAutospacing="0" w:after="0" w:afterAutospacing="0"/>
              <w:ind w:left="0" w:right="0"/>
              <w:rPr>
                <w:rFonts w:hint="eastAsia" w:eastAsia="宋体"/>
                <w:b/>
                <w:color w:val="0000FF"/>
                <w:highlight w:val="none"/>
                <w:lang w:val="en-US" w:eastAsia="zh-CN"/>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定额收取：</w:t>
            </w:r>
            <w:r>
              <w:rPr>
                <w:rFonts w:hint="eastAsia"/>
                <w:color w:val="000000" w:themeColor="text1"/>
                <w:highlight w:val="none"/>
                <w:lang w:val="en-US" w:eastAsia="zh-CN"/>
                <w14:textFill>
                  <w14:solidFill>
                    <w14:schemeClr w14:val="tx1"/>
                  </w14:solidFill>
                </w14:textFill>
              </w:rPr>
              <w:t>第1包：</w:t>
            </w:r>
            <w:r>
              <w:rPr>
                <w:rFonts w:hint="eastAsia"/>
                <w:color w:val="000000" w:themeColor="text1"/>
                <w:highlight w:val="none"/>
                <w14:textFill>
                  <w14:solidFill>
                    <w14:schemeClr w14:val="tx1"/>
                  </w14:solidFill>
                </w14:textFill>
              </w:rPr>
              <w:t>人民币</w:t>
            </w:r>
            <w:r>
              <w:rPr>
                <w:rFonts w:hint="eastAsia"/>
                <w:color w:val="000000" w:themeColor="text1"/>
                <w:highlight w:val="none"/>
                <w:u w:val="single"/>
                <w:lang w:val="en-US" w:eastAsia="zh-CN"/>
                <w14:textFill>
                  <w14:solidFill>
                    <w14:schemeClr w14:val="tx1"/>
                  </w14:solidFill>
                </w14:textFill>
              </w:rPr>
              <w:t>4200</w:t>
            </w:r>
            <w:r>
              <w:rPr>
                <w:rFonts w:hint="eastAsia"/>
                <w:color w:val="000000" w:themeColor="text1"/>
                <w:highlight w:val="none"/>
                <w14:textFill>
                  <w14:solidFill>
                    <w14:schemeClr w14:val="tx1"/>
                  </w14:solidFill>
                </w14:textFill>
              </w:rPr>
              <w:t>元</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第2包：</w:t>
            </w:r>
            <w:r>
              <w:rPr>
                <w:rFonts w:hint="eastAsia"/>
                <w:color w:val="000000" w:themeColor="text1"/>
                <w:highlight w:val="none"/>
                <w14:textFill>
                  <w14:solidFill>
                    <w14:schemeClr w14:val="tx1"/>
                  </w14:solidFill>
                </w14:textFill>
              </w:rPr>
              <w:t>人民币</w:t>
            </w:r>
            <w:r>
              <w:rPr>
                <w:rFonts w:hint="eastAsia"/>
                <w:color w:val="000000" w:themeColor="text1"/>
                <w:highlight w:val="none"/>
                <w:u w:val="single"/>
                <w:lang w:val="en-US" w:eastAsia="zh-CN"/>
                <w14:textFill>
                  <w14:solidFill>
                    <w14:schemeClr w14:val="tx1"/>
                  </w14:solidFill>
                </w14:textFill>
              </w:rPr>
              <w:t>2400</w:t>
            </w:r>
            <w:r>
              <w:rPr>
                <w:rFonts w:hint="eastAsia"/>
                <w:color w:val="000000" w:themeColor="text1"/>
                <w:highlight w:val="none"/>
                <w14:textFill>
                  <w14:solidFill>
                    <w14:schemeClr w14:val="tx1"/>
                  </w14:solidFill>
                </w14:textFill>
              </w:rPr>
              <w:t>元</w:t>
            </w:r>
            <w:r>
              <w:rPr>
                <w:rFonts w:hint="eastAsia"/>
                <w:color w:val="000000" w:themeColor="text1"/>
                <w:highlight w:val="none"/>
                <w:lang w:eastAsia="zh-CN"/>
                <w14:textFill>
                  <w14:solidFill>
                    <w14:schemeClr w14:val="tx1"/>
                  </w14:solidFill>
                </w14:textFill>
              </w:rPr>
              <w:t>。</w:t>
            </w:r>
          </w:p>
          <w:p w14:paraId="502F46D4">
            <w:pPr>
              <w:pStyle w:val="73"/>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ascii="Segoe UI Symbol" w:hAnsi="Segoe UI Symbol" w:cs="Segoe UI Symbol"/>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按下列标准收取：详见附件1《代理服务费收费标准》，不足4000元按4000元收取。</w:t>
            </w:r>
          </w:p>
          <w:p w14:paraId="66792B45">
            <w:pPr>
              <w:pStyle w:val="73"/>
              <w:keepNext w:val="0"/>
              <w:keepLines w:val="0"/>
              <w:suppressLineNumbers w:val="0"/>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（2）支付方式：</w:t>
            </w:r>
            <w:r>
              <w:rPr>
                <w:rFonts w:hint="default" w:ascii="Segoe UI Symbol" w:hAnsi="Segoe UI Symbol" w:cs="Segoe UI Symbol"/>
                <w:color w:val="000000" w:themeColor="text1"/>
                <w:highlight w:val="none"/>
                <w14:textFill>
                  <w14:solidFill>
                    <w14:schemeClr w14:val="tx1"/>
                  </w14:solidFill>
                </w14:textFill>
              </w:rPr>
              <w:t>☑</w:t>
            </w:r>
            <w:r>
              <w:rPr>
                <w:rFonts w:hint="default"/>
                <w:color w:val="000000" w:themeColor="text1"/>
                <w:highlight w:val="none"/>
                <w14:textFill>
                  <w14:solidFill>
                    <w14:schemeClr w14:val="tx1"/>
                  </w14:solidFill>
                </w14:textFill>
              </w:rPr>
              <w:t>转账/电汇</w:t>
            </w:r>
          </w:p>
          <w:p w14:paraId="3DF5C846">
            <w:pPr>
              <w:keepNext w:val="0"/>
              <w:keepLines w:val="0"/>
              <w:suppressLineNumbers w:val="0"/>
              <w:spacing w:before="0" w:beforeAutospacing="0" w:after="0" w:afterAutospacing="0"/>
              <w:ind w:left="0" w:right="0" w:firstLine="0" w:firstLineChars="0"/>
              <w:rPr>
                <w:rFonts w:hint="default" w:cs="宋体"/>
                <w:color w:val="000000" w:themeColor="text1"/>
                <w:szCs w:val="24"/>
                <w:highlight w:val="none"/>
                <w14:textFill>
                  <w14:solidFill>
                    <w14:schemeClr w14:val="tx1"/>
                  </w14:solidFill>
                </w14:textFill>
              </w:rPr>
            </w:pPr>
            <w:r>
              <w:rPr>
                <w:rFonts w:hint="eastAsia" w:cs="楷体"/>
                <w:bCs/>
                <w:snapToGrid w:val="0"/>
                <w:color w:val="000000" w:themeColor="text1"/>
                <w:szCs w:val="24"/>
                <w:highlight w:val="none"/>
                <w14:textFill>
                  <w14:solidFill>
                    <w14:schemeClr w14:val="tx1"/>
                  </w14:solidFill>
                </w14:textFill>
              </w:rPr>
              <w:t>备注：以上相关费用，供应商在报价单中不单列，包含在报价中，业主单位不再单独计量支付。</w:t>
            </w:r>
          </w:p>
        </w:tc>
      </w:tr>
      <w:tr w14:paraId="6E13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4680120">
            <w:pPr>
              <w:pStyle w:val="74"/>
              <w:keepNext w:val="0"/>
              <w:keepLines w:val="0"/>
              <w:suppressLineNumbers w:val="0"/>
              <w:spacing w:before="0" w:beforeAutospacing="0" w:after="0" w:afterAutospacing="0"/>
              <w:ind w:left="0" w:right="0"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8</w:t>
            </w:r>
          </w:p>
        </w:tc>
        <w:tc>
          <w:tcPr>
            <w:tcW w:w="782" w:type="pct"/>
            <w:vAlign w:val="center"/>
          </w:tcPr>
          <w:p w14:paraId="6C5B47A8">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补充约定</w:t>
            </w:r>
          </w:p>
        </w:tc>
        <w:tc>
          <w:tcPr>
            <w:tcW w:w="3623" w:type="pct"/>
            <w:vAlign w:val="center"/>
          </w:tcPr>
          <w:p w14:paraId="62C6F834">
            <w:pPr>
              <w:keepNext w:val="0"/>
              <w:keepLines w:val="0"/>
              <w:numPr>
                <w:ilvl w:val="255"/>
                <w:numId w:val="0"/>
              </w:numPr>
              <w:suppressLineNumbers w:val="0"/>
              <w:adjustRightInd w:val="0"/>
              <w:snapToGrid w:val="0"/>
              <w:spacing w:before="0" w:beforeAutospacing="0" w:after="0" w:afterAutospacing="0"/>
              <w:ind w:left="0" w:right="0"/>
              <w:rPr>
                <w:rFonts w:hint="default"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（1）通过初审的供应商为3家及以上的，按磋商文件约定进行评审并确定结果；</w:t>
            </w:r>
          </w:p>
          <w:p w14:paraId="357A83B0">
            <w:pPr>
              <w:keepNext w:val="0"/>
              <w:keepLines w:val="0"/>
              <w:suppressLineNumbers w:val="0"/>
              <w:adjustRightInd w:val="0"/>
              <w:snapToGrid w:val="0"/>
              <w:spacing w:before="0" w:beforeAutospacing="0" w:after="0" w:afterAutospacing="0"/>
              <w:ind w:left="0" w:right="0" w:firstLine="0" w:firstLineChars="0"/>
              <w:rPr>
                <w:rFonts w:hint="default"/>
                <w:color w:val="000000" w:themeColor="text1"/>
                <w:szCs w:val="20"/>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（2）通过初审的供应商不足3家的，项目磋商失败。</w:t>
            </w:r>
          </w:p>
        </w:tc>
      </w:tr>
      <w:tr w14:paraId="1F0B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F8D9AB7">
            <w:pPr>
              <w:pStyle w:val="74"/>
              <w:keepNext w:val="0"/>
              <w:keepLines w:val="0"/>
              <w:suppressLineNumbers w:val="0"/>
              <w:spacing w:before="0" w:beforeAutospacing="0" w:after="0" w:afterAutospacing="0"/>
              <w:ind w:left="0" w:right="0"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9</w:t>
            </w:r>
          </w:p>
        </w:tc>
        <w:tc>
          <w:tcPr>
            <w:tcW w:w="782" w:type="pct"/>
            <w:vAlign w:val="center"/>
          </w:tcPr>
          <w:p w14:paraId="271A87A4">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报价须知</w:t>
            </w:r>
          </w:p>
        </w:tc>
        <w:tc>
          <w:tcPr>
            <w:tcW w:w="3623" w:type="pct"/>
            <w:vAlign w:val="center"/>
          </w:tcPr>
          <w:p w14:paraId="0D653E08">
            <w:pPr>
              <w:keepNext w:val="0"/>
              <w:keepLines w:val="0"/>
              <w:suppressLineNumbers w:val="0"/>
              <w:spacing w:before="0" w:beforeAutospacing="0" w:after="0" w:afterAutospacing="0"/>
              <w:ind w:left="0" w:right="0" w:firstLine="0" w:firstLineChars="0"/>
              <w:rPr>
                <w:rFonts w:hint="default" w:cs="宋体"/>
                <w:color w:val="000000" w:themeColor="text1"/>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供应商最终报价不得高于磋商文件（公告）列明的项目预算、最高限价，否则其响应文件将被否决。</w:t>
            </w:r>
          </w:p>
        </w:tc>
      </w:tr>
      <w:tr w14:paraId="2D86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6BD7E5C6">
            <w:pPr>
              <w:pStyle w:val="74"/>
              <w:keepNext w:val="0"/>
              <w:keepLines w:val="0"/>
              <w:suppressLineNumbers w:val="0"/>
              <w:spacing w:before="0" w:beforeAutospacing="0" w:after="0" w:afterAutospacing="0"/>
              <w:ind w:left="0" w:right="0"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w:t>
            </w:r>
          </w:p>
        </w:tc>
        <w:tc>
          <w:tcPr>
            <w:tcW w:w="782" w:type="pct"/>
            <w:vAlign w:val="center"/>
          </w:tcPr>
          <w:p w14:paraId="14F9BF10">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重要说明</w:t>
            </w:r>
          </w:p>
        </w:tc>
        <w:tc>
          <w:tcPr>
            <w:tcW w:w="3623" w:type="pct"/>
            <w:vAlign w:val="center"/>
          </w:tcPr>
          <w:p w14:paraId="289AC532">
            <w:pPr>
              <w:keepNext w:val="0"/>
              <w:keepLines w:val="0"/>
              <w:suppressLineNumbers w:val="0"/>
              <w:spacing w:before="0" w:beforeAutospacing="0" w:after="0" w:afterAutospacing="0"/>
              <w:ind w:left="0" w:right="0" w:firstLine="0" w:firstLineChars="0"/>
              <w:rPr>
                <w:rFonts w:hint="default"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（1）成交人应在规定期限内提交履约保证金并与业主单位签订合同，若成交人未能在规定期限内提交履约保证金或签订合同，业主单位有权取消成交人成交资格；</w:t>
            </w:r>
          </w:p>
          <w:p w14:paraId="26D9C171">
            <w:pPr>
              <w:keepNext w:val="0"/>
              <w:keepLines w:val="0"/>
              <w:suppressLineNumbers w:val="0"/>
              <w:spacing w:before="0" w:beforeAutospacing="0" w:after="0" w:afterAutospacing="0"/>
              <w:ind w:left="0" w:right="0" w:firstLine="0" w:firstLineChars="0"/>
              <w:rPr>
                <w:rFonts w:hint="default"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（2）合同签订后，成交人存在规定时间内不组织人员进场开工，不履行合同义务等情况，业主单位有权解除合同，并追究违约责任；</w:t>
            </w:r>
          </w:p>
          <w:p w14:paraId="28097DFD">
            <w:pPr>
              <w:keepNext w:val="0"/>
              <w:keepLines w:val="0"/>
              <w:suppressLineNumbers w:val="0"/>
              <w:spacing w:before="0" w:beforeAutospacing="0" w:after="0" w:afterAutospacing="0"/>
              <w:ind w:left="0" w:right="0" w:firstLine="0" w:firstLineChars="0"/>
              <w:rPr>
                <w:rFonts w:hint="default"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（3）成交人在成交项目发生投诉、信访举报案件、履约存在争议时，拒绝协助配合有关部门调查案件的，业主单位可以取消其成交资格或解除合同，并追究其违约责任。</w:t>
            </w:r>
          </w:p>
          <w:p w14:paraId="29133704">
            <w:pPr>
              <w:pStyle w:val="4"/>
              <w:suppressLineNumbers w:val="0"/>
              <w:spacing w:before="0" w:beforeAutospacing="0" w:after="0" w:afterAutospacing="0" w:line="360" w:lineRule="auto"/>
              <w:ind w:left="0" w:right="0" w:firstLine="0" w:firstLineChars="0"/>
              <w:rPr>
                <w:rFonts w:hint="default" w:cs="宋体"/>
                <w:b w:val="0"/>
                <w:bCs w:val="0"/>
                <w:color w:val="000000" w:themeColor="text1"/>
                <w:sz w:val="24"/>
                <w:szCs w:val="24"/>
                <w:highlight w:val="none"/>
                <w14:textFill>
                  <w14:solidFill>
                    <w14:schemeClr w14:val="tx1"/>
                  </w14:solidFill>
                </w14:textFill>
              </w:rPr>
            </w:pPr>
            <w:r>
              <w:rPr>
                <w:rFonts w:hint="eastAsia" w:cs="宋体"/>
                <w:b w:val="0"/>
                <w:bCs w:val="0"/>
                <w:color w:val="000000" w:themeColor="text1"/>
                <w:sz w:val="24"/>
                <w:szCs w:val="24"/>
                <w:highlight w:val="none"/>
                <w14:textFill>
                  <w14:solidFill>
                    <w14:schemeClr w14:val="tx1"/>
                  </w14:solidFill>
                </w14:textFill>
              </w:rPr>
              <w:t>（4）供应商参与磋商，应当诚信守法、公平竞争。如有以提供虚假材料（包括但不限于虚假技术参数响应、虚假业绩、虚假证书、虚假检测报告等）、串通参与磋商、隐瞒失信信息等谋取成交的行为，一经发现，业主单位可以取消其成交资格或解除合同，并追究其违约责任。</w:t>
            </w:r>
          </w:p>
        </w:tc>
      </w:tr>
      <w:tr w14:paraId="1777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7791F613">
            <w:pPr>
              <w:pStyle w:val="74"/>
              <w:keepNext w:val="0"/>
              <w:keepLines w:val="0"/>
              <w:suppressLineNumbers w:val="0"/>
              <w:spacing w:before="0" w:beforeAutospacing="0" w:after="0" w:afterAutospacing="0"/>
              <w:ind w:left="0" w:right="0"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21</w:t>
            </w:r>
          </w:p>
        </w:tc>
        <w:tc>
          <w:tcPr>
            <w:tcW w:w="782" w:type="pct"/>
            <w:vAlign w:val="center"/>
          </w:tcPr>
          <w:p w14:paraId="30AE309E">
            <w:pPr>
              <w:pStyle w:val="74"/>
              <w:keepNext w:val="0"/>
              <w:keepLines w:val="0"/>
              <w:suppressLineNumbers w:val="0"/>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电子交易</w:t>
            </w:r>
          </w:p>
        </w:tc>
        <w:tc>
          <w:tcPr>
            <w:tcW w:w="3623" w:type="pct"/>
            <w:vAlign w:val="center"/>
          </w:tcPr>
          <w:p w14:paraId="2DA3B4D5">
            <w:pPr>
              <w:keepNext w:val="0"/>
              <w:keepLines w:val="0"/>
              <w:pageBreakBefore w:val="0"/>
              <w:widowControl w:val="0"/>
              <w:suppressLineNumbers w:val="0"/>
              <w:kinsoku w:val="0"/>
              <w:wordWrap/>
              <w:overflowPunct/>
              <w:topLinePunct w:val="0"/>
              <w:autoSpaceDE w:val="0"/>
              <w:autoSpaceDN w:val="0"/>
              <w:bidi w:val="0"/>
              <w:adjustRightInd/>
              <w:snapToGrid w:val="0"/>
              <w:spacing w:before="0" w:beforeAutospacing="0" w:after="0" w:afterAutospacing="0"/>
              <w:ind w:left="0" w:right="0" w:firstLine="0" w:firstLineChars="0"/>
              <w:jc w:val="left"/>
              <w:textAlignment w:val="auto"/>
              <w:rPr>
                <w:rFonts w:hint="default"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本磋商项目实行全流程电子化交易，除磋商文件另有规定外，电子交易操作要求见附件《全流程电子招标采购具体要求》。</w:t>
            </w:r>
          </w:p>
        </w:tc>
      </w:tr>
      <w:tr w14:paraId="6701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shd w:val="clear" w:color="auto" w:fill="auto"/>
            <w:vAlign w:val="center"/>
          </w:tcPr>
          <w:p w14:paraId="42FC861B">
            <w:pPr>
              <w:pStyle w:val="74"/>
              <w:keepNext w:val="0"/>
              <w:keepLines w:val="0"/>
              <w:suppressLineNumbers w:val="0"/>
              <w:tabs>
                <w:tab w:val="center" w:pos="4153"/>
                <w:tab w:val="right" w:pos="8306"/>
              </w:tabs>
              <w:spacing w:before="0" w:beforeAutospacing="0" w:after="0" w:afterAutospacing="0"/>
              <w:ind w:left="0" w:right="0" w:firstLine="0" w:firstLineChars="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2</w:t>
            </w:r>
          </w:p>
        </w:tc>
        <w:tc>
          <w:tcPr>
            <w:tcW w:w="782" w:type="pct"/>
            <w:shd w:val="clear" w:color="auto" w:fill="auto"/>
            <w:vAlign w:val="center"/>
          </w:tcPr>
          <w:p w14:paraId="512D9E10">
            <w:pPr>
              <w:pStyle w:val="74"/>
              <w:keepNext w:val="0"/>
              <w:keepLines w:val="0"/>
              <w:suppressLineNumbers w:val="0"/>
              <w:tabs>
                <w:tab w:val="center" w:pos="4153"/>
                <w:tab w:val="right" w:pos="8306"/>
              </w:tabs>
              <w:spacing w:before="0" w:beforeAutospacing="0" w:after="0" w:afterAutospacing="0"/>
              <w:ind w:left="0" w:right="0" w:firstLine="0" w:firstLineChars="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解释权</w:t>
            </w:r>
          </w:p>
        </w:tc>
        <w:tc>
          <w:tcPr>
            <w:tcW w:w="3623" w:type="pct"/>
            <w:shd w:val="clear" w:color="auto" w:fill="auto"/>
            <w:vAlign w:val="center"/>
          </w:tcPr>
          <w:p w14:paraId="67BF4DBB">
            <w:pPr>
              <w:keepNext w:val="0"/>
              <w:keepLines w:val="0"/>
              <w:suppressLineNumbers w:val="0"/>
              <w:spacing w:before="0" w:beforeAutospacing="0" w:after="0" w:afterAutospacing="0"/>
              <w:ind w:left="0" w:right="0" w:firstLine="0" w:firstLineChars="0"/>
              <w:rPr>
                <w:rFonts w:hint="default"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（1）构成本磋商文件的各个组成文件应互为解释，互为说明；</w:t>
            </w:r>
          </w:p>
          <w:p w14:paraId="3A4C40DA">
            <w:pPr>
              <w:keepNext w:val="0"/>
              <w:keepLines w:val="0"/>
              <w:suppressLineNumbers w:val="0"/>
              <w:spacing w:before="0" w:beforeAutospacing="0" w:after="0" w:afterAutospacing="0"/>
              <w:ind w:left="0" w:right="0" w:firstLine="0" w:firstLineChars="0"/>
              <w:rPr>
                <w:rFonts w:hint="default"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（2）同一组成文件中就同一事项的规定或约定不一致的，以编排顺序在后者为准；</w:t>
            </w:r>
          </w:p>
          <w:p w14:paraId="7E264868">
            <w:pPr>
              <w:keepNext w:val="0"/>
              <w:keepLines w:val="0"/>
              <w:suppressLineNumbers w:val="0"/>
              <w:spacing w:before="0" w:beforeAutospacing="0" w:after="0" w:afterAutospacing="0"/>
              <w:ind w:left="0" w:right="0" w:firstLine="0" w:firstLineChars="0"/>
              <w:rPr>
                <w:rFonts w:hint="default"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（3）如有不明确或不一致，构成合同文件组成内容的，以合同文件约定内容为准，且以专用合同条款约定的合同文件优先顺序解释；</w:t>
            </w:r>
          </w:p>
          <w:p w14:paraId="3F7B0F68">
            <w:pPr>
              <w:keepNext w:val="0"/>
              <w:keepLines w:val="0"/>
              <w:suppressLineNumbers w:val="0"/>
              <w:spacing w:before="0" w:beforeAutospacing="0" w:after="0" w:afterAutospacing="0"/>
              <w:ind w:left="0" w:right="0" w:firstLine="0" w:firstLineChars="0"/>
              <w:rPr>
                <w:rFonts w:hint="default"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（4）除磋商文件中有特别规定外，仅适用于磋商及响应文件提交阶段的规定，按磋商公告、供应商须知前附表、供应商须知正文、评审方法和标准、响应文件格式的先后顺序解释；</w:t>
            </w:r>
          </w:p>
          <w:p w14:paraId="3D9E551B">
            <w:pPr>
              <w:keepNext w:val="0"/>
              <w:keepLines w:val="0"/>
              <w:suppressLineNumbers w:val="0"/>
              <w:spacing w:before="0" w:beforeAutospacing="0" w:after="0" w:afterAutospacing="0"/>
              <w:ind w:left="0" w:right="0" w:firstLine="0" w:firstLineChars="0"/>
              <w:rPr>
                <w:rFonts w:hint="default" w:cs="宋体"/>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（5）</w:t>
            </w:r>
            <w:r>
              <w:rPr>
                <w:rFonts w:hint="eastAsia" w:cs="宋体"/>
                <w:color w:val="000000" w:themeColor="text1"/>
                <w:szCs w:val="24"/>
                <w:highlight w:val="none"/>
                <w14:textFill>
                  <w14:solidFill>
                    <w14:schemeClr w14:val="tx1"/>
                  </w14:solidFill>
                </w14:textFill>
              </w:rPr>
              <w:t>有澄清的部分以最终的澄清更正内容为准；</w:t>
            </w:r>
          </w:p>
          <w:p w14:paraId="677076E5">
            <w:pPr>
              <w:pStyle w:val="73"/>
              <w:keepNext w:val="0"/>
              <w:keepLines w:val="0"/>
              <w:suppressLineNumbers w:val="0"/>
              <w:spacing w:before="0" w:beforeAutospacing="0" w:after="0" w:afterAutospacing="0"/>
              <w:ind w:left="0" w:right="0" w:firstLine="0" w:firstLineChars="0"/>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（6）按本款前述规定仍不能形成结论的，由业主单位负责解释。</w:t>
            </w:r>
          </w:p>
        </w:tc>
      </w:tr>
      <w:tr w14:paraId="74C6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594" w:type="pct"/>
            <w:shd w:val="clear" w:color="auto" w:fill="auto"/>
            <w:vAlign w:val="center"/>
          </w:tcPr>
          <w:p w14:paraId="18666115">
            <w:pPr>
              <w:pStyle w:val="74"/>
              <w:keepNext w:val="0"/>
              <w:keepLines w:val="0"/>
              <w:suppressLineNumbers w:val="0"/>
              <w:tabs>
                <w:tab w:val="center" w:pos="4153"/>
                <w:tab w:val="right" w:pos="8306"/>
              </w:tabs>
              <w:spacing w:before="0" w:beforeAutospacing="0" w:after="0" w:afterAutospacing="0"/>
              <w:ind w:left="0" w:right="0" w:firstLine="0" w:firstLineChars="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3</w:t>
            </w:r>
          </w:p>
        </w:tc>
        <w:tc>
          <w:tcPr>
            <w:tcW w:w="782" w:type="pct"/>
            <w:shd w:val="clear" w:color="auto" w:fill="auto"/>
            <w:vAlign w:val="center"/>
          </w:tcPr>
          <w:p w14:paraId="2AA81E2B">
            <w:pPr>
              <w:pStyle w:val="74"/>
              <w:keepNext w:val="0"/>
              <w:keepLines w:val="0"/>
              <w:suppressLineNumbers w:val="0"/>
              <w:tabs>
                <w:tab w:val="center" w:pos="4153"/>
                <w:tab w:val="right" w:pos="8306"/>
              </w:tabs>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其他补充</w:t>
            </w:r>
          </w:p>
          <w:p w14:paraId="4CA99932">
            <w:pPr>
              <w:pStyle w:val="74"/>
              <w:keepNext w:val="0"/>
              <w:keepLines w:val="0"/>
              <w:suppressLineNumbers w:val="0"/>
              <w:tabs>
                <w:tab w:val="center" w:pos="4153"/>
                <w:tab w:val="right" w:pos="8306"/>
              </w:tabs>
              <w:spacing w:before="0" w:beforeAutospacing="0" w:after="0" w:afterAutospacing="0"/>
              <w:ind w:left="0" w:right="0" w:firstLine="0" w:firstLineChars="0"/>
              <w:rPr>
                <w:rFonts w:hint="default"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说明</w:t>
            </w:r>
          </w:p>
        </w:tc>
        <w:tc>
          <w:tcPr>
            <w:tcW w:w="3623" w:type="pct"/>
            <w:shd w:val="clear" w:color="auto" w:fill="auto"/>
            <w:vAlign w:val="center"/>
          </w:tcPr>
          <w:p w14:paraId="79466AC6">
            <w:pPr>
              <w:pStyle w:val="73"/>
              <w:keepNext w:val="0"/>
              <w:keepLines w:val="0"/>
              <w:suppressLineNumbers w:val="0"/>
              <w:spacing w:before="0" w:beforeAutospacing="0" w:after="0" w:afterAutospacing="0"/>
              <w:ind w:left="0" w:right="0" w:firstLine="0" w:firstLineChars="0"/>
              <w:rPr>
                <w:rFonts w:hint="default" w:ascii="宋体" w:hAnsi="宋体" w:eastAsia="宋体" w:cs="宋体"/>
                <w:b/>
                <w:bCs/>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供应商不得与</w:t>
            </w:r>
            <w:r>
              <w:rPr>
                <w:rFonts w:hint="eastAsia"/>
                <w:color w:val="000000" w:themeColor="text1"/>
                <w:highlight w:val="none"/>
                <w:lang w:val="zh-CN"/>
                <w14:textFill>
                  <w14:solidFill>
                    <w14:schemeClr w14:val="tx1"/>
                  </w14:solidFill>
                </w14:textFill>
              </w:rPr>
              <w:t>本</w:t>
            </w:r>
            <w:r>
              <w:rPr>
                <w:rFonts w:hint="eastAsia"/>
                <w:color w:val="000000" w:themeColor="text1"/>
                <w:highlight w:val="none"/>
                <w14:textFill>
                  <w14:solidFill>
                    <w14:schemeClr w14:val="tx1"/>
                  </w14:solidFill>
                </w14:textFill>
              </w:rPr>
              <w:t>包</w:t>
            </w:r>
            <w:r>
              <w:rPr>
                <w:rFonts w:hint="eastAsia"/>
                <w:color w:val="000000" w:themeColor="text1"/>
                <w:highlight w:val="none"/>
                <w:lang w:val="zh-CN"/>
                <w14:textFill>
                  <w14:solidFill>
                    <w14:schemeClr w14:val="tx1"/>
                  </w14:solidFill>
                </w14:textFill>
              </w:rPr>
              <w:t>的其他供应商存在</w:t>
            </w:r>
            <w:r>
              <w:rPr>
                <w:rFonts w:hint="eastAsia"/>
                <w:color w:val="000000" w:themeColor="text1"/>
                <w:highlight w:val="none"/>
                <w14:textFill>
                  <w14:solidFill>
                    <w14:schemeClr w14:val="tx1"/>
                  </w14:solidFill>
                </w14:textFill>
              </w:rPr>
              <w:t>单位负责人为同一人或者存在直接控股、管理关系的情形</w:t>
            </w:r>
            <w:r>
              <w:rPr>
                <w:rFonts w:hint="eastAsia"/>
                <w:color w:val="000000" w:themeColor="text1"/>
                <w:highlight w:val="none"/>
                <w:lang w:val="zh-CN"/>
                <w14:textFill>
                  <w14:solidFill>
                    <w14:schemeClr w14:val="tx1"/>
                  </w14:solidFill>
                </w14:textFill>
              </w:rPr>
              <w:t>。</w:t>
            </w:r>
          </w:p>
        </w:tc>
      </w:tr>
      <w:tr w14:paraId="3089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shd w:val="clear" w:color="auto" w:fill="auto"/>
            <w:vAlign w:val="center"/>
          </w:tcPr>
          <w:p w14:paraId="2625E681">
            <w:pPr>
              <w:pStyle w:val="74"/>
              <w:keepNext w:val="0"/>
              <w:keepLines w:val="0"/>
              <w:suppressLineNumbers w:val="0"/>
              <w:tabs>
                <w:tab w:val="center" w:pos="4153"/>
                <w:tab w:val="right" w:pos="8306"/>
              </w:tabs>
              <w:spacing w:before="0" w:beforeAutospacing="0" w:after="0" w:afterAutospacing="0"/>
              <w:ind w:left="0" w:right="0" w:firstLine="0" w:firstLineChars="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4</w:t>
            </w:r>
          </w:p>
        </w:tc>
        <w:tc>
          <w:tcPr>
            <w:tcW w:w="782" w:type="pct"/>
            <w:shd w:val="clear" w:color="auto" w:fill="auto"/>
            <w:vAlign w:val="center"/>
          </w:tcPr>
          <w:p w14:paraId="3EB1814D">
            <w:pPr>
              <w:pStyle w:val="74"/>
              <w:keepNext w:val="0"/>
              <w:keepLines w:val="0"/>
              <w:suppressLineNumbers w:val="0"/>
              <w:tabs>
                <w:tab w:val="center" w:pos="4153"/>
                <w:tab w:val="right" w:pos="8306"/>
              </w:tabs>
              <w:spacing w:before="0" w:beforeAutospacing="0" w:after="0" w:afterAutospacing="0"/>
              <w:ind w:left="0" w:right="0" w:firstLine="0" w:firstLineChars="0"/>
              <w:rPr>
                <w:rFonts w:hint="default"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同义词语</w:t>
            </w:r>
          </w:p>
        </w:tc>
        <w:tc>
          <w:tcPr>
            <w:tcW w:w="3623" w:type="pct"/>
            <w:shd w:val="clear" w:color="auto" w:fill="auto"/>
            <w:vAlign w:val="center"/>
          </w:tcPr>
          <w:p w14:paraId="132508F5">
            <w:pPr>
              <w:pStyle w:val="73"/>
              <w:keepNext w:val="0"/>
              <w:keepLines w:val="0"/>
              <w:suppressLineNumbers w:val="0"/>
              <w:spacing w:before="0" w:beforeAutospacing="0" w:after="0" w:afterAutospacing="0"/>
              <w:ind w:left="0" w:right="0" w:firstLine="0" w:firstLineChars="0"/>
              <w:rPr>
                <w:rFonts w:hint="default" w:ascii="宋体" w:hAnsi="宋体" w:eastAsia="宋体" w:cs="宋体"/>
                <w:b/>
                <w:bCs/>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构成磋商文件组成部分的“供应商须知”、“评审方法和标准”、“响应文件格式”等章节中的“供应商”，等同于磋商阶段的“供应商”。</w:t>
            </w:r>
          </w:p>
        </w:tc>
      </w:tr>
      <w:tr w14:paraId="629F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shd w:val="clear" w:color="auto" w:fill="auto"/>
            <w:vAlign w:val="center"/>
          </w:tcPr>
          <w:p w14:paraId="2343EB14">
            <w:pPr>
              <w:pStyle w:val="74"/>
              <w:keepNext w:val="0"/>
              <w:keepLines w:val="0"/>
              <w:suppressLineNumbers w:val="0"/>
              <w:tabs>
                <w:tab w:val="center" w:pos="4153"/>
                <w:tab w:val="right" w:pos="8306"/>
              </w:tabs>
              <w:spacing w:before="0" w:beforeAutospacing="0" w:after="0" w:afterAutospacing="0"/>
              <w:ind w:left="0" w:right="0" w:firstLine="0" w:firstLineChars="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5</w:t>
            </w:r>
          </w:p>
        </w:tc>
        <w:tc>
          <w:tcPr>
            <w:tcW w:w="782" w:type="pct"/>
            <w:shd w:val="clear" w:color="auto" w:fill="auto"/>
            <w:vAlign w:val="center"/>
          </w:tcPr>
          <w:p w14:paraId="49CC54E0">
            <w:pPr>
              <w:pStyle w:val="74"/>
              <w:keepNext w:val="0"/>
              <w:keepLines w:val="0"/>
              <w:suppressLineNumbers w:val="0"/>
              <w:tabs>
                <w:tab w:val="center" w:pos="4153"/>
                <w:tab w:val="right" w:pos="8306"/>
              </w:tabs>
              <w:spacing w:before="0" w:beforeAutospacing="0" w:after="0" w:afterAutospacing="0"/>
              <w:ind w:left="0" w:right="0" w:firstLine="0" w:firstLineChars="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磋商</w:t>
            </w:r>
          </w:p>
          <w:p w14:paraId="0F631B51">
            <w:pPr>
              <w:pStyle w:val="74"/>
              <w:keepNext w:val="0"/>
              <w:keepLines w:val="0"/>
              <w:suppressLineNumbers w:val="0"/>
              <w:tabs>
                <w:tab w:val="center" w:pos="4153"/>
                <w:tab w:val="right" w:pos="8306"/>
              </w:tabs>
              <w:spacing w:before="0" w:beforeAutospacing="0" w:after="0" w:afterAutospacing="0"/>
              <w:ind w:left="0" w:right="0" w:firstLine="0" w:firstLineChars="0"/>
              <w:rPr>
                <w:rFonts w:hint="default"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有效期</w:t>
            </w:r>
          </w:p>
        </w:tc>
        <w:tc>
          <w:tcPr>
            <w:tcW w:w="3623" w:type="pct"/>
            <w:shd w:val="clear" w:color="auto" w:fill="auto"/>
            <w:vAlign w:val="center"/>
          </w:tcPr>
          <w:p w14:paraId="5437361F">
            <w:pPr>
              <w:pStyle w:val="73"/>
              <w:keepNext w:val="0"/>
              <w:keepLines w:val="0"/>
              <w:suppressLineNumbers w:val="0"/>
              <w:spacing w:before="0" w:beforeAutospacing="0" w:after="0" w:afterAutospacing="0"/>
              <w:ind w:left="0" w:right="0" w:firstLine="0" w:firstLineChars="0"/>
              <w:rPr>
                <w:rFonts w:hint="default"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120天</w:t>
            </w:r>
          </w:p>
        </w:tc>
      </w:tr>
    </w:tbl>
    <w:p w14:paraId="2E5C43E9">
      <w:pPr>
        <w:pStyle w:val="70"/>
        <w:ind w:left="360" w:firstLine="480"/>
        <w:rPr>
          <w:color w:val="000000" w:themeColor="text1"/>
          <w:highlight w:val="none"/>
          <w14:textFill>
            <w14:solidFill>
              <w14:schemeClr w14:val="tx1"/>
            </w14:solidFill>
          </w14:textFill>
        </w:rPr>
      </w:pPr>
      <w:bookmarkStart w:id="5" w:name="_Toc14925"/>
      <w:bookmarkStart w:id="6" w:name="_Toc4558"/>
      <w:r>
        <w:rPr>
          <w:rFonts w:hint="eastAsia"/>
          <w:color w:val="000000" w:themeColor="text1"/>
          <w:highlight w:val="none"/>
          <w14:textFill>
            <w14:solidFill>
              <w14:schemeClr w14:val="tx1"/>
            </w14:solidFill>
          </w14:textFill>
        </w:rPr>
        <w:br w:type="page"/>
      </w:r>
    </w:p>
    <w:p w14:paraId="1C3A3BB8">
      <w:pPr>
        <w:ind w:firstLine="482"/>
        <w:jc w:val="center"/>
        <w:outlineLvl w:val="2"/>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附件1 代理服务费</w:t>
      </w:r>
      <w:bookmarkEnd w:id="5"/>
      <w:r>
        <w:rPr>
          <w:rFonts w:hint="eastAsia" w:asciiTheme="minorEastAsia" w:hAnsiTheme="minorEastAsia" w:eastAsiaTheme="minorEastAsia"/>
          <w:b/>
          <w:color w:val="000000" w:themeColor="text1"/>
          <w:highlight w:val="none"/>
          <w14:textFill>
            <w14:solidFill>
              <w14:schemeClr w14:val="tx1"/>
            </w14:solidFill>
          </w14:textFill>
        </w:rPr>
        <w:t xml:space="preserve">收费标准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4DD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357F5E90">
            <w:pPr>
              <w:keepNext w:val="0"/>
              <w:keepLines w:val="0"/>
              <w:suppressLineNumbers w:val="0"/>
              <w:spacing w:before="0" w:beforeAutospacing="0" w:after="0" w:afterAutospacing="0" w:line="460" w:lineRule="exact"/>
              <w:ind w:left="0" w:right="0" w:firstLine="48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p>
          <w:tbl>
            <w:tblPr>
              <w:tblStyle w:val="56"/>
              <w:tblpPr w:leftFromText="180" w:rightFromText="180" w:vertAnchor="text" w:horzAnchor="page" w:tblpX="207" w:tblpY="6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2025"/>
              <w:gridCol w:w="1888"/>
              <w:gridCol w:w="2287"/>
            </w:tblGrid>
            <w:tr w14:paraId="1322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3F360F67">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成交金额（万元）</w:t>
                  </w:r>
                </w:p>
              </w:tc>
              <w:tc>
                <w:tcPr>
                  <w:tcW w:w="2025" w:type="dxa"/>
                  <w:vAlign w:val="center"/>
                </w:tcPr>
                <w:p w14:paraId="7C7EDA49">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货物</w:t>
                  </w:r>
                </w:p>
              </w:tc>
              <w:tc>
                <w:tcPr>
                  <w:tcW w:w="1888" w:type="dxa"/>
                  <w:vAlign w:val="center"/>
                </w:tcPr>
                <w:p w14:paraId="7D59D26A">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服务</w:t>
                  </w:r>
                </w:p>
              </w:tc>
              <w:tc>
                <w:tcPr>
                  <w:tcW w:w="2287" w:type="dxa"/>
                  <w:vAlign w:val="center"/>
                </w:tcPr>
                <w:p w14:paraId="679A5001">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工程施工/总承包</w:t>
                  </w:r>
                </w:p>
              </w:tc>
            </w:tr>
            <w:tr w14:paraId="0560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3E453FBE">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100以下</w:t>
                  </w:r>
                </w:p>
              </w:tc>
              <w:tc>
                <w:tcPr>
                  <w:tcW w:w="2025" w:type="dxa"/>
                  <w:vAlign w:val="center"/>
                </w:tcPr>
                <w:p w14:paraId="65F692BA">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1.5%</w:t>
                  </w:r>
                </w:p>
              </w:tc>
              <w:tc>
                <w:tcPr>
                  <w:tcW w:w="1888" w:type="dxa"/>
                  <w:vAlign w:val="center"/>
                </w:tcPr>
                <w:p w14:paraId="4200F2B1">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1.5%</w:t>
                  </w:r>
                </w:p>
              </w:tc>
              <w:tc>
                <w:tcPr>
                  <w:tcW w:w="2287" w:type="dxa"/>
                  <w:vAlign w:val="center"/>
                </w:tcPr>
                <w:p w14:paraId="47E45A24">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w:t>
                  </w:r>
                </w:p>
              </w:tc>
            </w:tr>
            <w:tr w14:paraId="6D87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6A087B9B">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100-500</w:t>
                  </w:r>
                </w:p>
              </w:tc>
              <w:tc>
                <w:tcPr>
                  <w:tcW w:w="2025" w:type="dxa"/>
                  <w:vAlign w:val="center"/>
                </w:tcPr>
                <w:p w14:paraId="0A4FD55E">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1.1%</w:t>
                  </w:r>
                </w:p>
              </w:tc>
              <w:tc>
                <w:tcPr>
                  <w:tcW w:w="1888" w:type="dxa"/>
                  <w:vAlign w:val="center"/>
                </w:tcPr>
                <w:p w14:paraId="4E2FD522">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0.8%</w:t>
                  </w:r>
                </w:p>
              </w:tc>
              <w:tc>
                <w:tcPr>
                  <w:tcW w:w="2287" w:type="dxa"/>
                  <w:vAlign w:val="center"/>
                </w:tcPr>
                <w:p w14:paraId="385F7216">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0.7%</w:t>
                  </w:r>
                </w:p>
              </w:tc>
            </w:tr>
            <w:tr w14:paraId="71AA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03219265">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500-1000</w:t>
                  </w:r>
                </w:p>
              </w:tc>
              <w:tc>
                <w:tcPr>
                  <w:tcW w:w="2025" w:type="dxa"/>
                  <w:vAlign w:val="center"/>
                </w:tcPr>
                <w:p w14:paraId="20E7DF25">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0.8%</w:t>
                  </w:r>
                </w:p>
              </w:tc>
              <w:tc>
                <w:tcPr>
                  <w:tcW w:w="1888" w:type="dxa"/>
                  <w:vAlign w:val="center"/>
                </w:tcPr>
                <w:p w14:paraId="306F532B">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0.45%</w:t>
                  </w:r>
                </w:p>
              </w:tc>
              <w:tc>
                <w:tcPr>
                  <w:tcW w:w="2287" w:type="dxa"/>
                  <w:vAlign w:val="center"/>
                </w:tcPr>
                <w:p w14:paraId="72D1F9D2">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0.55%</w:t>
                  </w:r>
                </w:p>
              </w:tc>
            </w:tr>
            <w:tr w14:paraId="0AFA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19533306">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1000-5000</w:t>
                  </w:r>
                </w:p>
              </w:tc>
              <w:tc>
                <w:tcPr>
                  <w:tcW w:w="2025" w:type="dxa"/>
                  <w:vAlign w:val="center"/>
                </w:tcPr>
                <w:p w14:paraId="0C7CBB38">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0.5%</w:t>
                  </w:r>
                </w:p>
              </w:tc>
              <w:tc>
                <w:tcPr>
                  <w:tcW w:w="1888" w:type="dxa"/>
                  <w:vAlign w:val="center"/>
                </w:tcPr>
                <w:p w14:paraId="5B16E007">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0.25%</w:t>
                  </w:r>
                </w:p>
              </w:tc>
              <w:tc>
                <w:tcPr>
                  <w:tcW w:w="2287" w:type="dxa"/>
                  <w:vAlign w:val="center"/>
                </w:tcPr>
                <w:p w14:paraId="69D2A064">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0.35%</w:t>
                  </w:r>
                </w:p>
              </w:tc>
            </w:tr>
            <w:tr w14:paraId="6FA7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2C24E4D9">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5000-10000</w:t>
                  </w:r>
                </w:p>
              </w:tc>
              <w:tc>
                <w:tcPr>
                  <w:tcW w:w="2025" w:type="dxa"/>
                  <w:vAlign w:val="center"/>
                </w:tcPr>
                <w:p w14:paraId="1DDB8427">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0.25%</w:t>
                  </w:r>
                </w:p>
              </w:tc>
              <w:tc>
                <w:tcPr>
                  <w:tcW w:w="1888" w:type="dxa"/>
                  <w:vAlign w:val="center"/>
                </w:tcPr>
                <w:p w14:paraId="0CDCC035">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0.1%</w:t>
                  </w:r>
                </w:p>
              </w:tc>
              <w:tc>
                <w:tcPr>
                  <w:tcW w:w="2287" w:type="dxa"/>
                  <w:vAlign w:val="center"/>
                </w:tcPr>
                <w:p w14:paraId="336F36D6">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0.2%</w:t>
                  </w:r>
                </w:p>
              </w:tc>
            </w:tr>
            <w:tr w14:paraId="3C86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7F709EFE">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10000-100000</w:t>
                  </w:r>
                </w:p>
              </w:tc>
              <w:tc>
                <w:tcPr>
                  <w:tcW w:w="2025" w:type="dxa"/>
                  <w:vAlign w:val="center"/>
                </w:tcPr>
                <w:p w14:paraId="689A2520">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0.05%</w:t>
                  </w:r>
                </w:p>
              </w:tc>
              <w:tc>
                <w:tcPr>
                  <w:tcW w:w="1888" w:type="dxa"/>
                  <w:vAlign w:val="center"/>
                </w:tcPr>
                <w:p w14:paraId="39FD008E">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0.05%</w:t>
                  </w:r>
                </w:p>
              </w:tc>
              <w:tc>
                <w:tcPr>
                  <w:tcW w:w="2287" w:type="dxa"/>
                  <w:vAlign w:val="center"/>
                </w:tcPr>
                <w:p w14:paraId="2D64135A">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0.05%</w:t>
                  </w:r>
                </w:p>
              </w:tc>
            </w:tr>
            <w:tr w14:paraId="5FE0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1CF3F498">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100000以上</w:t>
                  </w:r>
                </w:p>
              </w:tc>
              <w:tc>
                <w:tcPr>
                  <w:tcW w:w="2025" w:type="dxa"/>
                  <w:vAlign w:val="center"/>
                </w:tcPr>
                <w:p w14:paraId="22BFCE6D">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0.01%</w:t>
                  </w:r>
                </w:p>
              </w:tc>
              <w:tc>
                <w:tcPr>
                  <w:tcW w:w="1888" w:type="dxa"/>
                  <w:vAlign w:val="center"/>
                </w:tcPr>
                <w:p w14:paraId="7BFDC82F">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0.01%</w:t>
                  </w:r>
                </w:p>
              </w:tc>
              <w:tc>
                <w:tcPr>
                  <w:tcW w:w="2287" w:type="dxa"/>
                  <w:vAlign w:val="center"/>
                </w:tcPr>
                <w:p w14:paraId="5CF9BBA0">
                  <w:pPr>
                    <w:keepNext w:val="0"/>
                    <w:keepLines w:val="0"/>
                    <w:suppressLineNumbers w:val="0"/>
                    <w:spacing w:before="0" w:beforeAutospacing="0" w:after="0" w:afterAutospacing="0" w:line="460" w:lineRule="exact"/>
                    <w:ind w:left="0" w:right="0" w:firstLine="480"/>
                    <w:jc w:val="center"/>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0.01%</w:t>
                  </w:r>
                </w:p>
              </w:tc>
            </w:tr>
          </w:tbl>
          <w:p w14:paraId="5BA4721E">
            <w:pPr>
              <w:keepNext w:val="0"/>
              <w:keepLines w:val="0"/>
              <w:suppressLineNumbers w:val="0"/>
              <w:spacing w:before="0" w:beforeAutospacing="0" w:after="0" w:afterAutospacing="0" w:line="460" w:lineRule="exact"/>
              <w:ind w:left="0" w:right="0" w:firstLine="48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注：代理服务收费按差额定率累进法计算，成交金额含本数。例如：某服务项目代理业务成交金额为6000万元，</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具体收取金额为上表（代理服务费收费标准）相应项目类别收费标准*100%，</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计算代理服务费收取金额如下：</w:t>
            </w:r>
          </w:p>
          <w:p w14:paraId="7D148C6C">
            <w:pPr>
              <w:keepNext w:val="0"/>
              <w:keepLines w:val="0"/>
              <w:suppressLineNumbers w:val="0"/>
              <w:spacing w:before="0" w:beforeAutospacing="0" w:after="0" w:afterAutospacing="0" w:line="460" w:lineRule="exact"/>
              <w:ind w:left="0" w:right="0" w:firstLine="48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100万元×1.5％＝1.5万元</w:t>
            </w:r>
          </w:p>
          <w:p w14:paraId="641C4E2A">
            <w:pPr>
              <w:keepNext w:val="0"/>
              <w:keepLines w:val="0"/>
              <w:suppressLineNumbers w:val="0"/>
              <w:spacing w:before="0" w:beforeAutospacing="0" w:after="0" w:afterAutospacing="0" w:line="460" w:lineRule="exact"/>
              <w:ind w:left="0" w:right="0" w:firstLine="48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（500－100）万元×0.8％＝3.2万元</w:t>
            </w:r>
          </w:p>
          <w:p w14:paraId="2CBBD74A">
            <w:pPr>
              <w:keepNext w:val="0"/>
              <w:keepLines w:val="0"/>
              <w:suppressLineNumbers w:val="0"/>
              <w:spacing w:before="0" w:beforeAutospacing="0" w:after="0" w:afterAutospacing="0" w:line="460" w:lineRule="exact"/>
              <w:ind w:left="0" w:right="0" w:firstLine="48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（1000－500）万元×0.45％＝2.25万元</w:t>
            </w:r>
          </w:p>
          <w:p w14:paraId="6DE4D292">
            <w:pPr>
              <w:keepNext w:val="0"/>
              <w:keepLines w:val="0"/>
              <w:suppressLineNumbers w:val="0"/>
              <w:spacing w:before="0" w:beforeAutospacing="0" w:after="0" w:afterAutospacing="0" w:line="460" w:lineRule="exact"/>
              <w:ind w:left="0" w:right="0" w:firstLine="48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（5000－1000）万元×0.25％＝10万元</w:t>
            </w:r>
          </w:p>
          <w:p w14:paraId="3CDD8BB5">
            <w:pPr>
              <w:keepNext w:val="0"/>
              <w:keepLines w:val="0"/>
              <w:suppressLineNumbers w:val="0"/>
              <w:spacing w:before="0" w:beforeAutospacing="0" w:after="0" w:afterAutospacing="0" w:line="460" w:lineRule="exact"/>
              <w:ind w:left="0" w:right="0" w:firstLine="48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（6000－5000）万元×0.1％＝1万元</w:t>
            </w:r>
          </w:p>
          <w:p w14:paraId="16BB1C61">
            <w:pPr>
              <w:keepNext w:val="0"/>
              <w:keepLines w:val="0"/>
              <w:suppressLineNumbers w:val="0"/>
              <w:spacing w:before="0" w:beforeAutospacing="0" w:after="0" w:afterAutospacing="0" w:line="460" w:lineRule="exact"/>
              <w:ind w:left="0" w:right="0" w:firstLine="480"/>
              <w:rPr>
                <w:rFonts w:hint="default"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合计收费＝1.5＋3.2＋2.25＋10＋1＝17.95(万元)</w:t>
            </w:r>
          </w:p>
          <w:p w14:paraId="3D69538D">
            <w:pPr>
              <w:pStyle w:val="121"/>
              <w:keepNext w:val="0"/>
              <w:keepLines w:val="0"/>
              <w:suppressLineNumbers w:val="0"/>
              <w:adjustRightInd w:val="0"/>
              <w:snapToGrid w:val="0"/>
              <w:spacing w:before="0" w:beforeAutospacing="0" w:after="0" w:afterAutospacing="0"/>
              <w:ind w:left="0" w:right="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14:paraId="5F8F576E">
      <w:pPr>
        <w:ind w:firstLine="482"/>
        <w:jc w:val="center"/>
        <w:rPr>
          <w:rFonts w:asciiTheme="minorEastAsia" w:hAnsiTheme="minorEastAsia" w:eastAsiaTheme="minorEastAsia"/>
          <w:b/>
          <w:color w:val="000000" w:themeColor="text1"/>
          <w:highlight w:val="none"/>
          <w14:textFill>
            <w14:solidFill>
              <w14:schemeClr w14:val="tx1"/>
            </w14:solidFill>
          </w14:textFill>
        </w:rPr>
      </w:pPr>
      <w:r>
        <w:rPr>
          <w:rFonts w:hint="eastAsia"/>
          <w:b/>
          <w:color w:val="000000" w:themeColor="text1"/>
          <w:szCs w:val="24"/>
          <w:highlight w:val="none"/>
          <w14:textFill>
            <w14:solidFill>
              <w14:schemeClr w14:val="tx1"/>
            </w14:solidFill>
          </w14:textFill>
        </w:rPr>
        <w:br w:type="page"/>
      </w:r>
      <w:bookmarkEnd w:id="6"/>
      <w:r>
        <w:rPr>
          <w:rFonts w:hint="eastAsia" w:asciiTheme="minorEastAsia" w:hAnsiTheme="minorEastAsia" w:eastAsiaTheme="minorEastAsia"/>
          <w:b/>
          <w:color w:val="000000" w:themeColor="text1"/>
          <w:highlight w:val="none"/>
          <w14:textFill>
            <w14:solidFill>
              <w14:schemeClr w14:val="tx1"/>
            </w14:solidFill>
          </w14:textFill>
        </w:rPr>
        <w:t>供应商</w:t>
      </w:r>
      <w:r>
        <w:rPr>
          <w:rFonts w:asciiTheme="minorEastAsia" w:hAnsiTheme="minorEastAsia" w:eastAsiaTheme="minorEastAsia"/>
          <w:b/>
          <w:color w:val="000000" w:themeColor="text1"/>
          <w:highlight w:val="none"/>
          <w14:textFill>
            <w14:solidFill>
              <w14:schemeClr w14:val="tx1"/>
            </w14:solidFill>
          </w14:textFill>
        </w:rPr>
        <w:t>须知</w:t>
      </w:r>
      <w:r>
        <w:rPr>
          <w:rFonts w:hint="eastAsia" w:asciiTheme="minorEastAsia" w:hAnsiTheme="minorEastAsia" w:eastAsiaTheme="minorEastAsia"/>
          <w:b/>
          <w:color w:val="000000" w:themeColor="text1"/>
          <w:highlight w:val="none"/>
          <w14:textFill>
            <w14:solidFill>
              <w14:schemeClr w14:val="tx1"/>
            </w14:solidFill>
          </w14:textFill>
        </w:rPr>
        <w:t>正文</w:t>
      </w:r>
    </w:p>
    <w:p w14:paraId="20D2BC28">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1.有关定义</w:t>
      </w:r>
    </w:p>
    <w:p w14:paraId="74922F33">
      <w:pPr>
        <w:ind w:firstLine="480"/>
        <w:outlineLvl w:val="3"/>
        <w:rPr>
          <w:rFonts w:asciiTheme="minorEastAsia" w:hAnsiTheme="minorEastAsia" w:eastAsiaTheme="minorEastAsia" w:cstheme="minorEastAsia"/>
          <w:bCs/>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t>本项目的交易方式为磋商，业主单位为项目实施建设的发包人（甲方），供应商为参与磋商的主体，成交人为参与磋商，并获得项目实施的承包人（乙方）。</w:t>
      </w:r>
    </w:p>
    <w:p w14:paraId="36680719">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2.资金来源</w:t>
      </w:r>
    </w:p>
    <w:p w14:paraId="53EFA456">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本项目的业主单位已获得足以支付本次磋商后所签订的合同项下的资金。</w:t>
      </w:r>
    </w:p>
    <w:p w14:paraId="21460CBB">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3.磋商费用</w:t>
      </w:r>
    </w:p>
    <w:p w14:paraId="59A10E01">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不论磋商的结果如何，供应商应承担其所有与准备和参加磋商有关的费用。</w:t>
      </w:r>
    </w:p>
    <w:p w14:paraId="72EB9652">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4.磋商文件的澄清与修改</w:t>
      </w:r>
    </w:p>
    <w:p w14:paraId="35819BC3">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4.1供应商如对磋商文件内容有疑问，按供应商须知前附表规定提出。</w:t>
      </w:r>
    </w:p>
    <w:p w14:paraId="6C3C3F3F">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4.2业主单位可主动或在解答供应商提出的问题时对磋商文件进行澄清或者修改。代理机构将在优质采云采购平台</w:t>
      </w:r>
      <w:r>
        <w:rPr>
          <w:rFonts w:hint="eastAsia" w:cs="宋体"/>
          <w:color w:val="000000" w:themeColor="text1"/>
          <w:szCs w:val="18"/>
          <w:highlight w:val="none"/>
          <w14:textFill>
            <w14:solidFill>
              <w14:schemeClr w14:val="tx1"/>
            </w14:solidFill>
          </w14:textFill>
        </w:rPr>
        <w:t>（http://www.youzhicai.com/）</w:t>
      </w:r>
      <w:r>
        <w:rPr>
          <w:rFonts w:hint="eastAsia" w:asciiTheme="minorEastAsia" w:hAnsiTheme="minorEastAsia" w:eastAsiaTheme="minorEastAsia" w:cstheme="minorEastAsia"/>
          <w:color w:val="000000" w:themeColor="text1"/>
          <w:highlight w:val="none"/>
          <w14:textFill>
            <w14:solidFill>
              <w14:schemeClr w14:val="tx1"/>
            </w14:solidFill>
          </w14:textFill>
        </w:rPr>
        <w:t>澄清或修改磋商文件，供应商应主动上网查询。代理机构和业主单位不承担供应商未及时关注相关信息引发的相关责任。</w:t>
      </w:r>
    </w:p>
    <w:p w14:paraId="458C2E3E">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4.3任何人或任何组织向供应商提供的任何书面或口头资料，未经代理机构在网上发布或书面通知，均作无效处理，不得作为磋商文件的组成部分。代理机构对供应商由此而做出的推论、理解和结论概不负责。</w:t>
      </w:r>
    </w:p>
    <w:p w14:paraId="06A6208C">
      <w:pPr>
        <w:ind w:firstLine="480"/>
        <w:rPr>
          <w:rFonts w:asciiTheme="minorEastAsia" w:hAnsiTheme="minorEastAsia" w:eastAsiaTheme="minorEastAsia" w:cstheme="minorEastAsia"/>
          <w:i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4.4对于没有提出疑问又参与了本项目磋商的供应商将被视为完全认同本磋商文件（含澄清、修改等内容）</w:t>
      </w:r>
      <w:r>
        <w:rPr>
          <w:rFonts w:hint="eastAsia" w:asciiTheme="minorEastAsia" w:hAnsiTheme="minorEastAsia" w:eastAsiaTheme="minorEastAsia" w:cstheme="minorEastAsia"/>
          <w:iCs/>
          <w:color w:val="000000" w:themeColor="text1"/>
          <w:highlight w:val="none"/>
          <w14:textFill>
            <w14:solidFill>
              <w14:schemeClr w14:val="tx1"/>
            </w14:solidFill>
          </w14:textFill>
        </w:rPr>
        <w:t>。</w:t>
      </w:r>
    </w:p>
    <w:p w14:paraId="24EA41CE">
      <w:pPr>
        <w:numPr>
          <w:ilvl w:val="0"/>
          <w:numId w:val="3"/>
        </w:num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磋商范围及响应文件中标准和计量单位的使用</w:t>
      </w:r>
    </w:p>
    <w:p w14:paraId="6B48F10F">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5.1项目有分包的，供应商可参与其中某一个或多个分包的磋商，成交包数详见供应商须知前附表中规定。</w:t>
      </w:r>
    </w:p>
    <w:p w14:paraId="34143506">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5.2无论磋商文件中是否要求，供应商所承担项目及伴随的货物和服务均应符合国家强制性标准。</w:t>
      </w:r>
    </w:p>
    <w:p w14:paraId="0F600963">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5.3供应商与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5381A6C7">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5.4除磋商文件中有特殊要求外，响应文件中所使用的计量单位，应采用中华人民共和国法定计量单位。</w:t>
      </w:r>
    </w:p>
    <w:p w14:paraId="3E1251B1">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6.响应文件构成</w:t>
      </w:r>
    </w:p>
    <w:p w14:paraId="4CE686AE">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6.1供应商应完整地按磋商文件提供的响应文件格式及磋商文件评审要求编写响应文件，具体内容详见第六章响应文件格式的相关内容。</w:t>
      </w:r>
    </w:p>
    <w:p w14:paraId="3BC20C60">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6.2上述文件应按照磋商文件规定的格式填写、签署和盖章。</w:t>
      </w:r>
    </w:p>
    <w:p w14:paraId="33E9CA64">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7.报价</w:t>
      </w:r>
    </w:p>
    <w:p w14:paraId="6BE09F24">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.1</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的报价应当包括满足本次</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全部</w:t>
      </w:r>
      <w:r>
        <w:rPr>
          <w:rFonts w:hint="eastAsia"/>
          <w:color w:val="000000" w:themeColor="text1"/>
          <w:highlight w:val="none"/>
          <w14:textFill>
            <w14:solidFill>
              <w14:schemeClr w14:val="tx1"/>
            </w14:solidFill>
          </w14:textFill>
        </w:rPr>
        <w:t>内容。所有报价均应以人民币报价，</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的磋商报价应遵守《中华人民共和国价格法》。</w:t>
      </w:r>
    </w:p>
    <w:p w14:paraId="4DB1D0A5">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2</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应在分项报价表上标明磋商工程的单价（如适用）和总价，未标明的视同包含在磋商报价中。</w:t>
      </w:r>
    </w:p>
    <w:p w14:paraId="6279C3A3">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报价不得高于磋商文件（公告）列明的项目预算</w:t>
      </w:r>
      <w:r>
        <w:rPr>
          <w:rFonts w:hint="eastAsia"/>
          <w:color w:val="000000" w:themeColor="text1"/>
          <w:highlight w:val="none"/>
          <w14:textFill>
            <w14:solidFill>
              <w14:schemeClr w14:val="tx1"/>
            </w14:solidFill>
          </w14:textFill>
        </w:rPr>
        <w:t>、最高限价（控制价）</w:t>
      </w:r>
      <w:r>
        <w:rPr>
          <w:color w:val="000000" w:themeColor="text1"/>
          <w:highlight w:val="none"/>
          <w14:textFill>
            <w14:solidFill>
              <w14:schemeClr w14:val="tx1"/>
            </w14:solidFill>
          </w14:textFill>
        </w:rPr>
        <w:t>，否则其响应文件将被认定为</w:t>
      </w:r>
      <w:r>
        <w:rPr>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286A62B5">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4报价</w:t>
      </w:r>
      <w:r>
        <w:rPr>
          <w:color w:val="000000" w:themeColor="text1"/>
          <w:highlight w:val="none"/>
          <w14:textFill>
            <w14:solidFill>
              <w14:schemeClr w14:val="tx1"/>
            </w14:solidFill>
          </w14:textFill>
        </w:rPr>
        <w:t>在合同履行过程中是固定不变的，不得以任何理由予以变更。任何包含价格调整要求的</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，其</w:t>
      </w:r>
      <w:r>
        <w:rPr>
          <w:rFonts w:hint="eastAsia"/>
          <w:color w:val="000000" w:themeColor="text1"/>
          <w:highlight w:val="none"/>
          <w14:textFill>
            <w14:solidFill>
              <w14:schemeClr w14:val="tx1"/>
            </w14:solidFill>
          </w14:textFill>
        </w:rPr>
        <w:t>响应文件将被认定为</w:t>
      </w:r>
      <w:r>
        <w:rPr>
          <w:rFonts w:hint="eastAsia"/>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49E8233D">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不接受具有附加条件的报价。</w:t>
      </w:r>
    </w:p>
    <w:p w14:paraId="0343FADC">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8.磋商有效期</w:t>
      </w:r>
    </w:p>
    <w:p w14:paraId="6ECEB061">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.1磋商有效期为从响应文件提交截止之日算起的日历天数，磋商有效期详见</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须知前附表。</w:t>
      </w:r>
    </w:p>
    <w:p w14:paraId="0FA9F169">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.2在磋商有效期内，</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的磋商保持有效，</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不得要求撤销或修改其响应文件。磋商有效期不满足要求的响应，其响应文件将被认定为</w:t>
      </w:r>
      <w:r>
        <w:rPr>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012F5E12">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.3为保证有充分时间签订合同，</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或</w:t>
      </w:r>
      <w:r>
        <w:rPr>
          <w:rFonts w:hint="eastAsia"/>
          <w:color w:val="000000" w:themeColor="text1"/>
          <w:highlight w:val="none"/>
          <w14:textFill>
            <w14:solidFill>
              <w14:schemeClr w14:val="tx1"/>
            </w14:solidFill>
          </w14:textFill>
        </w:rPr>
        <w:t>代理机构</w:t>
      </w:r>
      <w:r>
        <w:rPr>
          <w:color w:val="000000" w:themeColor="text1"/>
          <w:highlight w:val="none"/>
          <w14:textFill>
            <w14:solidFill>
              <w14:schemeClr w14:val="tx1"/>
            </w14:solidFill>
          </w14:textFill>
        </w:rPr>
        <w:t>可根据实际情况，在原磋商有效期截止之前，要求</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延长磋商有效期。接受该要求的</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将不会被要求和允许修正其响应文件。</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可以拒绝延长磋商有效期的要求，且不承担任何责任。上述要求和答复都应以书面形式提交。</w:t>
      </w:r>
    </w:p>
    <w:p w14:paraId="0B2C70ED">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9.响应文件的制作</w:t>
      </w:r>
    </w:p>
    <w:p w14:paraId="540FB616">
      <w:pPr>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9.1.本项目采用全流程电子化方式，</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必须递交电子响应文件，并对电子响应文件进行电子签章并使用CA锁进行加密，在磋商文件规定的响应截止时间前使用“优质采投标工具客户端”完成上传。</w:t>
      </w:r>
    </w:p>
    <w:p w14:paraId="6248DED0">
      <w:pPr>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9.2.全流程电磋商项目</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必须上传CA锁加密的电子响应文件，</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下载磋商文件后，如未在磋商文件规定的响应文件递交截止时间前上传电子响应文件，视为无效；</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在响应文件递交截止时间前，可以对其所递交的电子响应文件进行撤回，修改后重新上传（具体操作详见教程）；</w:t>
      </w:r>
    </w:p>
    <w:p w14:paraId="7676AC4A">
      <w:pPr>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9.3.响应文件递交截止时间以优质采云采购平台（</w:t>
      </w:r>
      <w:r>
        <w:rPr>
          <w:rFonts w:hint="eastAsia" w:cs="宋体"/>
          <w:color w:val="000000" w:themeColor="text1"/>
          <w:szCs w:val="18"/>
          <w:highlight w:val="none"/>
          <w14:textFill>
            <w14:solidFill>
              <w14:schemeClr w14:val="tx1"/>
            </w14:solidFill>
          </w14:textFill>
        </w:rPr>
        <w:t>http://www.youzhicai.com/</w:t>
      </w:r>
      <w:r>
        <w:rPr>
          <w:rFonts w:hint="eastAsia" w:cs="宋体"/>
          <w:color w:val="000000" w:themeColor="text1"/>
          <w:highlight w:val="none"/>
          <w14:textFill>
            <w14:solidFill>
              <w14:schemeClr w14:val="tx1"/>
            </w14:solidFill>
          </w14:textFill>
        </w:rPr>
        <w:t>）系统的时间为准，逾期系统将自动关闭，电子响应文件未完成上传的，视为没有递交响应文件；</w:t>
      </w:r>
    </w:p>
    <w:p w14:paraId="54B05F4B">
      <w:pPr>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9.4.响应文件可远程解密，</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无需到达磋商现场。磋商文件“</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须知”中另有规定的，从其规定。</w:t>
      </w:r>
    </w:p>
    <w:p w14:paraId="35920C03">
      <w:pPr>
        <w:ind w:firstLine="48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9.5.</w:t>
      </w:r>
      <w:r>
        <w:rPr>
          <w:rFonts w:hint="eastAsia"/>
          <w:color w:val="000000" w:themeColor="text1"/>
          <w:szCs w:val="18"/>
          <w:highlight w:val="none"/>
          <w14:textFill>
            <w14:solidFill>
              <w14:schemeClr w14:val="tx1"/>
            </w14:solidFill>
          </w14:textFill>
        </w:rPr>
        <w:t xml:space="preserve"> 供应商</w:t>
      </w:r>
      <w:r>
        <w:rPr>
          <w:rFonts w:hint="eastAsia" w:cs="宋体"/>
          <w:color w:val="000000" w:themeColor="text1"/>
          <w:highlight w:val="none"/>
          <w14:textFill>
            <w14:solidFill>
              <w14:schemeClr w14:val="tx1"/>
            </w14:solidFill>
          </w14:textFill>
        </w:rPr>
        <w:t>在制作、上传电子响应文件过程中，若存在技术操作问题，请及时联系优质采云采购平台客服人员，客服电话：400-0099-555，0551-62220164，0551-62220012。</w:t>
      </w:r>
    </w:p>
    <w:p w14:paraId="2759A7B4">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10.响应文件提交截止时间</w:t>
      </w:r>
    </w:p>
    <w:p w14:paraId="3957B2EE">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10.1供应商应在供应商须知前附表中规定的响应文件提交截止时间前，在网上提交加密电子响应文件。</w:t>
      </w:r>
    </w:p>
    <w:p w14:paraId="2C1CF96F">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10.2供应商在磋商文件规定的响应文件提交截止时间前上传了网上加密电子响应文件，但未在规定时间内进行解密的，响应无效。</w:t>
      </w:r>
    </w:p>
    <w:p w14:paraId="79EDC121">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10.3业主单位和代理机构延迟响应文件提交截止时间的，在此情况下，业主单位、代理机构和供应商受响应文件提交截止时间制约的所有权利和义务均应延长至新的截止时间。</w:t>
      </w:r>
    </w:p>
    <w:p w14:paraId="598B0C7C">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11.响应文件的提交、修改与撤回</w:t>
      </w:r>
    </w:p>
    <w:p w14:paraId="0D003F68">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11.1供应商应当在第一章“磋商邀请”规定的响应文件提交截止时间前，将加密的响应文件在优质采云采购平台（http://www.youzhicai.com/）上传。</w:t>
      </w:r>
    </w:p>
    <w:p w14:paraId="13AA4674">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11.2供应商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72C00766">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11.3供应商应在供应商须知前附表规定的解密时间前（以优质采云采购平台（http://www.youzhicai.com/）系统的解密倒计时为准）对本单位的响应文件进行解密，代理机构工作人员解密所有响应文件。</w:t>
      </w:r>
    </w:p>
    <w:p w14:paraId="5F4F7C63">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11.4在响应文件提交截止时间之后，供应商不得对其响应文件做任何修改。但属于评审委员会在评审中发现的计算错误并进行核实的修改、按照磋商文件的变动情况和评审委员会的要求重新提交响应文件的，不在此列。</w:t>
      </w:r>
    </w:p>
    <w:p w14:paraId="0E241160">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12.评审委员会</w:t>
      </w:r>
    </w:p>
    <w:p w14:paraId="038B81A4">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12.1由业主单位委派或业主单位委托代理机构依法抽取经济技术专家等方式组建的评审委员会，负责本项目评审工作。评审委员会成员由3人以上单数组成，评审委员会及其成员应当依照有关规定履行相关职责和义务。</w:t>
      </w:r>
    </w:p>
    <w:p w14:paraId="1A637870">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12.2评审委员会根据磋商文件规定的评审方法和标准对供应商提交的响应文件进行评审，从质量和服务均能满足磋商文件实质性响应要求的供应商中推荐成交候选人，并编写评审报告。</w:t>
      </w:r>
    </w:p>
    <w:p w14:paraId="4EB4B936">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13</w:t>
      </w:r>
      <w:r>
        <w:rPr>
          <w:rFonts w:asciiTheme="minorEastAsia" w:hAnsiTheme="minorEastAsia" w:eastAsiaTheme="minorEastAsia" w:cstheme="minorEastAsia"/>
          <w:b/>
          <w:color w:val="000000" w:themeColor="text1"/>
          <w:highlight w:val="none"/>
          <w14:textFill>
            <w14:solidFill>
              <w14:schemeClr w14:val="tx1"/>
            </w14:solidFill>
          </w14:textFill>
        </w:rPr>
        <w:t>.响应文件的评审与磋商</w:t>
      </w:r>
    </w:p>
    <w:p w14:paraId="1918C1BD">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w:t>
      </w:r>
      <w:r>
        <w:rPr>
          <w:rFonts w:hint="eastAsia"/>
          <w:color w:val="000000" w:themeColor="text1"/>
          <w:szCs w:val="18"/>
          <w:highlight w:val="none"/>
          <w14:textFill>
            <w14:solidFill>
              <w14:schemeClr w14:val="tx1"/>
            </w14:solidFill>
          </w14:textFill>
        </w:rPr>
        <w:t>业主单位</w:t>
      </w:r>
      <w:r>
        <w:rPr>
          <w:rFonts w:hint="eastAsia"/>
          <w:color w:val="000000" w:themeColor="text1"/>
          <w:highlight w:val="none"/>
          <w14:textFill>
            <w14:solidFill>
              <w14:schemeClr w14:val="tx1"/>
            </w14:solidFill>
          </w14:textFill>
        </w:rPr>
        <w:t>和代理机构将在</w:t>
      </w:r>
      <w:r>
        <w:rPr>
          <w:rFonts w:hint="eastAsia"/>
          <w:color w:val="000000" w:themeColor="text1"/>
          <w:szCs w:val="18"/>
          <w:highlight w:val="none"/>
          <w:u w:val="single"/>
          <w14:textFill>
            <w14:solidFill>
              <w14:schemeClr w14:val="tx1"/>
            </w14:solidFill>
          </w14:textFill>
        </w:rPr>
        <w:t>参审单位</w:t>
      </w:r>
      <w:r>
        <w:rPr>
          <w:color w:val="000000" w:themeColor="text1"/>
          <w:highlight w:val="none"/>
          <w:u w:val="single"/>
          <w14:textFill>
            <w14:solidFill>
              <w14:schemeClr w14:val="tx1"/>
            </w14:solidFill>
          </w14:textFill>
        </w:rPr>
        <w:t>须知前附表</w:t>
      </w:r>
      <w:r>
        <w:rPr>
          <w:rFonts w:hint="eastAsia"/>
          <w:color w:val="000000" w:themeColor="text1"/>
          <w:highlight w:val="none"/>
          <w14:textFill>
            <w14:solidFill>
              <w14:schemeClr w14:val="tx1"/>
            </w14:solidFill>
          </w14:textFill>
        </w:rPr>
        <w:t>规定的时间和地点组织磋商。</w:t>
      </w:r>
    </w:p>
    <w:p w14:paraId="4E4736FA">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13.2磋商活动采用综合评分法评审。</w:t>
      </w:r>
    </w:p>
    <w:p w14:paraId="2C47822A">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综合评分法，是指响应文件满足磋商文件全部实质性要求且按评审因素的量化指标评审得分最高的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为成交候选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的评审方法。</w:t>
      </w:r>
    </w:p>
    <w:p w14:paraId="253808D6">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13.3磋商小组将按照磋商文件规定的</w:t>
      </w:r>
      <w:r>
        <w:rPr>
          <w:color w:val="000000" w:themeColor="text1"/>
          <w:highlight w:val="none"/>
          <w14:textFill>
            <w14:solidFill>
              <w14:schemeClr w14:val="tx1"/>
            </w14:solidFill>
          </w14:textFill>
        </w:rPr>
        <w:t>评审</w:t>
      </w:r>
      <w:r>
        <w:rPr>
          <w:rFonts w:hint="eastAsia"/>
          <w:color w:val="000000" w:themeColor="text1"/>
          <w:highlight w:val="none"/>
          <w14:textFill>
            <w14:solidFill>
              <w14:schemeClr w14:val="tx1"/>
            </w14:solidFill>
          </w14:textFill>
        </w:rPr>
        <w:t>方</w:t>
      </w:r>
      <w:r>
        <w:rPr>
          <w:color w:val="000000" w:themeColor="text1"/>
          <w:highlight w:val="none"/>
          <w14:textFill>
            <w14:solidFill>
              <w14:schemeClr w14:val="tx1"/>
            </w14:solidFill>
          </w14:textFill>
        </w:rPr>
        <w:t>法</w:t>
      </w:r>
      <w:r>
        <w:rPr>
          <w:rFonts w:hint="eastAsia"/>
          <w:color w:val="000000" w:themeColor="text1"/>
          <w:highlight w:val="none"/>
          <w14:textFill>
            <w14:solidFill>
              <w14:schemeClr w14:val="tx1"/>
            </w14:solidFill>
          </w14:textFill>
        </w:rPr>
        <w:t>和标准对</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独立进行评审。评审程序如下：</w:t>
      </w:r>
    </w:p>
    <w:p w14:paraId="6509EF3D">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13.3.1</w:t>
      </w:r>
      <w:r>
        <w:rPr>
          <w:rFonts w:hint="eastAsia"/>
          <w:b/>
          <w:color w:val="000000" w:themeColor="text1"/>
          <w:highlight w:val="none"/>
          <w14:textFill>
            <w14:solidFill>
              <w14:schemeClr w14:val="tx1"/>
            </w14:solidFill>
          </w14:textFill>
        </w:rPr>
        <w:t>初审</w:t>
      </w:r>
      <w:r>
        <w:rPr>
          <w:rFonts w:hint="eastAsia"/>
          <w:color w:val="000000" w:themeColor="text1"/>
          <w:highlight w:val="none"/>
          <w14:textFill>
            <w14:solidFill>
              <w14:schemeClr w14:val="tx1"/>
            </w14:solidFill>
          </w14:textFill>
        </w:rPr>
        <w:t>。磋商小组对</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必须满足和实质性响应的内容进行评审，</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未实质性响应磋商文件要求导致响应无效的，磋商小组将以书面询问的方式告知有关</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w:t>
      </w:r>
    </w:p>
    <w:p w14:paraId="6DCBFBDE">
      <w:pPr>
        <w:ind w:firstLine="470" w:firstLineChars="196"/>
        <w:rPr>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或</w:t>
      </w:r>
      <w:r>
        <w:rPr>
          <w:rFonts w:hint="eastAsia"/>
          <w:color w:val="000000" w:themeColor="text1"/>
          <w:highlight w:val="none"/>
          <w14:textFill>
            <w14:solidFill>
              <w14:schemeClr w14:val="tx1"/>
            </w14:solidFill>
          </w14:textFill>
        </w:rPr>
        <w:t>代理机构将在响应文件提交截止时间后至评审结束前查询</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的信用记录。</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存在不良信用记录的，其响应文件将被认定为</w:t>
      </w:r>
      <w:r>
        <w:rPr>
          <w:rFonts w:hint="eastAsia"/>
          <w:b/>
          <w:color w:val="000000" w:themeColor="text1"/>
          <w:highlight w:val="none"/>
          <w14:textFill>
            <w14:solidFill>
              <w14:schemeClr w14:val="tx1"/>
            </w14:solidFill>
          </w14:textFill>
        </w:rPr>
        <w:t>响应无效</w:t>
      </w:r>
      <w:r>
        <w:rPr>
          <w:rFonts w:hint="eastAsia"/>
          <w:color w:val="000000" w:themeColor="text1"/>
          <w:highlight w:val="none"/>
          <w14:textFill>
            <w14:solidFill>
              <w14:schemeClr w14:val="tx1"/>
            </w14:solidFill>
          </w14:textFill>
        </w:rPr>
        <w:t>。</w:t>
      </w:r>
    </w:p>
    <w:p w14:paraId="18F97018">
      <w:pPr>
        <w:ind w:firstLine="470" w:firstLineChars="196"/>
        <w:rPr>
          <w:rFonts w:cs="宋体"/>
          <w:color w:val="000000" w:themeColor="text1"/>
          <w:kern w:val="21"/>
          <w:szCs w:val="24"/>
          <w:highlight w:val="none"/>
          <w:lang w:bidi="ar"/>
          <w14:textFill>
            <w14:solidFill>
              <w14:schemeClr w14:val="tx1"/>
            </w14:solidFill>
          </w14:textFill>
        </w:rPr>
      </w:pPr>
      <w:r>
        <w:rPr>
          <w:rFonts w:hint="eastAsia" w:cs="宋体"/>
          <w:color w:val="000000" w:themeColor="text1"/>
          <w:kern w:val="21"/>
          <w:szCs w:val="24"/>
          <w:highlight w:val="none"/>
          <w:lang w:bidi="ar"/>
          <w14:textFill>
            <w14:solidFill>
              <w14:schemeClr w14:val="tx1"/>
            </w14:solidFill>
          </w14:textFill>
        </w:rPr>
        <w:t>13.3.1.1信用信息查询渠道：“信用中国”网站（www.creditchina.gov.cn）、国家企业信用信息公示系统（</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"http://www.gsxt.gov.cn" </w:instrText>
      </w:r>
      <w:r>
        <w:rPr>
          <w:color w:val="000000" w:themeColor="text1"/>
          <w:highlight w:val="none"/>
          <w14:textFill>
            <w14:solidFill>
              <w14:schemeClr w14:val="tx1"/>
            </w14:solidFill>
          </w14:textFill>
        </w:rPr>
        <w:fldChar w:fldCharType="separate"/>
      </w:r>
      <w:r>
        <w:rPr>
          <w:rStyle w:val="63"/>
          <w:rFonts w:hint="eastAsia" w:cs="宋体"/>
          <w:color w:val="000000" w:themeColor="text1"/>
          <w:kern w:val="21"/>
          <w:szCs w:val="24"/>
          <w:highlight w:val="none"/>
          <w:lang w:bidi="ar"/>
          <w14:textFill>
            <w14:solidFill>
              <w14:schemeClr w14:val="tx1"/>
            </w14:solidFill>
          </w14:textFill>
        </w:rPr>
        <w:t>www.gsxt.gov.cn</w:t>
      </w:r>
      <w:r>
        <w:rPr>
          <w:rStyle w:val="63"/>
          <w:rFonts w:hint="eastAsia" w:cs="宋体"/>
          <w:color w:val="000000" w:themeColor="text1"/>
          <w:kern w:val="21"/>
          <w:szCs w:val="24"/>
          <w:highlight w:val="none"/>
          <w:lang w:bidi="ar"/>
          <w14:textFill>
            <w14:solidFill>
              <w14:schemeClr w14:val="tx1"/>
            </w14:solidFill>
          </w14:textFill>
        </w:rPr>
        <w:fldChar w:fldCharType="end"/>
      </w:r>
      <w:r>
        <w:rPr>
          <w:rFonts w:hint="eastAsia" w:cs="宋体"/>
          <w:color w:val="000000" w:themeColor="text1"/>
          <w:kern w:val="21"/>
          <w:szCs w:val="24"/>
          <w:highlight w:val="none"/>
          <w:lang w:bidi="ar"/>
          <w14:textFill>
            <w14:solidFill>
              <w14:schemeClr w14:val="tx1"/>
            </w14:solidFill>
          </w14:textFill>
        </w:rPr>
        <w:t>）：</w:t>
      </w:r>
    </w:p>
    <w:p w14:paraId="4D0E5725">
      <w:pPr>
        <w:ind w:firstLine="480"/>
        <w:rPr>
          <w:rFonts w:cs="宋体"/>
          <w:color w:val="000000" w:themeColor="text1"/>
          <w:szCs w:val="24"/>
          <w:highlight w:val="none"/>
          <w14:textFill>
            <w14:solidFill>
              <w14:schemeClr w14:val="tx1"/>
            </w14:solidFill>
          </w14:textFill>
        </w:rPr>
      </w:pPr>
      <w:bookmarkStart w:id="7" w:name="_Hlk192058264"/>
      <w:r>
        <w:rPr>
          <w:rFonts w:hint="eastAsia" w:cs="宋体"/>
          <w:color w:val="000000" w:themeColor="text1"/>
          <w:szCs w:val="24"/>
          <w:highlight w:val="none"/>
          <w14:textFill>
            <w14:solidFill>
              <w14:schemeClr w14:val="tx1"/>
            </w14:solidFill>
          </w14:textFill>
        </w:rPr>
        <w:t>（</w:t>
      </w:r>
      <w:r>
        <w:rPr>
          <w:rFonts w:cs="宋体"/>
          <w:color w:val="000000" w:themeColor="text1"/>
          <w:szCs w:val="24"/>
          <w:highlight w:val="none"/>
          <w14:textFill>
            <w14:solidFill>
              <w14:schemeClr w14:val="tx1"/>
            </w14:solidFill>
          </w14:textFill>
        </w:rPr>
        <w:t>1</w:t>
      </w:r>
      <w:r>
        <w:rPr>
          <w:rFonts w:hint="eastAsia" w:cs="宋体"/>
          <w:color w:val="000000" w:themeColor="text1"/>
          <w:szCs w:val="24"/>
          <w:highlight w:val="none"/>
          <w14:textFill>
            <w14:solidFill>
              <w14:schemeClr w14:val="tx1"/>
            </w14:solidFill>
          </w14:textFill>
        </w:rPr>
        <w:t>）在国家企业信用信息公示系统（http://www.gsxt.gov.cn/）中被列入严重违法失信企业名单；</w:t>
      </w:r>
    </w:p>
    <w:p w14:paraId="59ABB93A">
      <w:pPr>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w:t>
      </w:r>
      <w:r>
        <w:rPr>
          <w:rFonts w:cs="宋体"/>
          <w:color w:val="000000" w:themeColor="text1"/>
          <w:szCs w:val="24"/>
          <w:highlight w:val="none"/>
          <w14:textFill>
            <w14:solidFill>
              <w14:schemeClr w14:val="tx1"/>
            </w14:solidFill>
          </w14:textFill>
        </w:rPr>
        <w:t>2</w:t>
      </w:r>
      <w:r>
        <w:rPr>
          <w:rFonts w:hint="eastAsia" w:cs="宋体"/>
          <w:color w:val="000000" w:themeColor="text1"/>
          <w:szCs w:val="24"/>
          <w:highlight w:val="none"/>
          <w14:textFill>
            <w14:solidFill>
              <w14:schemeClr w14:val="tx1"/>
            </w14:solidFill>
          </w14:textFill>
        </w:rPr>
        <w:t>）在“信用中国”网站（http://www.creditchina.gov.cn/）中被列入失信被执行人名单；</w:t>
      </w:r>
    </w:p>
    <w:p w14:paraId="0A3940A1">
      <w:pPr>
        <w:ind w:firstLine="480"/>
        <w:rPr>
          <w:color w:val="000000" w:themeColor="text1"/>
          <w:highlight w:val="none"/>
          <w:lang w:bidi="ar"/>
          <w14:textFill>
            <w14:solidFill>
              <w14:schemeClr w14:val="tx1"/>
            </w14:solidFill>
          </w14:textFill>
        </w:rPr>
      </w:pPr>
      <w:r>
        <w:rPr>
          <w:rFonts w:hint="eastAsia" w:cs="宋体"/>
          <w:color w:val="000000" w:themeColor="text1"/>
          <w:szCs w:val="24"/>
          <w:highlight w:val="none"/>
          <w14:textFill>
            <w14:solidFill>
              <w14:schemeClr w14:val="tx1"/>
            </w14:solidFill>
          </w14:textFill>
        </w:rPr>
        <w:t>（3）在“信用中国”网站（http://www.creditchina.gov.cn/）中被列入重大税收违法案件当事人名单；</w:t>
      </w:r>
    </w:p>
    <w:bookmarkEnd w:id="7"/>
    <w:p w14:paraId="49A34515">
      <w:pPr>
        <w:ind w:firstLine="360" w:firstLineChars="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以联合体形式参加磋商的，联合体任何成员存在以上不良信用记录的，联合体磋商将被认定为</w:t>
      </w:r>
      <w:r>
        <w:rPr>
          <w:rFonts w:hint="eastAsia"/>
          <w:b/>
          <w:color w:val="000000" w:themeColor="text1"/>
          <w:highlight w:val="none"/>
          <w14:textFill>
            <w14:solidFill>
              <w14:schemeClr w14:val="tx1"/>
            </w14:solidFill>
          </w14:textFill>
        </w:rPr>
        <w:t>响应无效</w:t>
      </w:r>
      <w:r>
        <w:rPr>
          <w:rFonts w:hint="eastAsia"/>
          <w:color w:val="000000" w:themeColor="text1"/>
          <w:highlight w:val="none"/>
          <w14:textFill>
            <w14:solidFill>
              <w14:schemeClr w14:val="tx1"/>
            </w14:solidFill>
          </w14:textFill>
        </w:rPr>
        <w:t>。</w:t>
      </w:r>
    </w:p>
    <w:p w14:paraId="212E65FF">
      <w:pPr>
        <w:ind w:firstLine="480"/>
        <w:jc w:val="left"/>
        <w:rPr>
          <w:rFonts w:cs="宋体"/>
          <w:color w:val="000000" w:themeColor="text1"/>
          <w:kern w:val="21"/>
          <w:szCs w:val="24"/>
          <w:highlight w:val="none"/>
          <w:lang w:bidi="ar"/>
          <w14:textFill>
            <w14:solidFill>
              <w14:schemeClr w14:val="tx1"/>
            </w14:solidFill>
          </w14:textFill>
        </w:rPr>
      </w:pPr>
      <w:r>
        <w:rPr>
          <w:rFonts w:hint="eastAsia" w:cs="宋体"/>
          <w:color w:val="000000" w:themeColor="text1"/>
          <w:kern w:val="21"/>
          <w:szCs w:val="24"/>
          <w:highlight w:val="none"/>
          <w:lang w:bidi="ar"/>
          <w14:textFill>
            <w14:solidFill>
              <w14:schemeClr w14:val="tx1"/>
            </w14:solidFill>
          </w14:textFill>
        </w:rPr>
        <w:t>13.3.1.2</w:t>
      </w:r>
      <w:r>
        <w:rPr>
          <w:rFonts w:cs="宋体"/>
          <w:color w:val="000000" w:themeColor="text1"/>
          <w:kern w:val="21"/>
          <w:szCs w:val="24"/>
          <w:highlight w:val="none"/>
          <w:lang w:bidi="ar"/>
          <w14:textFill>
            <w14:solidFill>
              <w14:schemeClr w14:val="tx1"/>
            </w14:solidFill>
          </w14:textFill>
        </w:rPr>
        <w:t>参审单位不良信用记录以业主单位或代理机构查询结果为准</w:t>
      </w:r>
      <w:r>
        <w:rPr>
          <w:rFonts w:hint="eastAsia" w:cs="宋体"/>
          <w:color w:val="000000" w:themeColor="text1"/>
          <w:kern w:val="21"/>
          <w:szCs w:val="24"/>
          <w:highlight w:val="none"/>
          <w:lang w:bidi="ar"/>
          <w14:textFill>
            <w14:solidFill>
              <w14:schemeClr w14:val="tx1"/>
            </w14:solidFill>
          </w14:textFill>
        </w:rPr>
        <w:t>。</w:t>
      </w:r>
    </w:p>
    <w:p w14:paraId="23F9BCA8">
      <w:pPr>
        <w:ind w:firstLine="480"/>
        <w:jc w:val="left"/>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在本磋商文件规定的查询时间之外，网站信息发生的任何变更均不作为初审依据。</w:t>
      </w:r>
    </w:p>
    <w:p w14:paraId="7382B003">
      <w:pPr>
        <w:ind w:firstLine="480"/>
        <w:jc w:val="left"/>
        <w:rPr>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lang w:bidi="ar"/>
          <w14:textFill>
            <w14:solidFill>
              <w14:schemeClr w14:val="tx1"/>
            </w14:solidFill>
          </w14:textFill>
        </w:rPr>
        <w:t>自行提供的与网站信息不一致的其他证明材料亦不作为初审依据。</w:t>
      </w:r>
    </w:p>
    <w:p w14:paraId="2E15BBF3">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13.3.2</w:t>
      </w:r>
      <w:r>
        <w:rPr>
          <w:rFonts w:hint="eastAsia"/>
          <w:b/>
          <w:color w:val="000000" w:themeColor="text1"/>
          <w:highlight w:val="none"/>
          <w14:textFill>
            <w14:solidFill>
              <w14:schemeClr w14:val="tx1"/>
            </w14:solidFill>
          </w14:textFill>
        </w:rPr>
        <w:t>磋商</w:t>
      </w:r>
      <w:r>
        <w:rPr>
          <w:rFonts w:hint="eastAsia"/>
          <w:color w:val="000000" w:themeColor="text1"/>
          <w:highlight w:val="none"/>
          <w14:textFill>
            <w14:solidFill>
              <w14:schemeClr w14:val="tx1"/>
            </w14:solidFill>
          </w14:textFill>
        </w:rPr>
        <w:t>。初审合格后，磋商小组将按网上加密电子响应文件提交顺序集中与单一</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分别进行磋商，并给予所有参加磋商的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平等的磋商机会。</w:t>
      </w:r>
    </w:p>
    <w:p w14:paraId="20CDCE0E">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13.3.3</w:t>
      </w:r>
      <w:r>
        <w:rPr>
          <w:b/>
          <w:color w:val="000000" w:themeColor="text1"/>
          <w:highlight w:val="none"/>
          <w14:textFill>
            <w14:solidFill>
              <w14:schemeClr w14:val="tx1"/>
            </w14:solidFill>
          </w14:textFill>
        </w:rPr>
        <w:t>报价</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磋商结束后，磋商小组应当要求所有</w:t>
      </w:r>
      <w:r>
        <w:rPr>
          <w:rFonts w:hint="eastAsia"/>
          <w:color w:val="000000" w:themeColor="text1"/>
          <w:highlight w:val="none"/>
          <w14:textFill>
            <w14:solidFill>
              <w14:schemeClr w14:val="tx1"/>
            </w14:solidFill>
          </w14:textFill>
        </w:rPr>
        <w:t>实质性响应</w:t>
      </w:r>
      <w:r>
        <w:rPr>
          <w:color w:val="000000" w:themeColor="text1"/>
          <w:highlight w:val="none"/>
          <w14:textFill>
            <w14:solidFill>
              <w14:schemeClr w14:val="tx1"/>
            </w14:solidFill>
          </w14:textFill>
        </w:rPr>
        <w:t>的</w:t>
      </w:r>
      <w:r>
        <w:rPr>
          <w:rFonts w:hint="eastAsia"/>
          <w:color w:val="000000" w:themeColor="text1"/>
          <w:szCs w:val="18"/>
          <w:highlight w:val="none"/>
          <w14:textFill>
            <w14:solidFill>
              <w14:schemeClr w14:val="tx1"/>
            </w14:solidFill>
          </w14:textFill>
        </w:rPr>
        <w:t>参审单位</w:t>
      </w:r>
      <w:r>
        <w:rPr>
          <w:color w:val="000000" w:themeColor="text1"/>
          <w:highlight w:val="none"/>
          <w14:textFill>
            <w14:solidFill>
              <w14:schemeClr w14:val="tx1"/>
            </w14:solidFill>
          </w14:textFill>
        </w:rPr>
        <w:t>在规定时间内提交最后报价</w:t>
      </w:r>
      <w:r>
        <w:rPr>
          <w:rFonts w:hint="eastAsia"/>
          <w:color w:val="000000" w:themeColor="text1"/>
          <w:highlight w:val="none"/>
          <w14:textFill>
            <w14:solidFill>
              <w14:schemeClr w14:val="tx1"/>
            </w14:solidFill>
          </w14:textFill>
        </w:rPr>
        <w:t>。</w:t>
      </w:r>
      <w:r>
        <w:rPr>
          <w:rFonts w:hint="eastAsia" w:cs="宋体"/>
          <w:b/>
          <w:bCs/>
          <w:color w:val="000000" w:themeColor="text1"/>
          <w:szCs w:val="24"/>
          <w:highlight w:val="none"/>
          <w14:textFill>
            <w14:solidFill>
              <w14:schemeClr w14:val="tx1"/>
            </w14:solidFill>
          </w14:textFill>
        </w:rPr>
        <w:t>磋商</w:t>
      </w:r>
      <w:r>
        <w:rPr>
          <w:rFonts w:cs="宋体"/>
          <w:b/>
          <w:bCs/>
          <w:color w:val="000000" w:themeColor="text1"/>
          <w:szCs w:val="24"/>
          <w:highlight w:val="none"/>
          <w14:textFill>
            <w14:solidFill>
              <w14:schemeClr w14:val="tx1"/>
            </w14:solidFill>
          </w14:textFill>
        </w:rPr>
        <w:t>文件中另有特殊规定的除外</w:t>
      </w:r>
      <w:r>
        <w:rPr>
          <w:rFonts w:hint="eastAsia" w:cs="宋体"/>
          <w:b/>
          <w:bCs/>
          <w:color w:val="000000" w:themeColor="text1"/>
          <w:szCs w:val="24"/>
          <w:highlight w:val="none"/>
          <w14:textFill>
            <w14:solidFill>
              <w14:schemeClr w14:val="tx1"/>
            </w14:solidFill>
          </w14:textFill>
        </w:rPr>
        <w:t>。</w:t>
      </w:r>
    </w:p>
    <w:p w14:paraId="5CF62873">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13.3.4</w:t>
      </w:r>
      <w:r>
        <w:rPr>
          <w:rFonts w:hint="eastAsia"/>
          <w:b/>
          <w:color w:val="000000" w:themeColor="text1"/>
          <w:highlight w:val="none"/>
          <w14:textFill>
            <w14:solidFill>
              <w14:schemeClr w14:val="tx1"/>
            </w14:solidFill>
          </w14:textFill>
        </w:rPr>
        <w:t>综合评分</w:t>
      </w:r>
      <w:r>
        <w:rPr>
          <w:rFonts w:hint="eastAsia"/>
          <w:color w:val="000000" w:themeColor="text1"/>
          <w:highlight w:val="none"/>
          <w14:textFill>
            <w14:solidFill>
              <w14:schemeClr w14:val="tx1"/>
            </w14:solidFill>
          </w14:textFill>
        </w:rPr>
        <w:t>。磋商小组只对通过初审，实质上响应磋商要求的响应文件进行综合评分。经磋商确定最终项目需求和提交最后报价的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后，由磋商小组采用综合评分法对提交最后报价的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的响应文件和最后报价进行综合评分。</w:t>
      </w:r>
    </w:p>
    <w:p w14:paraId="3463E136">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13.4相关说明。</w:t>
      </w:r>
    </w:p>
    <w:p w14:paraId="107D3C45">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13.4.1为保证磋商活动顺利进行，</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 xml:space="preserve">可派相关技术人员进行网上答疑； </w:t>
      </w:r>
    </w:p>
    <w:p w14:paraId="2C87FF01">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13.4.2磋</w:t>
      </w:r>
      <w:r>
        <w:rPr>
          <w:color w:val="000000" w:themeColor="text1"/>
          <w:highlight w:val="none"/>
          <w14:textFill>
            <w14:solidFill>
              <w14:schemeClr w14:val="tx1"/>
            </w14:solidFill>
          </w14:textFill>
        </w:rPr>
        <w:t>商小组根据与</w:t>
      </w:r>
      <w:r>
        <w:rPr>
          <w:rFonts w:hint="eastAsia"/>
          <w:color w:val="000000" w:themeColor="text1"/>
          <w:szCs w:val="18"/>
          <w:highlight w:val="none"/>
          <w14:textFill>
            <w14:solidFill>
              <w14:schemeClr w14:val="tx1"/>
            </w14:solidFill>
          </w14:textFill>
        </w:rPr>
        <w:t>参审单位</w:t>
      </w:r>
      <w:r>
        <w:rPr>
          <w:color w:val="000000" w:themeColor="text1"/>
          <w:highlight w:val="none"/>
          <w14:textFill>
            <w14:solidFill>
              <w14:schemeClr w14:val="tx1"/>
            </w14:solidFill>
          </w14:textFill>
        </w:rPr>
        <w:t>磋商情况可能实质性变动</w:t>
      </w:r>
      <w:r>
        <w:rPr>
          <w:rFonts w:hint="eastAsia"/>
          <w:color w:val="000000" w:themeColor="text1"/>
          <w:highlight w:val="none"/>
          <w14:textFill>
            <w14:solidFill>
              <w14:schemeClr w14:val="tx1"/>
            </w14:solidFill>
          </w14:textFill>
        </w:rPr>
        <w:t>磋商文件</w:t>
      </w:r>
      <w:r>
        <w:rPr>
          <w:color w:val="000000" w:themeColor="text1"/>
          <w:highlight w:val="none"/>
          <w14:textFill>
            <w14:solidFill>
              <w14:schemeClr w14:val="tx1"/>
            </w14:solidFill>
          </w14:textFill>
        </w:rPr>
        <w:t>的内容，包括</w:t>
      </w:r>
      <w:r>
        <w:rPr>
          <w:rFonts w:hint="eastAsia"/>
          <w:color w:val="000000" w:themeColor="text1"/>
          <w:highlight w:val="none"/>
          <w14:textFill>
            <w14:solidFill>
              <w14:schemeClr w14:val="tx1"/>
            </w14:solidFill>
          </w14:textFill>
        </w:rPr>
        <w:t>项目需求</w:t>
      </w:r>
      <w:r>
        <w:rPr>
          <w:color w:val="000000" w:themeColor="text1"/>
          <w:highlight w:val="none"/>
          <w14:textFill>
            <w14:solidFill>
              <w14:schemeClr w14:val="tx1"/>
            </w14:solidFill>
          </w14:textFill>
        </w:rPr>
        <w:t>中的技术、服务要求以及合同草案条款。磋商文件有实质性变动的，</w:t>
      </w:r>
      <w:r>
        <w:rPr>
          <w:rFonts w:hint="eastAsia"/>
          <w:color w:val="000000" w:themeColor="text1"/>
          <w:highlight w:val="none"/>
          <w14:textFill>
            <w14:solidFill>
              <w14:schemeClr w14:val="tx1"/>
            </w14:solidFill>
          </w14:textFill>
        </w:rPr>
        <w:t>经</w:t>
      </w:r>
      <w:r>
        <w:rPr>
          <w:rFonts w:hint="eastAsia"/>
          <w:color w:val="000000" w:themeColor="text1"/>
          <w:szCs w:val="18"/>
          <w:highlight w:val="none"/>
          <w14:textFill>
            <w14:solidFill>
              <w14:schemeClr w14:val="tx1"/>
            </w14:solidFill>
          </w14:textFill>
        </w:rPr>
        <w:t>业主单位</w:t>
      </w:r>
      <w:r>
        <w:rPr>
          <w:rFonts w:hint="eastAsia"/>
          <w:color w:val="000000" w:themeColor="text1"/>
          <w:highlight w:val="none"/>
          <w14:textFill>
            <w14:solidFill>
              <w14:schemeClr w14:val="tx1"/>
            </w14:solidFill>
          </w14:textFill>
        </w:rPr>
        <w:t>代表确认作为磋商文件的有效组成部分，</w:t>
      </w:r>
      <w:r>
        <w:rPr>
          <w:color w:val="000000" w:themeColor="text1"/>
          <w:highlight w:val="none"/>
          <w14:textFill>
            <w14:solidFill>
              <w14:schemeClr w14:val="tx1"/>
            </w14:solidFill>
          </w14:textFill>
        </w:rPr>
        <w:t>磋商小组</w:t>
      </w:r>
      <w:r>
        <w:rPr>
          <w:rFonts w:hint="eastAsia"/>
          <w:color w:val="000000" w:themeColor="text1"/>
          <w:highlight w:val="none"/>
          <w14:textFill>
            <w14:solidFill>
              <w14:schemeClr w14:val="tx1"/>
            </w14:solidFill>
          </w14:textFill>
        </w:rPr>
        <w:t>将</w:t>
      </w:r>
      <w:r>
        <w:rPr>
          <w:color w:val="000000" w:themeColor="text1"/>
          <w:highlight w:val="none"/>
          <w14:textFill>
            <w14:solidFill>
              <w14:schemeClr w14:val="tx1"/>
            </w14:solidFill>
          </w14:textFill>
        </w:rPr>
        <w:t>以书面形式通知所有参加磋商的</w:t>
      </w:r>
      <w:r>
        <w:rPr>
          <w:rFonts w:hint="eastAsia"/>
          <w:color w:val="000000" w:themeColor="text1"/>
          <w:szCs w:val="18"/>
          <w:highlight w:val="none"/>
          <w14:textFill>
            <w14:solidFill>
              <w14:schemeClr w14:val="tx1"/>
            </w14:solidFill>
          </w14:textFill>
        </w:rPr>
        <w:t>参审单位</w:t>
      </w:r>
      <w:r>
        <w:rPr>
          <w:color w:val="000000" w:themeColor="text1"/>
          <w:highlight w:val="none"/>
          <w14:textFill>
            <w14:solidFill>
              <w14:schemeClr w14:val="tx1"/>
            </w14:solidFill>
          </w14:textFill>
        </w:rPr>
        <w:t>。</w:t>
      </w:r>
    </w:p>
    <w:p w14:paraId="5B10F248">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13.4.3磋商小组发现</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的报价或者某些分项报价明显低于其他通过初审的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的报价，有可能影响产品质量和不能诚信履约的，应当要求其在合理的时间内提供书面说明，必要时提交相关证明材料；</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不能证明其报价合理性的，其响应文件将被认定为响应无效。</w:t>
      </w:r>
    </w:p>
    <w:p w14:paraId="6C253632">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13.4.4</w:t>
      </w:r>
      <w:r>
        <w:rPr>
          <w:color w:val="000000" w:themeColor="text1"/>
          <w:highlight w:val="none"/>
          <w14:textFill>
            <w14:solidFill>
              <w14:schemeClr w14:val="tx1"/>
            </w14:solidFill>
          </w14:textFill>
        </w:rPr>
        <w:t>无论何种原因，即使</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时携带了证书材料的原件，但响应文件中未提供与之内容完全一致的</w:t>
      </w:r>
      <w:r>
        <w:rPr>
          <w:rFonts w:hint="eastAsia"/>
          <w:color w:val="000000" w:themeColor="text1"/>
          <w:highlight w:val="none"/>
          <w14:textFill>
            <w14:solidFill>
              <w14:schemeClr w14:val="tx1"/>
            </w14:solidFill>
          </w14:textFill>
        </w:rPr>
        <w:t>扫描件</w:t>
      </w:r>
      <w:r>
        <w:rPr>
          <w:color w:val="000000" w:themeColor="text1"/>
          <w:highlight w:val="none"/>
          <w14:textFill>
            <w14:solidFill>
              <w14:schemeClr w14:val="tx1"/>
            </w14:solidFill>
          </w14:textFill>
        </w:rPr>
        <w:t>或影印件的，</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小组可以视同其未提供。</w:t>
      </w:r>
    </w:p>
    <w:p w14:paraId="38F3C3C3">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13.4.5磋商</w:t>
      </w:r>
      <w:r>
        <w:rPr>
          <w:color w:val="000000" w:themeColor="text1"/>
          <w:highlight w:val="none"/>
          <w14:textFill>
            <w14:solidFill>
              <w14:schemeClr w14:val="tx1"/>
            </w14:solidFill>
          </w14:textFill>
        </w:rPr>
        <w:t>小组决定响应文件的响应性及符合性只根据响应文件本身的内容，而不寻求其他外部证据。</w:t>
      </w:r>
    </w:p>
    <w:p w14:paraId="5891CCD2">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授权</w:t>
      </w:r>
      <w:r>
        <w:rPr>
          <w:color w:val="000000" w:themeColor="text1"/>
          <w:highlight w:val="none"/>
          <w14:textFill>
            <w14:solidFill>
              <w14:schemeClr w14:val="tx1"/>
            </w14:solidFill>
          </w14:textFill>
        </w:rPr>
        <w:t>代表对</w:t>
      </w:r>
      <w:r>
        <w:rPr>
          <w:rFonts w:hint="eastAsia"/>
          <w:color w:val="000000" w:themeColor="text1"/>
          <w:highlight w:val="none"/>
          <w14:textFill>
            <w14:solidFill>
              <w14:schemeClr w14:val="tx1"/>
            </w14:solidFill>
          </w14:textFill>
        </w:rPr>
        <w:t>磋商过程</w:t>
      </w:r>
      <w:r>
        <w:rPr>
          <w:color w:val="000000" w:themeColor="text1"/>
          <w:highlight w:val="none"/>
          <w14:textFill>
            <w14:solidFill>
              <w14:schemeClr w14:val="tx1"/>
            </w14:solidFill>
          </w14:textFill>
        </w:rPr>
        <w:t>有疑义，以及认为</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代理机构</w:t>
      </w:r>
      <w:r>
        <w:rPr>
          <w:color w:val="000000" w:themeColor="text1"/>
          <w:highlight w:val="none"/>
          <w14:textFill>
            <w14:solidFill>
              <w14:schemeClr w14:val="tx1"/>
            </w14:solidFill>
          </w14:textFill>
        </w:rPr>
        <w:t>相关工作人员有需要回避的情形的，应当场提出询问或者回避申请</w:t>
      </w:r>
      <w:r>
        <w:rPr>
          <w:rFonts w:hint="eastAsia"/>
          <w:color w:val="000000" w:themeColor="text1"/>
          <w:highlight w:val="none"/>
          <w14:textFill>
            <w14:solidFill>
              <w14:schemeClr w14:val="tx1"/>
            </w14:solidFill>
          </w14:textFill>
        </w:rPr>
        <w:t>，并说明理由。</w:t>
      </w:r>
      <w:r>
        <w:rPr>
          <w:color w:val="000000" w:themeColor="text1"/>
          <w:highlight w:val="none"/>
          <w14:textFill>
            <w14:solidFill>
              <w14:schemeClr w14:val="tx1"/>
            </w14:solidFill>
          </w14:textFill>
        </w:rPr>
        <w:t xml:space="preserve"> </w:t>
      </w:r>
    </w:p>
    <w:p w14:paraId="31F8ADED">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14.终止磋商</w:t>
      </w:r>
    </w:p>
    <w:p w14:paraId="5C131A64">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出现下列情况之一时，业主单位和代理机构有权宣布终止磋商，并将理由通知所有供应商：</w:t>
      </w:r>
    </w:p>
    <w:p w14:paraId="16B273C3">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14.1</w:t>
      </w:r>
      <w:r>
        <w:rPr>
          <w:rFonts w:hint="eastAsia" w:cs="@仿宋_GB2312" w:asciiTheme="minorEastAsia" w:hAnsiTheme="minorEastAsia" w:eastAsiaTheme="minorEastAsia"/>
          <w:color w:val="000000" w:themeColor="text1"/>
          <w:kern w:val="2"/>
          <w:szCs w:val="24"/>
          <w:highlight w:val="none"/>
          <w14:textFill>
            <w14:solidFill>
              <w14:schemeClr w14:val="tx1"/>
            </w14:solidFill>
          </w14:textFill>
        </w:rPr>
        <w:t>通过初审的供应商</w:t>
      </w:r>
      <w:r>
        <w:rPr>
          <w:rFonts w:hint="eastAsia" w:asciiTheme="minorEastAsia" w:hAnsiTheme="minorEastAsia" w:eastAsiaTheme="minorEastAsia" w:cstheme="minorEastAsia"/>
          <w:color w:val="000000" w:themeColor="text1"/>
          <w:highlight w:val="none"/>
          <w14:textFill>
            <w14:solidFill>
              <w14:schemeClr w14:val="tx1"/>
            </w14:solidFill>
          </w14:textFill>
        </w:rPr>
        <w:t>不足规定数量，导致本次磋商缺乏竞争的；</w:t>
      </w:r>
    </w:p>
    <w:p w14:paraId="573ABA46">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14.2出现影响公正的违法、违规行为的；</w:t>
      </w:r>
    </w:p>
    <w:p w14:paraId="71484620">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14.3因重大变故，交易任务取消的；</w:t>
      </w:r>
    </w:p>
    <w:p w14:paraId="776709B8">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14.4磋商文件有重大漏洞，导致无法继续评审的；</w:t>
      </w:r>
    </w:p>
    <w:p w14:paraId="0DA8670A">
      <w:pPr>
        <w:ind w:firstLine="480"/>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14.5法律法规规定的其他情形。</w:t>
      </w:r>
    </w:p>
    <w:p w14:paraId="22BAC66A">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15.响应文件的澄清、说明或更正</w:t>
      </w:r>
    </w:p>
    <w:p w14:paraId="6E7B5A26">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15.1评审委员会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13F2A347">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15.2评审委员会通过优质采电子工具将需要澄清、说明或补正的内容以询问函的形式发送给供应商，供应商应登录优质采客户端并保持在线状态，以便及时接收评审委员会可能发出的询问函，并在询问函载明的时间内回复，若供应商未及时回复，视为放弃澄清。</w:t>
      </w:r>
    </w:p>
    <w:p w14:paraId="28A850AC">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15.3如有询问，授权代表（或法定代表人）可通过远程登录的方式接受网上询问，也可凭本人有效身份证明参加询问。因授权代表联系不上、没有及时登录系统等情形而无法接受评审委员会询问的，供应商自行承担相关风险。</w:t>
      </w:r>
    </w:p>
    <w:p w14:paraId="78E19287">
      <w:pPr>
        <w:ind w:firstLine="482"/>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16.最终报价</w:t>
      </w:r>
    </w:p>
    <w:p w14:paraId="33F8E620">
      <w:pPr>
        <w:spacing w:line="360" w:lineRule="auto"/>
        <w:ind w:firstLine="435"/>
        <w:rPr>
          <w:rFonts w:hint="eastAsia" w:ascii="宋体" w:hAnsi="宋体" w:eastAsia="宋体" w:cs="宋体"/>
          <w:sz w:val="24"/>
        </w:rPr>
      </w:pPr>
      <w:r>
        <w:rPr>
          <w:rFonts w:hint="eastAsia" w:ascii="宋体" w:hAnsi="宋体" w:eastAsia="宋体" w:cs="宋体"/>
          <w:sz w:val="24"/>
          <w:lang w:val="en-US" w:eastAsia="zh-CN"/>
        </w:rPr>
        <w:t>16</w:t>
      </w:r>
      <w:r>
        <w:rPr>
          <w:rFonts w:hint="eastAsia" w:ascii="宋体" w:hAnsi="宋体" w:eastAsia="宋体" w:cs="宋体"/>
          <w:sz w:val="24"/>
        </w:rPr>
        <w:t>.1磋商并不限定只进行二轮报价，如果磋商小组认为有必要，可以要求供应商进行多轮报价。</w:t>
      </w:r>
    </w:p>
    <w:p w14:paraId="20CA8350">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宋体" w:hAnsi="宋体" w:eastAsia="宋体" w:cs="宋体"/>
          <w:sz w:val="24"/>
          <w:lang w:val="en-US" w:eastAsia="zh-CN"/>
        </w:rPr>
        <w:t>16</w:t>
      </w:r>
      <w:r>
        <w:rPr>
          <w:rFonts w:hint="eastAsia" w:ascii="宋体" w:hAnsi="宋体" w:eastAsia="宋体" w:cs="宋体"/>
          <w:sz w:val="24"/>
        </w:rPr>
        <w:t>.2在磋商内容不做实质性变更或重大调整的前提下，供应商下轮报价不得高于上一轮报价。</w:t>
      </w:r>
    </w:p>
    <w:p w14:paraId="5F5FE254">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最终报价是供应商响应文件的有效组成部分，最终报价也是签订合同的依据。</w:t>
      </w:r>
    </w:p>
    <w:p w14:paraId="787294E0">
      <w:pPr>
        <w:ind w:firstLine="480"/>
        <w:rPr>
          <w:rFonts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16.4本项目的服务地点为本须知前附表所述，供应商可到项目现场踏勘以充分了解项目位置、情况及任何其他足以影响磋商报价的情况，任何因忽视或误解项目场地情况而导致的索赔或服务期限延长申请将不被批准。对于受项目现场场地限制，如需要另外寻找场地解决临时住宿，由此所产生的费用应包含在磋商报价范围内，业主单位不再承担该费用。</w:t>
      </w:r>
    </w:p>
    <w:p w14:paraId="21B1478A">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16.5本项目不接受恶意不平衡报价，不保证最低价成交。</w:t>
      </w:r>
    </w:p>
    <w:p w14:paraId="4FD5F274">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17.成交候选人的推荐原则</w:t>
      </w:r>
    </w:p>
    <w:p w14:paraId="022F8B99">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评审委员会</w:t>
      </w:r>
      <w:r>
        <w:rPr>
          <w:color w:val="000000" w:themeColor="text1"/>
          <w:highlight w:val="none"/>
          <w14:textFill>
            <w14:solidFill>
              <w14:schemeClr w14:val="tx1"/>
            </w14:solidFill>
          </w14:textFill>
        </w:rPr>
        <w:t>依据本项目</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文件所约定的</w:t>
      </w:r>
      <w:r>
        <w:rPr>
          <w:rFonts w:hint="eastAsia"/>
          <w:color w:val="000000" w:themeColor="text1"/>
          <w:highlight w:val="none"/>
          <w14:textFill>
            <w14:solidFill>
              <w14:schemeClr w14:val="tx1"/>
            </w14:solidFill>
          </w14:textFill>
        </w:rPr>
        <w:t>评审</w:t>
      </w:r>
      <w:r>
        <w:rPr>
          <w:color w:val="000000" w:themeColor="text1"/>
          <w:highlight w:val="none"/>
          <w14:textFill>
            <w14:solidFill>
              <w14:schemeClr w14:val="tx1"/>
            </w14:solidFill>
          </w14:textFill>
        </w:rPr>
        <w:t>方法</w:t>
      </w:r>
      <w:r>
        <w:rPr>
          <w:rFonts w:hint="eastAsia"/>
          <w:color w:val="000000" w:themeColor="text1"/>
          <w:highlight w:val="none"/>
          <w14:textFill>
            <w14:solidFill>
              <w14:schemeClr w14:val="tx1"/>
            </w14:solidFill>
          </w14:textFill>
        </w:rPr>
        <w:t>和标准</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按照有效</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综合总得分由高到低依次推荐成交候选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。综合总得分出现两家或两家以上相同者，按最后报价由低到高排序推荐成交候选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；综合总得分且最后报价均相同的，由评审委员会按照技术指标优劣顺序推荐成交候选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w:t>
      </w:r>
    </w:p>
    <w:p w14:paraId="618B37CE">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17.2凡发现成交候选人有下列行为之一的，成交无效，并移交监管部门依法处理：</w:t>
      </w:r>
    </w:p>
    <w:p w14:paraId="1CD7C1A5">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17.2.1有下列情形之一的，属于</w:t>
      </w:r>
      <w:r>
        <w:rPr>
          <w:rFonts w:hint="eastAsia"/>
          <w:color w:val="000000" w:themeColor="text1"/>
          <w:szCs w:val="18"/>
          <w:highlight w:val="none"/>
          <w14:textFill>
            <w14:solidFill>
              <w14:schemeClr w14:val="tx1"/>
            </w14:solidFill>
          </w14:textFill>
        </w:rPr>
        <w:t>供应商间</w:t>
      </w:r>
      <w:r>
        <w:rPr>
          <w:rFonts w:hint="eastAsia" w:cs="宋体"/>
          <w:color w:val="000000" w:themeColor="text1"/>
          <w:szCs w:val="24"/>
          <w:highlight w:val="none"/>
          <w:lang w:bidi="ar"/>
          <w14:textFill>
            <w14:solidFill>
              <w14:schemeClr w14:val="tx1"/>
            </w14:solidFill>
          </w14:textFill>
        </w:rPr>
        <w:t>相互串通：</w:t>
      </w:r>
    </w:p>
    <w:p w14:paraId="32614D7B">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17.2.1.1</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之间协商报价等响应文件的实质性内容；</w:t>
      </w:r>
    </w:p>
    <w:p w14:paraId="34564479">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17.2.1.2</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之间约定成交人；</w:t>
      </w:r>
    </w:p>
    <w:p w14:paraId="47737276">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17.2.1.3</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之间约定部分</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放弃磋商或者成交；</w:t>
      </w:r>
    </w:p>
    <w:p w14:paraId="0906DA79">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17.2.1.4属于同一集团、协会、商会等组织成员的</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按照该组织要求协同磋商；</w:t>
      </w:r>
    </w:p>
    <w:p w14:paraId="733B3213">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17.2.1.5</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之间为谋取成交或者排斥特定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而采取的其他联合行动。</w:t>
      </w:r>
    </w:p>
    <w:p w14:paraId="70D2798C">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17.2.2有下列情形之一的，视为</w:t>
      </w:r>
      <w:r>
        <w:rPr>
          <w:rFonts w:hint="eastAsia"/>
          <w:color w:val="000000" w:themeColor="text1"/>
          <w:szCs w:val="18"/>
          <w:highlight w:val="none"/>
          <w14:textFill>
            <w14:solidFill>
              <w14:schemeClr w14:val="tx1"/>
            </w14:solidFill>
          </w14:textFill>
        </w:rPr>
        <w:t>供应商间</w:t>
      </w:r>
      <w:r>
        <w:rPr>
          <w:rFonts w:hint="eastAsia" w:cs="宋体"/>
          <w:color w:val="000000" w:themeColor="text1"/>
          <w:szCs w:val="24"/>
          <w:highlight w:val="none"/>
          <w:lang w:bidi="ar"/>
          <w14:textFill>
            <w14:solidFill>
              <w14:schemeClr w14:val="tx1"/>
            </w14:solidFill>
          </w14:textFill>
        </w:rPr>
        <w:t>相互串通：</w:t>
      </w:r>
    </w:p>
    <w:p w14:paraId="797FFF58">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17.2.2.1不同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的响应文件由同一单位或者个人编制；</w:t>
      </w:r>
    </w:p>
    <w:p w14:paraId="4D122C34">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17.2.2.2不同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委托同一单位或者个人办理磋商事宜；</w:t>
      </w:r>
    </w:p>
    <w:p w14:paraId="0411C475">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17.2.2.3不同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的响应文件载明的项目管理成员为同一人；</w:t>
      </w:r>
    </w:p>
    <w:p w14:paraId="6D2CAE29">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17.2.2.4不同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的响应文件异常一致或者报价呈规律性差异；</w:t>
      </w:r>
    </w:p>
    <w:p w14:paraId="6A543E3A">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17.2.2.5不同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的响应文件相互混装；</w:t>
      </w:r>
    </w:p>
    <w:p w14:paraId="6A8BCC7E">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17.2.2.6不同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的磋商保证金从同一单位或者个人的账户转出。</w:t>
      </w:r>
    </w:p>
    <w:p w14:paraId="49DD3ECA">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17.2.3有下列情形之一的，属于</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串通：</w:t>
      </w:r>
    </w:p>
    <w:p w14:paraId="017AE2FF">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17.2.3.1</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在磋商前开启响应文件并将有关信息泄露给其他</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w:t>
      </w:r>
    </w:p>
    <w:p w14:paraId="35F026D3">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17.2.3.2</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直接或者间接向</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泄露标底、评审委员会成员等信息；</w:t>
      </w:r>
    </w:p>
    <w:p w14:paraId="05762180">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17.2.3.3</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明示或者暗示</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压低或者抬高报价；</w:t>
      </w:r>
    </w:p>
    <w:p w14:paraId="70879A6C">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17.2.3.4</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授意</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撤换、修改响应文件；</w:t>
      </w:r>
    </w:p>
    <w:p w14:paraId="36A6CD28">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17.2.3.5</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明示或者暗示</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为特定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成交提供方便；</w:t>
      </w:r>
    </w:p>
    <w:p w14:paraId="44A02C02">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17.2.3.6</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为谋求特定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成交而采取的其他串通行为。</w:t>
      </w:r>
    </w:p>
    <w:p w14:paraId="02355A70">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17.2.4使用通过受让或者租借等方式获取的资格、资质证书参与磋商的，</w:t>
      </w:r>
    </w:p>
    <w:p w14:paraId="1DCE05D6">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有下列情形之一的，属于以其他方式弄虚作假的行为：</w:t>
      </w:r>
    </w:p>
    <w:p w14:paraId="7FCB6458">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17.2.5.1使用伪造、变造的许可证件；</w:t>
      </w:r>
    </w:p>
    <w:p w14:paraId="5C046A88">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17.2.5.2提供虚假的财务状况或者业绩；</w:t>
      </w:r>
    </w:p>
    <w:p w14:paraId="52617192">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17.2.5.3提供虚假的项目负责人或者主要技术人员简历、劳动关系证明；</w:t>
      </w:r>
    </w:p>
    <w:p w14:paraId="012A39C2">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17.2.5.4提供虚假的信用状况；</w:t>
      </w:r>
    </w:p>
    <w:p w14:paraId="0EFAB659">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17.2.5.5其他弄虚作假的行为。</w:t>
      </w:r>
    </w:p>
    <w:p w14:paraId="11F2FC65">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17.2.6其他违反法规和规章强制性规定的行为。</w:t>
      </w:r>
    </w:p>
    <w:p w14:paraId="47A384DD">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18.确定成交候选人和成交人</w:t>
      </w:r>
    </w:p>
    <w:p w14:paraId="4A4BED21">
      <w:pPr>
        <w:ind w:firstLine="470" w:firstLineChars="196"/>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评审委员会根据综合评分的结果和供应商须知前附表中规定确定成交候选人，并标明排列顺序。排名第一的成交候选人经业主单位或业主单位授权的评审委员会确定为成交人后，由代理机构在指定媒体上予以公告。</w:t>
      </w:r>
    </w:p>
    <w:p w14:paraId="52C771A7">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19.编写评审报告</w:t>
      </w:r>
    </w:p>
    <w:p w14:paraId="697DE98D">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评审报告是根据全体评审委员会成员签字的原始评审记录和评审结果编写的报告，评审报告由评审委员会全体成员签字。对评审结论持有异议的评审委员会成员可以阐述其不同意见和理由。评审委员会成员拒绝在评审报告上签字且不陈述其不同意见和理由的，视为同意评审结论。</w:t>
      </w:r>
    </w:p>
    <w:p w14:paraId="37DCA479">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20.保密要求</w:t>
      </w:r>
    </w:p>
    <w:p w14:paraId="79B5354B">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20.1评审将在严格保密的情况下进行。</w:t>
      </w:r>
    </w:p>
    <w:p w14:paraId="3D4C2426">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20.2有关人员应当遵守评审工作纪律，不得泄露评审文件、评审情况和评审中获悉的国家秘密、商业秘密等。</w:t>
      </w:r>
    </w:p>
    <w:p w14:paraId="07A81ECE">
      <w:pPr>
        <w:ind w:firstLine="482"/>
        <w:outlineLvl w:val="3"/>
        <w:rPr>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21.成交候选人和成交结果公示</w:t>
      </w:r>
    </w:p>
    <w:p w14:paraId="26E5E642">
      <w:pPr>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21.1磋商结束后，代理机构将在</w:t>
      </w:r>
      <w:r>
        <w:rPr>
          <w:rFonts w:hint="eastAsia"/>
          <w:color w:val="000000" w:themeColor="text1"/>
          <w:highlight w:val="none"/>
          <w14:textFill>
            <w14:solidFill>
              <w14:schemeClr w14:val="tx1"/>
            </w14:solidFill>
          </w14:textFill>
        </w:rPr>
        <w:t>发布磋商公告的媒介上</w:t>
      </w:r>
      <w:r>
        <w:rPr>
          <w:rFonts w:hint="eastAsia" w:cs="宋体"/>
          <w:color w:val="000000" w:themeColor="text1"/>
          <w:szCs w:val="24"/>
          <w:highlight w:val="none"/>
          <w:lang w:bidi="ar"/>
          <w14:textFill>
            <w14:solidFill>
              <w14:schemeClr w14:val="tx1"/>
            </w14:solidFill>
          </w14:textFill>
        </w:rPr>
        <w:t>发布成交候选人公示和成交结果公示。</w:t>
      </w:r>
    </w:p>
    <w:p w14:paraId="5F6D6547">
      <w:pPr>
        <w:ind w:firstLine="480"/>
        <w:rPr>
          <w:rFonts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21.2</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在收到评审报告之日起3日内，依法公示成交候选人。</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在确定成交人之日起3日内，依法公示成交结果。</w:t>
      </w:r>
    </w:p>
    <w:p w14:paraId="01A5EA6C">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22.磋商结果的异议、投诉</w:t>
      </w:r>
    </w:p>
    <w:p w14:paraId="0C4A5CE0">
      <w:pPr>
        <w:ind w:firstLine="48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22.1对于磋商结果有异议的，应在成交结果公告规定的时间内向业主单位或代理机构提出。</w:t>
      </w:r>
    </w:p>
    <w:p w14:paraId="016A1CAF">
      <w:pPr>
        <w:ind w:firstLine="480"/>
        <w:rPr>
          <w:color w:val="000000" w:themeColor="text1"/>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22.2对于异议答复不满意的，应在收到异议答复之日起3日内向磋商公告载明的监督管理部门提出。</w:t>
      </w:r>
    </w:p>
    <w:p w14:paraId="0AE1EA25">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23.成交通知书</w:t>
      </w:r>
    </w:p>
    <w:p w14:paraId="407A6890">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23.1代理机构发布成交结果公告的同时以供应商须知前附表规定的形式向成交人发出成交通知书。</w:t>
      </w:r>
    </w:p>
    <w:p w14:paraId="47D96B80">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23.2成交通知书对业主单位和成交人具有同等法律效力。成交通知书发出以后，业主单位改变成交结果或者成交人放弃成交资格，应当承担相应的法律责任。</w:t>
      </w:r>
    </w:p>
    <w:p w14:paraId="572C9C98">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23.3成交通知书是合同的组成部分。</w:t>
      </w:r>
    </w:p>
    <w:p w14:paraId="45C322E8">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24.告知磋商结果</w:t>
      </w:r>
    </w:p>
    <w:p w14:paraId="31BA8152">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24.1成交结果公告发布后，供应商自行登录系统查询结果信息。</w:t>
      </w:r>
    </w:p>
    <w:p w14:paraId="70D165B1">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24.2代理机构对未成交的供应商不做未成交原因的解释。</w:t>
      </w:r>
    </w:p>
    <w:p w14:paraId="1BB5F442">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25.履约保证金</w:t>
      </w:r>
    </w:p>
    <w:p w14:paraId="6AC78445">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25.1成交人应按照</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lang w:bidi="ar"/>
          <w14:textFill>
            <w14:solidFill>
              <w14:schemeClr w14:val="tx1"/>
            </w14:solidFill>
          </w14:textFill>
        </w:rPr>
        <w:t>须知前附表规定缴纳履约保证金。</w:t>
      </w:r>
    </w:p>
    <w:p w14:paraId="0154C003">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cs="宋体" w:eastAsiaTheme="minorEastAsia"/>
          <w:color w:val="000000" w:themeColor="text1"/>
          <w:szCs w:val="24"/>
          <w:highlight w:val="none"/>
          <w:lang w:bidi="ar"/>
          <w14:textFill>
            <w14:solidFill>
              <w14:schemeClr w14:val="tx1"/>
            </w14:solidFill>
          </w14:textFill>
        </w:rPr>
        <w:t>25.2</w:t>
      </w:r>
      <w:r>
        <w:rPr>
          <w:rFonts w:hint="eastAsia" w:asciiTheme="minorEastAsia" w:hAnsiTheme="minorEastAsia" w:eastAsiaTheme="minorEastAsia" w:cstheme="minorEastAsia"/>
          <w:color w:val="000000" w:themeColor="text1"/>
          <w:highlight w:val="none"/>
          <w14:textFill>
            <w14:solidFill>
              <w14:schemeClr w14:val="tx1"/>
            </w14:solidFill>
          </w14:textFill>
        </w:rPr>
        <w:t>如果成交人没有按照供应商须知前附表中履约保证金的规定执行，将视为放弃成交资格。在此情况下，业主单位可确定下一成交候选人为成交人，也可以重新开展磋商。</w:t>
      </w:r>
    </w:p>
    <w:p w14:paraId="76DC901E">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26.代理费用</w:t>
      </w:r>
    </w:p>
    <w:p w14:paraId="122C01C1">
      <w:pPr>
        <w:ind w:firstLine="480"/>
        <w:rPr>
          <w:rFonts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成交人放弃成交资格的，</w:t>
      </w:r>
      <w:r>
        <w:rPr>
          <w:rFonts w:hint="eastAsia" w:asciiTheme="minorEastAsia" w:hAnsiTheme="minorEastAsia" w:eastAsiaTheme="minorEastAsia" w:cstheme="minorEastAsia"/>
          <w:color w:val="000000" w:themeColor="text1"/>
          <w:highlight w:val="none"/>
          <w14:textFill>
            <w14:solidFill>
              <w14:schemeClr w14:val="tx1"/>
            </w14:solidFill>
          </w14:textFill>
        </w:rPr>
        <w:t>本磋商项目应收取的</w:t>
      </w:r>
      <w:r>
        <w:rPr>
          <w:rFonts w:hint="eastAsia"/>
          <w:color w:val="000000" w:themeColor="text1"/>
          <w:szCs w:val="24"/>
          <w:highlight w:val="none"/>
          <w14:textFill>
            <w14:solidFill>
              <w14:schemeClr w14:val="tx1"/>
            </w14:solidFill>
          </w14:textFill>
        </w:rPr>
        <w:t>代理服务费</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由其承担。</w:t>
      </w:r>
    </w:p>
    <w:p w14:paraId="1F769581">
      <w:pPr>
        <w:ind w:firstLine="482"/>
        <w:rPr>
          <w:rFonts w:asciiTheme="minorEastAsia" w:hAnsiTheme="minorEastAsia" w:eastAsiaTheme="minorEastAsia" w:cstheme="minorEastAsia"/>
          <w:b/>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2"/>
          <w:highlight w:val="none"/>
          <w14:textFill>
            <w14:solidFill>
              <w14:schemeClr w14:val="tx1"/>
            </w14:solidFill>
          </w14:textFill>
        </w:rPr>
        <w:t>代理费用收取账户信息如下：</w:t>
      </w:r>
    </w:p>
    <w:p w14:paraId="20625FD1">
      <w:pPr>
        <w:ind w:firstLine="723" w:firstLineChars="300"/>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户名：肥西县公共资源交易有限责任公司</w:t>
      </w:r>
    </w:p>
    <w:p w14:paraId="0EABE31F">
      <w:pPr>
        <w:ind w:firstLine="723" w:firstLineChars="300"/>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账号：179746801939</w:t>
      </w:r>
    </w:p>
    <w:p w14:paraId="6FF467EC">
      <w:pPr>
        <w:ind w:firstLine="723" w:firstLineChars="300"/>
        <w:rPr>
          <w:rFonts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b/>
          <w:color w:val="000000" w:themeColor="text1"/>
          <w:highlight w:val="none"/>
          <w14:textFill>
            <w14:solidFill>
              <w14:schemeClr w14:val="tx1"/>
            </w14:solidFill>
          </w14:textFill>
        </w:rPr>
        <w:t>开户行：中国银行股份有限公司肥西支行</w:t>
      </w:r>
    </w:p>
    <w:p w14:paraId="4055ACBC">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27.签订合同</w:t>
      </w:r>
    </w:p>
    <w:p w14:paraId="287CAAE6">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27.1业主单位与成交人应当在成交通知书发出后及时签订合同。</w:t>
      </w:r>
    </w:p>
    <w:p w14:paraId="14B2BC67">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27.2磋商文件、成交人的响应文件及其澄清文件等，均为签订合同的依据。</w:t>
      </w:r>
    </w:p>
    <w:p w14:paraId="547703B4">
      <w:pPr>
        <w:ind w:firstLine="470" w:firstLineChars="196"/>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27.3成交人拒绝与业主单位签订合同的，业主单位可以按照评审报告推荐的成交候选人名单排序，确定下一成交候选人为成交人，也可以重新开展磋商活动。成交人拒绝签订合同的不得参加对该项目重新开展的磋商活动。</w:t>
      </w:r>
    </w:p>
    <w:p w14:paraId="4B2FC9FB">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28.廉洁自律规定</w:t>
      </w:r>
    </w:p>
    <w:p w14:paraId="691D59B1">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28.1代理机构工作人员不得以不正当手段获取代理业务，不得与业主单位、供应商恶意串通。</w:t>
      </w:r>
    </w:p>
    <w:p w14:paraId="51A5FA4A">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28.2代理机构工作人员不得接受业主单位或者供应商组织的宴请、旅游、娱乐，不得收受礼品、现金、有价证券等，不得向业主单位或者供应商报销应当由个人承担的费用。</w:t>
      </w:r>
    </w:p>
    <w:p w14:paraId="4DBCA85C">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29</w:t>
      </w:r>
      <w:r>
        <w:rPr>
          <w:rFonts w:asciiTheme="minorEastAsia" w:hAnsiTheme="minorEastAsia" w:eastAsiaTheme="minorEastAsia" w:cstheme="minorEastAsia"/>
          <w:b/>
          <w:color w:val="000000" w:themeColor="text1"/>
          <w:highlight w:val="none"/>
          <w14:textFill>
            <w14:solidFill>
              <w14:schemeClr w14:val="tx1"/>
            </w14:solidFill>
          </w14:textFill>
        </w:rPr>
        <w:t>.</w:t>
      </w:r>
      <w:r>
        <w:rPr>
          <w:rFonts w:hint="eastAsia" w:asciiTheme="minorEastAsia" w:hAnsiTheme="minorEastAsia" w:eastAsiaTheme="minorEastAsia" w:cstheme="minorEastAsia"/>
          <w:b/>
          <w:color w:val="000000" w:themeColor="text1"/>
          <w:highlight w:val="none"/>
          <w14:textFill>
            <w14:solidFill>
              <w14:schemeClr w14:val="tx1"/>
            </w14:solidFill>
          </w14:textFill>
        </w:rPr>
        <w:t>异议的提出与接收</w:t>
      </w:r>
    </w:p>
    <w:p w14:paraId="322F1B7D">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29.1参审单位认为磋商文件、磋商过程和成交结果使自己的权益受到损害的，可以在知道或者应知其权益受到损害之日起三日内，以书面形式向业主单位或其委托的代理机构提出异议。</w:t>
      </w:r>
    </w:p>
    <w:p w14:paraId="51FA77AE">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29.2异议应以书面形式实名提出，书面异议材料应当包括以下内容：</w:t>
      </w:r>
    </w:p>
    <w:p w14:paraId="4597B891">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29.3异议人的名称、地址、有效联系方式；</w:t>
      </w:r>
    </w:p>
    <w:p w14:paraId="09860D1C">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29.5项目名称、项目编号、包别号（如有）；</w:t>
      </w:r>
    </w:p>
    <w:p w14:paraId="61C86003">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29.6被异议人名称；</w:t>
      </w:r>
    </w:p>
    <w:p w14:paraId="40779056">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29.7具体的异议事项、基本事实及必要的证明材料；</w:t>
      </w:r>
    </w:p>
    <w:p w14:paraId="33D27EB6">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29.8明确的请求及主张；</w:t>
      </w:r>
    </w:p>
    <w:p w14:paraId="74FB0188">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29.9提起异议的日期。</w:t>
      </w:r>
    </w:p>
    <w:p w14:paraId="5FDF489C">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异议人为法人或者其他组织的，应当由法定代表人或其委托代理人（需有委托授权书）签字并加盖公章。异议人需要修改、补充异议材料的，应当在异议期内提交修改或补充材料。</w:t>
      </w:r>
    </w:p>
    <w:p w14:paraId="6A23591A">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29.10代理机构异议函接收部门、联系电话和通讯地址，见参审单位须知前附表。</w:t>
      </w:r>
    </w:p>
    <w:p w14:paraId="0CEDAF0F">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30.需要补充的其他内容</w:t>
      </w:r>
    </w:p>
    <w:p w14:paraId="093A97B8">
      <w:pPr>
        <w:ind w:firstLine="48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需要补充的其他内容，见供应商须知前附表</w:t>
      </w:r>
      <w:r>
        <w:rPr>
          <w:rFonts w:hint="eastAsia"/>
          <w:color w:val="000000" w:themeColor="text1"/>
          <w:highlight w:val="none"/>
          <w14:textFill>
            <w14:solidFill>
              <w14:schemeClr w14:val="tx1"/>
            </w14:solidFill>
          </w14:textFill>
        </w:rPr>
        <w:t>。</w:t>
      </w:r>
    </w:p>
    <w:p w14:paraId="3CDD750A">
      <w:pPr>
        <w:ind w:firstLine="480"/>
        <w:rPr>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br w:type="page"/>
      </w:r>
    </w:p>
    <w:p w14:paraId="50B90776">
      <w:pPr>
        <w:ind w:firstLine="562"/>
        <w:jc w:val="center"/>
        <w:outlineLvl w:val="1"/>
        <w:rPr>
          <w:rFonts w:asciiTheme="minorEastAsia" w:hAnsiTheme="minorEastAsia" w:eastAsiaTheme="minorEastAsia"/>
          <w:b/>
          <w:color w:val="000000" w:themeColor="text1"/>
          <w:sz w:val="28"/>
          <w:highlight w:val="none"/>
          <w14:textFill>
            <w14:solidFill>
              <w14:schemeClr w14:val="tx1"/>
            </w14:solidFill>
          </w14:textFill>
        </w:rPr>
      </w:pPr>
      <w:bookmarkStart w:id="8" w:name="_Toc192058172"/>
      <w:r>
        <w:rPr>
          <w:rFonts w:hint="eastAsia" w:asciiTheme="minorEastAsia" w:hAnsiTheme="minorEastAsia" w:eastAsiaTheme="minorEastAsia"/>
          <w:b/>
          <w:color w:val="000000" w:themeColor="text1"/>
          <w:sz w:val="28"/>
          <w:highlight w:val="none"/>
          <w14:textFill>
            <w14:solidFill>
              <w14:schemeClr w14:val="tx1"/>
            </w14:solidFill>
          </w14:textFill>
        </w:rPr>
        <w:t>第三章  业主单位要求</w:t>
      </w:r>
      <w:bookmarkEnd w:id="8"/>
    </w:p>
    <w:p w14:paraId="20F724A6">
      <w:pPr>
        <w:ind w:firstLine="480"/>
        <w:rPr>
          <w:rFonts w:ascii="Times New Roman" w:hAnsi="Times New Roman"/>
          <w:color w:val="000000" w:themeColor="text1"/>
          <w:szCs w:val="24"/>
          <w:highlight w:val="none"/>
          <w14:textFill>
            <w14:solidFill>
              <w14:schemeClr w14:val="tx1"/>
            </w14:solidFill>
          </w14:textFill>
        </w:rPr>
      </w:pPr>
      <w:bookmarkStart w:id="9" w:name="_Toc482188637"/>
      <w:r>
        <w:rPr>
          <w:rFonts w:hint="eastAsia" w:ascii="Times New Roman" w:hAnsi="Times New Roman"/>
          <w:color w:val="000000" w:themeColor="text1"/>
          <w:szCs w:val="24"/>
          <w:highlight w:val="none"/>
          <w14:textFill>
            <w14:solidFill>
              <w14:schemeClr w14:val="tx1"/>
            </w14:solidFill>
          </w14:textFill>
        </w:rPr>
        <w:t>本说明中提出的技术方案仅为参考，如无明确限制，供应商可以进行优化，提供满足用户实际需要的更优（或者性能实质上不低于的）服务方案，且此方案须经磋商小组评审认可。</w:t>
      </w:r>
    </w:p>
    <w:p w14:paraId="21AC3740">
      <w:pPr>
        <w:ind w:firstLine="482"/>
        <w:outlineLvl w:val="2"/>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一、供应商须知前附表</w:t>
      </w:r>
    </w:p>
    <w:tbl>
      <w:tblPr>
        <w:tblStyle w:val="56"/>
        <w:tblW w:w="52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655"/>
        <w:gridCol w:w="6423"/>
      </w:tblGrid>
      <w:tr w14:paraId="3A75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5" w:type="pct"/>
            <w:vAlign w:val="center"/>
          </w:tcPr>
          <w:p w14:paraId="241925A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textAlignment w:val="auto"/>
              <w:rPr>
                <w:rFonts w:hint="default"/>
                <w:b/>
                <w:bCs/>
                <w:color w:val="000000" w:themeColor="text1"/>
                <w:szCs w:val="20"/>
                <w:highlight w:val="none"/>
                <w14:textFill>
                  <w14:solidFill>
                    <w14:schemeClr w14:val="tx1"/>
                  </w14:solidFill>
                </w14:textFill>
              </w:rPr>
            </w:pPr>
            <w:r>
              <w:rPr>
                <w:rFonts w:hint="eastAsia"/>
                <w:b/>
                <w:bCs/>
                <w:color w:val="000000" w:themeColor="text1"/>
                <w:szCs w:val="20"/>
                <w:highlight w:val="none"/>
                <w14:textFill>
                  <w14:solidFill>
                    <w14:schemeClr w14:val="tx1"/>
                  </w14:solidFill>
                </w14:textFill>
              </w:rPr>
              <w:t>序号</w:t>
            </w:r>
          </w:p>
        </w:tc>
        <w:tc>
          <w:tcPr>
            <w:tcW w:w="931" w:type="pct"/>
            <w:vAlign w:val="center"/>
          </w:tcPr>
          <w:p w14:paraId="033070F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textAlignment w:val="auto"/>
              <w:rPr>
                <w:rFonts w:hint="default"/>
                <w:b/>
                <w:bCs/>
                <w:color w:val="000000" w:themeColor="text1"/>
                <w:szCs w:val="28"/>
                <w:highlight w:val="none"/>
                <w14:textFill>
                  <w14:solidFill>
                    <w14:schemeClr w14:val="tx1"/>
                  </w14:solidFill>
                </w14:textFill>
              </w:rPr>
            </w:pPr>
            <w:r>
              <w:rPr>
                <w:rFonts w:hint="eastAsia"/>
                <w:b/>
                <w:bCs/>
                <w:color w:val="000000" w:themeColor="text1"/>
                <w:szCs w:val="28"/>
                <w:highlight w:val="none"/>
                <w14:textFill>
                  <w14:solidFill>
                    <w14:schemeClr w14:val="tx1"/>
                  </w14:solidFill>
                </w14:textFill>
              </w:rPr>
              <w:t>条款名称</w:t>
            </w:r>
          </w:p>
        </w:tc>
        <w:tc>
          <w:tcPr>
            <w:tcW w:w="3613" w:type="pct"/>
            <w:vAlign w:val="center"/>
          </w:tcPr>
          <w:p w14:paraId="2B40537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Chars="83"/>
              <w:jc w:val="center"/>
              <w:textAlignment w:val="auto"/>
              <w:rPr>
                <w:rFonts w:hint="default"/>
                <w:b/>
                <w:bCs/>
                <w:color w:val="000000" w:themeColor="text1"/>
                <w:szCs w:val="28"/>
                <w:highlight w:val="none"/>
                <w14:textFill>
                  <w14:solidFill>
                    <w14:schemeClr w14:val="tx1"/>
                  </w14:solidFill>
                </w14:textFill>
              </w:rPr>
            </w:pPr>
            <w:r>
              <w:rPr>
                <w:rFonts w:hint="eastAsia"/>
                <w:b/>
                <w:bCs/>
                <w:color w:val="000000" w:themeColor="text1"/>
                <w:szCs w:val="28"/>
                <w:highlight w:val="none"/>
                <w14:textFill>
                  <w14:solidFill>
                    <w14:schemeClr w14:val="tx1"/>
                  </w14:solidFill>
                </w14:textFill>
              </w:rPr>
              <w:t>内容、说明与要求</w:t>
            </w:r>
          </w:p>
        </w:tc>
      </w:tr>
      <w:tr w14:paraId="26F3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455" w:type="pct"/>
            <w:vAlign w:val="center"/>
          </w:tcPr>
          <w:p w14:paraId="2350331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textAlignment w:val="auto"/>
              <w:rPr>
                <w:rFonts w:hint="default"/>
                <w:bCs/>
                <w:color w:val="000000" w:themeColor="text1"/>
                <w:szCs w:val="20"/>
                <w:highlight w:val="none"/>
                <w14:textFill>
                  <w14:solidFill>
                    <w14:schemeClr w14:val="tx1"/>
                  </w14:solidFill>
                </w14:textFill>
              </w:rPr>
            </w:pPr>
            <w:r>
              <w:rPr>
                <w:rFonts w:hint="eastAsia"/>
                <w:bCs/>
                <w:color w:val="000000" w:themeColor="text1"/>
                <w:szCs w:val="20"/>
                <w:highlight w:val="none"/>
                <w14:textFill>
                  <w14:solidFill>
                    <w14:schemeClr w14:val="tx1"/>
                  </w14:solidFill>
                </w14:textFill>
              </w:rPr>
              <w:t>1</w:t>
            </w:r>
          </w:p>
        </w:tc>
        <w:tc>
          <w:tcPr>
            <w:tcW w:w="931" w:type="pct"/>
            <w:vAlign w:val="center"/>
          </w:tcPr>
          <w:p w14:paraId="330BE90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textAlignment w:val="auto"/>
              <w:rPr>
                <w:rFonts w:hint="default" w:cs="宋体"/>
                <w:bCs/>
                <w:color w:val="000000" w:themeColor="text1"/>
                <w:szCs w:val="24"/>
                <w:highlight w:val="yellow"/>
                <w14:textFill>
                  <w14:solidFill>
                    <w14:schemeClr w14:val="tx1"/>
                  </w14:solidFill>
                </w14:textFill>
              </w:rPr>
            </w:pPr>
            <w:r>
              <w:rPr>
                <w:rFonts w:hint="eastAsia" w:ascii="Times New Roman" w:hAnsi="Times New Roman"/>
                <w:color w:val="000000" w:themeColor="text1"/>
                <w:szCs w:val="24"/>
                <w:highlight w:val="none"/>
                <w14:textFill>
                  <w14:solidFill>
                    <w14:schemeClr w14:val="tx1"/>
                  </w14:solidFill>
                </w14:textFill>
              </w:rPr>
              <w:t>付款方式</w:t>
            </w:r>
          </w:p>
        </w:tc>
        <w:tc>
          <w:tcPr>
            <w:tcW w:w="3613" w:type="pct"/>
            <w:vAlign w:val="center"/>
          </w:tcPr>
          <w:p w14:paraId="358797F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auto"/>
              <w:rPr>
                <w:rFonts w:hint="eastAsia" w:eastAsiaTheme="minorEastAsia"/>
                <w:bCs/>
                <w:color w:val="000000" w:themeColor="text1"/>
                <w:szCs w:val="28"/>
                <w:highlight w:val="yellow"/>
                <w:lang w:eastAsia="zh-CN"/>
                <w14:textFill>
                  <w14:solidFill>
                    <w14:schemeClr w14:val="tx1"/>
                  </w14:solidFill>
                </w14:textFill>
              </w:rPr>
            </w:pPr>
            <w:r>
              <w:rPr>
                <w:rFonts w:hint="eastAsia" w:ascii="宋体" w:hAnsi="宋体" w:eastAsia="宋体" w:cs="宋体"/>
                <w:color w:val="000000"/>
                <w:kern w:val="0"/>
                <w:sz w:val="24"/>
                <w:szCs w:val="24"/>
                <w:lang w:val="en-US" w:eastAsia="zh-CN" w:bidi="ar"/>
              </w:rPr>
              <w:t>合同签订后，根据每个月的实际配送计算当月配送额，自甲乙双方确认结算金额之日起据实支付每个月配送货款，合同周期内支付总金额不超过各包别预算。续签合同参照执行。</w:t>
            </w:r>
          </w:p>
        </w:tc>
      </w:tr>
      <w:tr w14:paraId="23FD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455" w:type="pct"/>
            <w:vAlign w:val="center"/>
          </w:tcPr>
          <w:p w14:paraId="2B3EF72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center"/>
              <w:textAlignment w:val="auto"/>
              <w:rPr>
                <w:rFonts w:hint="default"/>
                <w:bCs/>
                <w:color w:val="000000" w:themeColor="text1"/>
                <w:szCs w:val="20"/>
                <w:highlight w:val="none"/>
                <w14:textFill>
                  <w14:solidFill>
                    <w14:schemeClr w14:val="tx1"/>
                  </w14:solidFill>
                </w14:textFill>
              </w:rPr>
            </w:pPr>
            <w:r>
              <w:rPr>
                <w:rFonts w:hint="eastAsia"/>
                <w:bCs/>
                <w:color w:val="000000" w:themeColor="text1"/>
                <w:szCs w:val="20"/>
                <w:highlight w:val="none"/>
                <w14:textFill>
                  <w14:solidFill>
                    <w14:schemeClr w14:val="tx1"/>
                  </w14:solidFill>
                </w14:textFill>
              </w:rPr>
              <w:t>2</w:t>
            </w:r>
          </w:p>
        </w:tc>
        <w:tc>
          <w:tcPr>
            <w:tcW w:w="931" w:type="pct"/>
            <w:vAlign w:val="center"/>
          </w:tcPr>
          <w:p w14:paraId="4DB880F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textAlignment w:val="auto"/>
              <w:rPr>
                <w:rFonts w:hint="default" w:ascii="Times New Roman" w:hAnsi="Times New Roman" w:eastAsia="宋体"/>
                <w:color w:val="000000" w:themeColor="text1"/>
                <w:szCs w:val="24"/>
                <w:highlight w:val="none"/>
                <w14:textFill>
                  <w14:solidFill>
                    <w14:schemeClr w14:val="tx1"/>
                  </w14:solidFill>
                </w14:textFill>
              </w:rPr>
            </w:pPr>
            <w:r>
              <w:rPr>
                <w:rFonts w:hint="eastAsia" w:ascii="Times New Roman" w:hAnsi="Times New Roman" w:eastAsia="宋体"/>
                <w:color w:val="000000" w:themeColor="text1"/>
                <w:szCs w:val="24"/>
                <w:highlight w:val="none"/>
                <w14:textFill>
                  <w14:solidFill>
                    <w14:schemeClr w14:val="tx1"/>
                  </w14:solidFill>
                </w14:textFill>
              </w:rPr>
              <w:t>服务地点</w:t>
            </w:r>
          </w:p>
        </w:tc>
        <w:tc>
          <w:tcPr>
            <w:tcW w:w="3613" w:type="pct"/>
            <w:vAlign w:val="center"/>
          </w:tcPr>
          <w:p w14:paraId="3F2AEFF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auto"/>
              <w:rPr>
                <w:rFonts w:hint="default"/>
                <w:bCs/>
                <w:color w:val="000000" w:themeColor="text1"/>
                <w:szCs w:val="28"/>
                <w:highlight w:val="none"/>
                <w14:textFill>
                  <w14:solidFill>
                    <w14:schemeClr w14:val="tx1"/>
                  </w14:solidFill>
                </w14:textFill>
              </w:rPr>
            </w:pPr>
            <w:r>
              <w:rPr>
                <w:rFonts w:hint="eastAsia" w:ascii="宋体" w:hAnsi="宋体" w:eastAsia="宋体" w:cs="宋体"/>
                <w:sz w:val="24"/>
                <w:szCs w:val="18"/>
              </w:rPr>
              <w:t>采购人指定地点（肥西县</w:t>
            </w:r>
            <w:r>
              <w:rPr>
                <w:rFonts w:hint="eastAsia" w:ascii="宋体" w:hAnsi="宋体" w:eastAsia="宋体" w:cs="宋体"/>
                <w:sz w:val="24"/>
                <w:szCs w:val="18"/>
                <w:lang w:val="en-US" w:eastAsia="zh-CN"/>
              </w:rPr>
              <w:t>中医院</w:t>
            </w:r>
            <w:r>
              <w:rPr>
                <w:rFonts w:hint="eastAsia" w:ascii="宋体" w:hAnsi="宋体" w:eastAsia="宋体" w:cs="宋体"/>
                <w:sz w:val="24"/>
                <w:szCs w:val="18"/>
              </w:rPr>
              <w:t>）</w:t>
            </w:r>
          </w:p>
        </w:tc>
      </w:tr>
      <w:tr w14:paraId="3F57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5" w:type="pct"/>
            <w:vAlign w:val="center"/>
          </w:tcPr>
          <w:p w14:paraId="75AC61C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center"/>
              <w:textAlignment w:val="auto"/>
              <w:rPr>
                <w:rFonts w:hint="default"/>
                <w:bCs/>
                <w:color w:val="000000" w:themeColor="text1"/>
                <w:szCs w:val="20"/>
                <w:highlight w:val="none"/>
                <w14:textFill>
                  <w14:solidFill>
                    <w14:schemeClr w14:val="tx1"/>
                  </w14:solidFill>
                </w14:textFill>
              </w:rPr>
            </w:pPr>
            <w:r>
              <w:rPr>
                <w:rFonts w:hint="eastAsia"/>
                <w:bCs/>
                <w:color w:val="000000" w:themeColor="text1"/>
                <w:szCs w:val="20"/>
                <w:highlight w:val="none"/>
                <w14:textFill>
                  <w14:solidFill>
                    <w14:schemeClr w14:val="tx1"/>
                  </w14:solidFill>
                </w14:textFill>
              </w:rPr>
              <w:t>3</w:t>
            </w:r>
          </w:p>
        </w:tc>
        <w:tc>
          <w:tcPr>
            <w:tcW w:w="931" w:type="pct"/>
            <w:vAlign w:val="center"/>
          </w:tcPr>
          <w:p w14:paraId="7574939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textAlignment w:val="auto"/>
              <w:rPr>
                <w:rFonts w:hint="default" w:ascii="Times New Roman" w:hAnsi="Times New Roman" w:eastAsia="宋体"/>
                <w:color w:val="000000" w:themeColor="text1"/>
                <w:szCs w:val="24"/>
                <w:highlight w:val="none"/>
                <w14:textFill>
                  <w14:solidFill>
                    <w14:schemeClr w14:val="tx1"/>
                  </w14:solidFill>
                </w14:textFill>
              </w:rPr>
            </w:pPr>
            <w:r>
              <w:rPr>
                <w:rFonts w:hint="eastAsia" w:ascii="Times New Roman" w:hAnsi="Times New Roman" w:eastAsia="宋体"/>
                <w:color w:val="000000" w:themeColor="text1"/>
                <w:szCs w:val="24"/>
                <w:highlight w:val="none"/>
                <w14:textFill>
                  <w14:solidFill>
                    <w14:schemeClr w14:val="tx1"/>
                  </w14:solidFill>
                </w14:textFill>
              </w:rPr>
              <w:t>服务期</w:t>
            </w:r>
          </w:p>
        </w:tc>
        <w:tc>
          <w:tcPr>
            <w:tcW w:w="3613" w:type="pct"/>
            <w:vAlign w:val="center"/>
          </w:tcPr>
          <w:p w14:paraId="701A346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left"/>
              <w:textAlignment w:val="auto"/>
              <w:rPr>
                <w:rFonts w:hint="default" w:ascii="Calibri" w:hAnsi="Calibri"/>
                <w:bCs/>
                <w:color w:val="000000" w:themeColor="text1"/>
                <w:szCs w:val="28"/>
                <w:highlight w:val="none"/>
                <w14:textFill>
                  <w14:solidFill>
                    <w14:schemeClr w14:val="tx1"/>
                  </w14:solidFill>
                </w14:textFill>
              </w:rPr>
            </w:pPr>
            <w:r>
              <w:rPr>
                <w:rFonts w:hint="eastAsia" w:ascii="宋体" w:hAnsi="宋体" w:eastAsia="宋体" w:cs="宋体"/>
                <w:b w:val="0"/>
                <w:bCs w:val="0"/>
                <w:kern w:val="2"/>
                <w:sz w:val="24"/>
                <w:szCs w:val="18"/>
                <w:lang w:eastAsia="zh-CN"/>
              </w:rPr>
              <w:t>本项目</w:t>
            </w:r>
            <w:r>
              <w:rPr>
                <w:rFonts w:hint="eastAsia" w:ascii="宋体" w:hAnsi="宋体" w:eastAsia="宋体" w:cs="宋体"/>
                <w:b w:val="0"/>
                <w:bCs w:val="0"/>
                <w:kern w:val="2"/>
                <w:sz w:val="24"/>
                <w:szCs w:val="18"/>
              </w:rPr>
              <w:t>服务期一年，</w:t>
            </w:r>
            <w:r>
              <w:rPr>
                <w:rFonts w:hint="eastAsia" w:ascii="宋体" w:hAnsi="宋体" w:eastAsia="宋体" w:cs="宋体"/>
                <w:color w:val="000000"/>
                <w:kern w:val="0"/>
                <w:sz w:val="24"/>
                <w:szCs w:val="24"/>
                <w:lang w:val="en-US" w:eastAsia="zh-CN" w:bidi="ar"/>
              </w:rPr>
              <w:t>合同生效后一年内按采购人要求分批供货，每批产品接采购人通知后，按采购人要求在3个日历日内完成供货。若</w:t>
            </w:r>
            <w:r>
              <w:rPr>
                <w:rFonts w:hint="eastAsia" w:ascii="宋体" w:hAnsi="宋体" w:eastAsia="宋体" w:cs="宋体"/>
                <w:b w:val="0"/>
                <w:bCs w:val="0"/>
                <w:kern w:val="2"/>
                <w:sz w:val="24"/>
                <w:szCs w:val="18"/>
              </w:rPr>
              <w:t>一年期满后，在年度预算能够保障的前提下，若各项服务均能满足</w:t>
            </w:r>
            <w:r>
              <w:rPr>
                <w:rFonts w:hint="eastAsia" w:ascii="宋体" w:hAnsi="宋体" w:eastAsia="宋体" w:cs="宋体"/>
                <w:b w:val="0"/>
                <w:bCs w:val="0"/>
                <w:kern w:val="2"/>
                <w:sz w:val="24"/>
                <w:szCs w:val="18"/>
                <w:lang w:val="en-US" w:eastAsia="zh-CN"/>
              </w:rPr>
              <w:t>采购人</w:t>
            </w:r>
            <w:r>
              <w:rPr>
                <w:rFonts w:hint="eastAsia" w:ascii="宋体" w:hAnsi="宋体" w:eastAsia="宋体" w:cs="宋体"/>
                <w:b w:val="0"/>
                <w:bCs w:val="0"/>
                <w:kern w:val="2"/>
                <w:sz w:val="24"/>
                <w:szCs w:val="18"/>
              </w:rPr>
              <w:t>需求，并经考核合格后，可续签两年合同，合同一年一签，</w:t>
            </w:r>
            <w:r>
              <w:rPr>
                <w:rFonts w:hint="eastAsia" w:ascii="宋体" w:hAnsi="宋体" w:eastAsia="宋体" w:cs="宋体"/>
                <w:b w:val="0"/>
                <w:bCs w:val="0"/>
                <w:kern w:val="2"/>
                <w:sz w:val="24"/>
                <w:szCs w:val="18"/>
                <w:lang w:val="en-US" w:eastAsia="zh-CN"/>
              </w:rPr>
              <w:t>合同成交费率及产品结算单价保持不变</w:t>
            </w:r>
            <w:r>
              <w:rPr>
                <w:rFonts w:hint="eastAsia" w:ascii="宋体" w:hAnsi="宋体" w:eastAsia="宋体" w:cs="宋体"/>
                <w:b w:val="0"/>
                <w:bCs w:val="0"/>
                <w:kern w:val="2"/>
                <w:sz w:val="24"/>
                <w:szCs w:val="18"/>
              </w:rPr>
              <w:t>。</w:t>
            </w:r>
          </w:p>
        </w:tc>
      </w:tr>
      <w:tr w14:paraId="3718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5" w:type="pct"/>
            <w:vAlign w:val="center"/>
          </w:tcPr>
          <w:p w14:paraId="74F5017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center"/>
              <w:textAlignment w:val="auto"/>
              <w:rPr>
                <w:rFonts w:hint="eastAsia" w:eastAsia="宋体"/>
                <w:bCs/>
                <w:color w:val="000000" w:themeColor="text1"/>
                <w:szCs w:val="20"/>
                <w:highlight w:val="none"/>
                <w:lang w:val="en-US" w:eastAsia="zh-CN"/>
                <w14:textFill>
                  <w14:solidFill>
                    <w14:schemeClr w14:val="tx1"/>
                  </w14:solidFill>
                </w14:textFill>
              </w:rPr>
            </w:pPr>
            <w:bookmarkStart w:id="10" w:name="_Hlk16461016"/>
            <w:bookmarkStart w:id="11" w:name="_Toc482188638"/>
            <w:r>
              <w:rPr>
                <w:rFonts w:hint="eastAsia"/>
                <w:bCs/>
                <w:color w:val="000000" w:themeColor="text1"/>
                <w:szCs w:val="20"/>
                <w:highlight w:val="none"/>
                <w:lang w:val="en-US" w:eastAsia="zh-CN"/>
                <w14:textFill>
                  <w14:solidFill>
                    <w14:schemeClr w14:val="tx1"/>
                  </w14:solidFill>
                </w14:textFill>
              </w:rPr>
              <w:t>4</w:t>
            </w:r>
          </w:p>
        </w:tc>
        <w:tc>
          <w:tcPr>
            <w:tcW w:w="1655" w:type="dxa"/>
            <w:vAlign w:val="center"/>
          </w:tcPr>
          <w:p w14:paraId="6246C60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textAlignment w:val="auto"/>
              <w:rPr>
                <w:rFonts w:hint="eastAsia" w:ascii="Times New Roman" w:hAnsi="Times New Roman" w:eastAsia="宋体"/>
                <w:color w:val="000000" w:themeColor="text1"/>
                <w:szCs w:val="24"/>
                <w:highlight w:val="none"/>
                <w14:textFill>
                  <w14:solidFill>
                    <w14:schemeClr w14:val="tx1"/>
                  </w14:solidFill>
                </w14:textFill>
              </w:rPr>
            </w:pPr>
            <w:r>
              <w:rPr>
                <w:rFonts w:hint="eastAsia" w:ascii="Times New Roman" w:hAnsi="Times New Roman" w:eastAsia="宋体"/>
                <w:color w:val="000000" w:themeColor="text1"/>
                <w:szCs w:val="24"/>
                <w:highlight w:val="none"/>
                <w:lang w:val="en-US" w:eastAsia="zh-CN"/>
                <w14:textFill>
                  <w14:solidFill>
                    <w14:schemeClr w14:val="tx1"/>
                  </w14:solidFill>
                </w14:textFill>
              </w:rPr>
              <w:t>医疗器械注册证</w:t>
            </w:r>
          </w:p>
        </w:tc>
        <w:tc>
          <w:tcPr>
            <w:tcW w:w="6423" w:type="dxa"/>
            <w:vAlign w:val="center"/>
          </w:tcPr>
          <w:p w14:paraId="2C2D667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left"/>
              <w:textAlignment w:val="auto"/>
              <w:rPr>
                <w:rFonts w:hint="eastAsia" w:ascii="宋体" w:hAnsi="宋体" w:eastAsia="宋体" w:cs="宋体"/>
                <w:b w:val="0"/>
                <w:bCs w:val="0"/>
                <w:kern w:val="2"/>
                <w:sz w:val="24"/>
                <w:szCs w:val="18"/>
                <w:lang w:eastAsia="zh-CN"/>
              </w:rPr>
            </w:pPr>
            <w:r>
              <w:rPr>
                <w:rFonts w:hint="eastAsia" w:ascii="宋体" w:hAnsi="宋体" w:eastAsia="宋体" w:cs="宋体"/>
                <w:b/>
                <w:bCs/>
                <w:kern w:val="2"/>
                <w:sz w:val="24"/>
                <w:szCs w:val="18"/>
                <w:lang w:eastAsia="zh-CN"/>
              </w:rPr>
              <w:t>所配送产品涉及医疗器械的须具有医疗器械注册证（或备案凭证），</w:t>
            </w:r>
            <w:r>
              <w:rPr>
                <w:rFonts w:hint="eastAsia" w:ascii="宋体" w:hAnsi="宋体" w:eastAsia="宋体" w:cs="宋体"/>
                <w:b/>
                <w:bCs/>
                <w:kern w:val="2"/>
                <w:sz w:val="24"/>
                <w:szCs w:val="18"/>
                <w:lang w:val="en-US" w:eastAsia="zh-CN"/>
              </w:rPr>
              <w:t>响应</w:t>
            </w:r>
            <w:r>
              <w:rPr>
                <w:rFonts w:hint="eastAsia" w:ascii="宋体" w:hAnsi="宋体" w:eastAsia="宋体" w:cs="宋体"/>
                <w:b/>
                <w:bCs/>
                <w:kern w:val="2"/>
                <w:sz w:val="24"/>
                <w:szCs w:val="18"/>
                <w:lang w:eastAsia="zh-CN"/>
              </w:rPr>
              <w:t>文件中无需提供,合同签订</w:t>
            </w:r>
            <w:r>
              <w:rPr>
                <w:rFonts w:hint="eastAsia" w:ascii="宋体" w:hAnsi="宋体" w:eastAsia="宋体" w:cs="宋体"/>
                <w:b/>
                <w:bCs/>
                <w:kern w:val="2"/>
                <w:sz w:val="24"/>
                <w:szCs w:val="18"/>
                <w:lang w:val="en-US" w:eastAsia="zh-CN"/>
              </w:rPr>
              <w:t>后</w:t>
            </w:r>
            <w:r>
              <w:rPr>
                <w:rFonts w:hint="eastAsia" w:ascii="宋体" w:hAnsi="宋体" w:eastAsia="宋体" w:cs="宋体"/>
                <w:b/>
                <w:bCs/>
                <w:kern w:val="2"/>
                <w:sz w:val="24"/>
                <w:szCs w:val="18"/>
                <w:lang w:eastAsia="zh-CN"/>
              </w:rPr>
              <w:t>向采购人提供查验,否则由此产生的</w:t>
            </w:r>
            <w:r>
              <w:rPr>
                <w:rFonts w:hint="eastAsia" w:ascii="宋体" w:hAnsi="宋体" w:eastAsia="宋体" w:cs="宋体"/>
                <w:b/>
                <w:bCs/>
                <w:kern w:val="2"/>
                <w:sz w:val="24"/>
                <w:szCs w:val="18"/>
                <w:lang w:val="en-US" w:eastAsia="zh-CN"/>
              </w:rPr>
              <w:t>不利</w:t>
            </w:r>
            <w:r>
              <w:rPr>
                <w:rFonts w:hint="eastAsia" w:ascii="宋体" w:hAnsi="宋体" w:eastAsia="宋体" w:cs="宋体"/>
                <w:b/>
                <w:bCs/>
                <w:kern w:val="2"/>
                <w:sz w:val="24"/>
                <w:szCs w:val="18"/>
                <w:lang w:eastAsia="zh-CN"/>
              </w:rPr>
              <w:t>后果及责任由</w:t>
            </w:r>
            <w:r>
              <w:rPr>
                <w:rFonts w:hint="eastAsia" w:ascii="宋体" w:hAnsi="宋体" w:eastAsia="宋体" w:cs="宋体"/>
                <w:b/>
                <w:bCs/>
                <w:kern w:val="2"/>
                <w:sz w:val="24"/>
                <w:szCs w:val="18"/>
                <w:lang w:val="en-US" w:eastAsia="zh-CN"/>
              </w:rPr>
              <w:t>成交供应商</w:t>
            </w:r>
            <w:r>
              <w:rPr>
                <w:rFonts w:hint="eastAsia" w:ascii="宋体" w:hAnsi="宋体" w:eastAsia="宋体" w:cs="宋体"/>
                <w:b/>
                <w:bCs/>
                <w:kern w:val="2"/>
                <w:sz w:val="24"/>
                <w:szCs w:val="18"/>
                <w:lang w:eastAsia="zh-CN"/>
              </w:rPr>
              <w:t>承担</w:t>
            </w:r>
            <w:r>
              <w:rPr>
                <w:rFonts w:hint="eastAsia" w:ascii="宋体" w:hAnsi="宋体" w:eastAsia="宋体" w:cs="宋体"/>
                <w:b w:val="0"/>
                <w:bCs w:val="0"/>
                <w:kern w:val="2"/>
                <w:sz w:val="24"/>
                <w:szCs w:val="18"/>
                <w:lang w:eastAsia="zh-CN"/>
              </w:rPr>
              <w:t>。</w:t>
            </w:r>
          </w:p>
        </w:tc>
      </w:tr>
      <w:bookmarkEnd w:id="9"/>
    </w:tbl>
    <w:p w14:paraId="14BCB488">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ascii="宋体" w:hAnsi="宋体" w:eastAsia="宋体"/>
          <w:b/>
          <w:color w:val="000000" w:themeColor="text1"/>
          <w:sz w:val="24"/>
          <w:szCs w:val="18"/>
          <w14:textFill>
            <w14:solidFill>
              <w14:schemeClr w14:val="tx1"/>
            </w14:solidFill>
          </w14:textFill>
        </w:rPr>
      </w:pPr>
      <w:r>
        <w:rPr>
          <w:rFonts w:hint="eastAsia" w:ascii="宋体" w:hAnsi="宋体" w:eastAsia="宋体"/>
          <w:b/>
          <w:color w:val="000000" w:themeColor="text1"/>
          <w:sz w:val="24"/>
          <w:szCs w:val="18"/>
          <w14:textFill>
            <w14:solidFill>
              <w14:schemeClr w14:val="tx1"/>
            </w14:solidFill>
          </w14:textFill>
        </w:rPr>
        <w:t>二、项目概况</w:t>
      </w:r>
    </w:p>
    <w:p w14:paraId="28FE13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sz w:val="24"/>
          <w:szCs w:val="18"/>
        </w:rPr>
      </w:pPr>
      <w:r>
        <w:rPr>
          <w:rFonts w:hint="eastAsia" w:ascii="宋体" w:hAnsi="宋体" w:eastAsia="宋体"/>
          <w:b w:val="0"/>
          <w:bCs/>
          <w:sz w:val="24"/>
          <w:szCs w:val="18"/>
          <w:lang w:val="en-US" w:eastAsia="zh-CN"/>
        </w:rPr>
        <w:t>肥西县中医院计划招标部分检验试剂（含耗材）配送服务，要求配送的产品规格齐全，质量须符合国家行业相关标准，且满足临床需求。</w:t>
      </w:r>
      <w:bookmarkEnd w:id="10"/>
    </w:p>
    <w:p w14:paraId="732167A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ascii="宋体" w:hAnsi="宋体" w:eastAsia="宋体"/>
          <w:b/>
          <w:sz w:val="24"/>
          <w:szCs w:val="18"/>
        </w:rPr>
      </w:pPr>
      <w:r>
        <w:rPr>
          <w:rFonts w:hint="eastAsia" w:ascii="宋体" w:hAnsi="宋体" w:eastAsia="宋体"/>
          <w:b/>
          <w:sz w:val="24"/>
          <w:szCs w:val="18"/>
        </w:rPr>
        <w:t>三、</w:t>
      </w:r>
      <w:r>
        <w:rPr>
          <w:rFonts w:hint="eastAsia" w:ascii="宋体" w:hAnsi="宋体" w:eastAsia="宋体" w:cs="宋体"/>
          <w:b/>
          <w:color w:val="auto"/>
          <w:sz w:val="24"/>
          <w:szCs w:val="18"/>
          <w:highlight w:val="none"/>
          <w:lang w:eastAsia="zh-CN"/>
        </w:rPr>
        <w:t>服务需求</w:t>
      </w:r>
    </w:p>
    <w:p w14:paraId="183FB760">
      <w:pPr>
        <w:keepNext w:val="0"/>
        <w:keepLines w:val="0"/>
        <w:pageBreakBefore w:val="0"/>
        <w:widowControl w:val="0"/>
        <w:kinsoku/>
        <w:wordWrap/>
        <w:overflowPunct/>
        <w:topLinePunct w:val="0"/>
        <w:autoSpaceDE/>
        <w:autoSpaceDN/>
        <w:bidi w:val="0"/>
        <w:adjustRightInd/>
        <w:snapToGrid/>
        <w:spacing w:line="360" w:lineRule="auto"/>
        <w:ind w:left="0" w:firstLine="474" w:firstLineChars="200"/>
        <w:jc w:val="both"/>
        <w:textAlignment w:val="auto"/>
        <w:outlineLvl w:val="4"/>
        <w:rPr>
          <w:rFonts w:ascii="宋体" w:hAnsi="宋体" w:eastAsia="宋体" w:cs="宋体"/>
          <w:b/>
          <w:bCs/>
          <w:kern w:val="2"/>
          <w:sz w:val="24"/>
          <w:szCs w:val="24"/>
          <w:lang w:val="en-US" w:eastAsia="zh-CN" w:bidi="ar-SA"/>
        </w:rPr>
      </w:pPr>
      <w:r>
        <w:rPr>
          <w:rFonts w:ascii="宋体" w:hAnsi="宋体" w:eastAsia="宋体" w:cs="宋体"/>
          <w:b/>
          <w:bCs/>
          <w:spacing w:val="-2"/>
          <w:kern w:val="2"/>
          <w:sz w:val="24"/>
          <w:szCs w:val="24"/>
          <w:lang w:val="en-US" w:eastAsia="zh-CN" w:bidi="ar-SA"/>
        </w:rPr>
        <w:t>（一）</w:t>
      </w:r>
      <w:r>
        <w:rPr>
          <w:rFonts w:ascii="宋体" w:hAnsi="宋体" w:eastAsia="宋体" w:cs="宋体"/>
          <w:b/>
          <w:bCs/>
          <w:spacing w:val="-4"/>
          <w:kern w:val="2"/>
          <w:sz w:val="24"/>
          <w:szCs w:val="24"/>
          <w:lang w:val="en-US" w:eastAsia="zh-CN" w:bidi="ar-SA"/>
        </w:rPr>
        <w:t>配送需求</w:t>
      </w:r>
    </w:p>
    <w:p w14:paraId="4985D1CF">
      <w:pPr>
        <w:keepNext w:val="0"/>
        <w:keepLines w:val="0"/>
        <w:pageBreakBefore w:val="0"/>
        <w:widowControl w:val="0"/>
        <w:numPr>
          <w:ilvl w:val="0"/>
          <w:numId w:val="0"/>
        </w:numPr>
        <w:tabs>
          <w:tab w:val="left" w:pos="1059"/>
        </w:tabs>
        <w:kinsoku/>
        <w:wordWrap/>
        <w:overflowPunct/>
        <w:topLinePunct w:val="0"/>
        <w:autoSpaceDE/>
        <w:autoSpaceDN/>
        <w:bidi w:val="0"/>
        <w:adjustRightInd/>
        <w:snapToGrid/>
        <w:spacing w:after="0" w:line="460" w:lineRule="exact"/>
        <w:ind w:left="0" w:leftChars="0" w:right="0" w:rightChars="0" w:firstLine="464"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pacing w:val="-4"/>
          <w:kern w:val="2"/>
          <w:sz w:val="24"/>
          <w:szCs w:val="24"/>
          <w:lang w:val="en-US" w:eastAsia="zh-CN" w:bidi="ar-SA"/>
        </w:rPr>
        <w:t>1.供应商所配送的产品须包括对应包别中服务需求的所有内容，不得只配送</w:t>
      </w:r>
      <w:r>
        <w:rPr>
          <w:rFonts w:hint="eastAsia" w:ascii="宋体" w:hAnsi="宋体" w:eastAsia="宋体" w:cs="宋体"/>
          <w:spacing w:val="-2"/>
          <w:kern w:val="2"/>
          <w:sz w:val="24"/>
          <w:szCs w:val="24"/>
          <w:lang w:val="en-US" w:eastAsia="zh-CN" w:bidi="ar-SA"/>
        </w:rPr>
        <w:t>部分产品。</w:t>
      </w:r>
    </w:p>
    <w:p w14:paraId="72686B1A">
      <w:pPr>
        <w:keepNext w:val="0"/>
        <w:keepLines w:val="0"/>
        <w:pageBreakBefore w:val="0"/>
        <w:widowControl w:val="0"/>
        <w:numPr>
          <w:ilvl w:val="0"/>
          <w:numId w:val="0"/>
        </w:numPr>
        <w:tabs>
          <w:tab w:val="left" w:pos="1059"/>
        </w:tabs>
        <w:kinsoku/>
        <w:wordWrap/>
        <w:overflowPunct/>
        <w:topLinePunct w:val="0"/>
        <w:autoSpaceDE/>
        <w:autoSpaceDN/>
        <w:bidi w:val="0"/>
        <w:adjustRightInd/>
        <w:snapToGrid/>
        <w:spacing w:after="0" w:line="460" w:lineRule="exact"/>
        <w:ind w:left="0" w:leftChars="0" w:right="0" w:rightChars="0" w:firstLine="476"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pacing w:val="-1"/>
          <w:kern w:val="2"/>
          <w:sz w:val="24"/>
          <w:szCs w:val="24"/>
          <w:lang w:val="en-US" w:eastAsia="zh-CN" w:bidi="ar-SA"/>
        </w:rPr>
        <w:t>2.供应商所配送的产品须为功能、配置完整，能够直接使用的产品。</w:t>
      </w:r>
    </w:p>
    <w:p w14:paraId="7283537B">
      <w:pPr>
        <w:keepNext w:val="0"/>
        <w:keepLines w:val="0"/>
        <w:pageBreakBefore w:val="0"/>
        <w:widowControl w:val="0"/>
        <w:kinsoku/>
        <w:wordWrap/>
        <w:overflowPunct/>
        <w:topLinePunct w:val="0"/>
        <w:autoSpaceDE/>
        <w:autoSpaceDN/>
        <w:bidi w:val="0"/>
        <w:adjustRightInd w:val="0"/>
        <w:snapToGrid w:val="0"/>
        <w:spacing w:line="460" w:lineRule="exact"/>
        <w:ind w:leftChars="0" w:firstLine="450" w:firstLineChars="200"/>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spacing w:val="-8"/>
          <w:sz w:val="24"/>
          <w:szCs w:val="24"/>
          <w:lang w:val="en-US" w:eastAsia="zh-CN"/>
        </w:rPr>
        <w:t>3</w:t>
      </w:r>
      <w:r>
        <w:rPr>
          <w:rFonts w:hint="eastAsia" w:ascii="宋体" w:hAnsi="宋体" w:eastAsia="宋体" w:cs="宋体"/>
          <w:b/>
          <w:bCs/>
          <w:color w:val="auto"/>
          <w:spacing w:val="-8"/>
          <w:sz w:val="24"/>
          <w:szCs w:val="24"/>
          <w:lang w:val="en-US" w:eastAsia="zh-CN"/>
        </w:rPr>
        <w:t>.</w:t>
      </w:r>
      <w:r>
        <w:rPr>
          <w:rFonts w:hint="eastAsia" w:ascii="宋体" w:hAnsi="宋体" w:eastAsia="宋体" w:cs="宋体"/>
          <w:b/>
          <w:bCs/>
          <w:color w:val="auto"/>
          <w:spacing w:val="-8"/>
          <w:sz w:val="24"/>
          <w:szCs w:val="24"/>
        </w:rPr>
        <w:t>配</w:t>
      </w:r>
      <w:r>
        <w:rPr>
          <w:rFonts w:hint="eastAsia" w:ascii="宋体" w:hAnsi="宋体" w:eastAsia="宋体" w:cs="宋体"/>
          <w:b/>
          <w:bCs/>
          <w:color w:val="auto"/>
          <w:spacing w:val="-8"/>
          <w:sz w:val="24"/>
          <w:szCs w:val="24"/>
          <w:highlight w:val="none"/>
        </w:rPr>
        <w:t>送产品基本要求：</w:t>
      </w:r>
      <w:r>
        <w:rPr>
          <w:rFonts w:hint="eastAsia" w:ascii="宋体" w:hAnsi="宋体" w:eastAsia="宋体" w:cs="宋体"/>
          <w:b/>
          <w:bCs/>
          <w:color w:val="auto"/>
          <w:spacing w:val="-8"/>
          <w:sz w:val="24"/>
          <w:szCs w:val="24"/>
          <w:highlight w:val="none"/>
          <w:lang w:val="en-US" w:eastAsia="zh-CN"/>
        </w:rPr>
        <w:t>所配送产品如属于安徽省医药集中采购平台集中</w:t>
      </w:r>
      <w:r>
        <w:rPr>
          <w:rFonts w:hint="eastAsia" w:ascii="宋体" w:hAnsi="宋体" w:cs="宋体"/>
          <w:b/>
          <w:bCs/>
          <w:color w:val="auto"/>
          <w:spacing w:val="-8"/>
          <w:sz w:val="24"/>
          <w:szCs w:val="24"/>
          <w:highlight w:val="none"/>
          <w:lang w:val="en-US" w:eastAsia="zh-CN"/>
        </w:rPr>
        <w:t>交易</w:t>
      </w:r>
      <w:r>
        <w:rPr>
          <w:rFonts w:hint="eastAsia" w:ascii="宋体" w:hAnsi="宋体" w:eastAsia="宋体" w:cs="宋体"/>
          <w:b/>
          <w:bCs/>
          <w:color w:val="auto"/>
          <w:spacing w:val="-8"/>
          <w:sz w:val="24"/>
          <w:szCs w:val="24"/>
          <w:highlight w:val="none"/>
          <w:lang w:val="en-US" w:eastAsia="zh-CN"/>
        </w:rPr>
        <w:t>目录的产品，</w:t>
      </w:r>
      <w:r>
        <w:rPr>
          <w:rFonts w:hint="eastAsia" w:ascii="宋体" w:hAnsi="宋体" w:cs="宋体"/>
          <w:b/>
          <w:bCs/>
          <w:color w:val="auto"/>
          <w:spacing w:val="-8"/>
          <w:sz w:val="24"/>
          <w:szCs w:val="24"/>
          <w:highlight w:val="none"/>
          <w:lang w:val="en-US" w:eastAsia="zh-CN"/>
        </w:rPr>
        <w:t>响应文件</w:t>
      </w:r>
      <w:r>
        <w:rPr>
          <w:rFonts w:hint="eastAsia" w:ascii="宋体" w:hAnsi="宋体" w:eastAsia="宋体" w:cs="宋体"/>
          <w:b/>
          <w:bCs/>
          <w:color w:val="auto"/>
          <w:spacing w:val="-8"/>
          <w:sz w:val="24"/>
          <w:szCs w:val="24"/>
          <w:highlight w:val="none"/>
          <w:lang w:val="en-US" w:eastAsia="zh-CN"/>
        </w:rPr>
        <w:t>中须提供流水号及限价；所配送产品如属于备案</w:t>
      </w:r>
      <w:r>
        <w:rPr>
          <w:rFonts w:hint="eastAsia" w:ascii="宋体" w:hAnsi="宋体" w:cs="宋体"/>
          <w:b/>
          <w:bCs/>
          <w:color w:val="auto"/>
          <w:spacing w:val="-8"/>
          <w:sz w:val="24"/>
          <w:szCs w:val="24"/>
          <w:highlight w:val="none"/>
          <w:lang w:val="en-US" w:eastAsia="zh-CN"/>
        </w:rPr>
        <w:t>交易</w:t>
      </w:r>
      <w:r>
        <w:rPr>
          <w:rFonts w:hint="eastAsia" w:ascii="宋体" w:hAnsi="宋体" w:eastAsia="宋体" w:cs="宋体"/>
          <w:b/>
          <w:bCs/>
          <w:color w:val="auto"/>
          <w:spacing w:val="-8"/>
          <w:sz w:val="24"/>
          <w:szCs w:val="24"/>
          <w:highlight w:val="none"/>
          <w:lang w:val="en-US" w:eastAsia="zh-CN"/>
        </w:rPr>
        <w:t>目录的产品，</w:t>
      </w:r>
      <w:r>
        <w:rPr>
          <w:rFonts w:hint="eastAsia" w:ascii="宋体" w:hAnsi="宋体" w:cs="宋体"/>
          <w:b/>
          <w:bCs/>
          <w:color w:val="auto"/>
          <w:spacing w:val="-8"/>
          <w:sz w:val="24"/>
          <w:szCs w:val="24"/>
          <w:highlight w:val="none"/>
          <w:lang w:val="en-US" w:eastAsia="zh-CN"/>
        </w:rPr>
        <w:t>响应文件</w:t>
      </w:r>
      <w:r>
        <w:rPr>
          <w:rFonts w:hint="eastAsia" w:ascii="宋体" w:hAnsi="宋体" w:eastAsia="宋体" w:cs="宋体"/>
          <w:b/>
          <w:bCs/>
          <w:color w:val="auto"/>
          <w:spacing w:val="-8"/>
          <w:sz w:val="24"/>
          <w:szCs w:val="24"/>
          <w:highlight w:val="none"/>
          <w:lang w:val="en-US" w:eastAsia="zh-CN"/>
        </w:rPr>
        <w:t>中须提供流水号，否则</w:t>
      </w:r>
      <w:r>
        <w:rPr>
          <w:rFonts w:hint="eastAsia" w:ascii="宋体" w:hAnsi="宋体" w:cs="宋体"/>
          <w:b/>
          <w:bCs/>
          <w:color w:val="auto"/>
          <w:spacing w:val="-8"/>
          <w:sz w:val="24"/>
          <w:szCs w:val="24"/>
          <w:highlight w:val="none"/>
          <w:lang w:val="en-US" w:eastAsia="zh-CN"/>
        </w:rPr>
        <w:t>响应无效</w:t>
      </w:r>
      <w:r>
        <w:rPr>
          <w:rFonts w:hint="eastAsia" w:ascii="宋体" w:hAnsi="宋体" w:eastAsia="宋体" w:cs="宋体"/>
          <w:b/>
          <w:bCs/>
          <w:color w:val="auto"/>
          <w:spacing w:val="-8"/>
          <w:sz w:val="24"/>
          <w:szCs w:val="24"/>
          <w:highlight w:val="none"/>
          <w:lang w:val="en-US" w:eastAsia="zh-CN"/>
        </w:rPr>
        <w:t>。</w:t>
      </w:r>
      <w:r>
        <w:rPr>
          <w:rFonts w:hint="eastAsia" w:ascii="宋体" w:hAnsi="宋体" w:eastAsia="宋体" w:cs="宋体"/>
          <w:b/>
          <w:bCs/>
          <w:color w:val="FF0000"/>
          <w:sz w:val="24"/>
          <w:szCs w:val="24"/>
          <w:lang w:val="en-US" w:eastAsia="zh-CN"/>
        </w:rPr>
        <w:t>相关信息投标时需录入</w:t>
      </w:r>
      <w:r>
        <w:rPr>
          <w:rFonts w:hint="eastAsia" w:ascii="宋体" w:hAnsi="宋体" w:eastAsia="宋体" w:cs="宋体"/>
          <w:b/>
          <w:bCs/>
          <w:color w:val="FF0000"/>
          <w:sz w:val="24"/>
          <w:szCs w:val="24"/>
          <w:highlight w:val="none"/>
        </w:rPr>
        <w:t>“</w:t>
      </w:r>
      <w:r>
        <w:rPr>
          <w:rFonts w:hint="eastAsia" w:ascii="宋体" w:hAnsi="宋体" w:eastAsia="宋体" w:cs="宋体"/>
          <w:b/>
          <w:bCs/>
          <w:color w:val="FF0000"/>
          <w:sz w:val="24"/>
          <w:szCs w:val="24"/>
          <w:highlight w:val="none"/>
          <w:lang w:val="en-US" w:eastAsia="zh-CN"/>
        </w:rPr>
        <w:t>配送产品表</w:t>
      </w:r>
      <w:r>
        <w:rPr>
          <w:rFonts w:hint="eastAsia" w:ascii="宋体" w:hAnsi="宋体" w:eastAsia="宋体" w:cs="宋体"/>
          <w:b/>
          <w:bCs/>
          <w:color w:val="FF0000"/>
          <w:sz w:val="24"/>
          <w:szCs w:val="24"/>
          <w:highlight w:val="none"/>
        </w:rPr>
        <w:t>”</w:t>
      </w:r>
      <w:r>
        <w:rPr>
          <w:rFonts w:hint="eastAsia" w:ascii="宋体" w:hAnsi="宋体" w:eastAsia="宋体" w:cs="宋体"/>
          <w:b/>
          <w:bCs/>
          <w:color w:val="FF0000"/>
          <w:sz w:val="24"/>
          <w:szCs w:val="24"/>
          <w:highlight w:val="none"/>
          <w:lang w:val="en-US" w:eastAsia="zh-CN"/>
        </w:rPr>
        <w:t>中。</w:t>
      </w:r>
    </w:p>
    <w:p w14:paraId="67D313E9">
      <w:pPr>
        <w:keepNext w:val="0"/>
        <w:keepLines w:val="0"/>
        <w:pageBreakBefore w:val="0"/>
        <w:widowControl w:val="0"/>
        <w:kinsoku/>
        <w:wordWrap/>
        <w:overflowPunct/>
        <w:topLinePunct w:val="0"/>
        <w:autoSpaceDE/>
        <w:autoSpaceDN/>
        <w:bidi w:val="0"/>
        <w:adjustRightInd/>
        <w:snapToGrid/>
        <w:spacing w:line="360" w:lineRule="auto"/>
        <w:ind w:leftChars="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配送产品能够满足国家两票制等相关文件规定要求，确保配送产品正常使用、工作的正常开展。如履约验收期间所</w:t>
      </w:r>
      <w:r>
        <w:rPr>
          <w:rFonts w:hint="eastAsia" w:ascii="宋体" w:hAnsi="宋体" w:cs="宋体"/>
          <w:color w:val="auto"/>
          <w:sz w:val="24"/>
          <w:szCs w:val="24"/>
          <w:highlight w:val="none"/>
          <w:lang w:eastAsia="zh-CN"/>
        </w:rPr>
        <w:t>供</w:t>
      </w:r>
      <w:r>
        <w:rPr>
          <w:rFonts w:hint="eastAsia" w:ascii="宋体" w:hAnsi="宋体" w:eastAsia="宋体" w:cs="宋体"/>
          <w:color w:val="auto"/>
          <w:sz w:val="24"/>
          <w:szCs w:val="24"/>
          <w:highlight w:val="none"/>
        </w:rPr>
        <w:t>产品不满足的，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承担由此产生的一切后果及责任。</w:t>
      </w:r>
    </w:p>
    <w:p w14:paraId="75891AEA">
      <w:pPr>
        <w:keepNext w:val="0"/>
        <w:keepLines w:val="0"/>
        <w:pageBreakBefore w:val="0"/>
        <w:widowControl w:val="0"/>
        <w:kinsoku/>
        <w:wordWrap/>
        <w:overflowPunct/>
        <w:topLinePunct w:val="0"/>
        <w:autoSpaceDE/>
        <w:autoSpaceDN/>
        <w:bidi w:val="0"/>
        <w:adjustRightInd/>
        <w:snapToGrid/>
        <w:spacing w:line="360" w:lineRule="auto"/>
        <w:ind w:leftChars="0" w:right="0" w:firstLine="460" w:firstLineChars="200"/>
        <w:jc w:val="both"/>
        <w:textAlignment w:val="auto"/>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val="en-US" w:eastAsia="zh-CN"/>
        </w:rPr>
        <w:t>5.</w:t>
      </w:r>
      <w:r>
        <w:rPr>
          <w:rFonts w:hint="eastAsia" w:ascii="宋体" w:hAnsi="宋体" w:eastAsia="宋体" w:cs="宋体"/>
          <w:color w:val="auto"/>
          <w:spacing w:val="-5"/>
          <w:sz w:val="24"/>
          <w:szCs w:val="24"/>
          <w:highlight w:val="none"/>
        </w:rPr>
        <w:t>在规定的质保期（有效期）内须对所有提供产品质量负责。若出现产品质量问题及时予以退、换处理</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否则供应商承担一切责任</w:t>
      </w:r>
      <w:r>
        <w:rPr>
          <w:rFonts w:hint="eastAsia" w:ascii="宋体" w:hAnsi="宋体" w:eastAsia="宋体" w:cs="宋体"/>
          <w:color w:val="auto"/>
          <w:spacing w:val="-5"/>
          <w:sz w:val="24"/>
          <w:szCs w:val="24"/>
          <w:highlight w:val="none"/>
          <w:lang w:eastAsia="zh-CN"/>
        </w:rPr>
        <w:t>。</w:t>
      </w:r>
    </w:p>
    <w:p w14:paraId="07CF0EBC">
      <w:pPr>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结算方式：</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每次供货</w:t>
      </w: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rPr>
        <w:t>数量、时间及规格型号以</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通知或下发的采购清单为准，结算按双方实际认可的数量进行结算，结算</w:t>
      </w:r>
      <w:r>
        <w:rPr>
          <w:rFonts w:hint="eastAsia" w:ascii="宋体" w:hAnsi="宋体" w:cs="宋体"/>
          <w:color w:val="auto"/>
          <w:sz w:val="24"/>
          <w:szCs w:val="24"/>
          <w:highlight w:val="none"/>
          <w:lang w:val="en-US" w:eastAsia="zh-CN"/>
        </w:rPr>
        <w:t>金额</w:t>
      </w:r>
      <w:r>
        <w:rPr>
          <w:rFonts w:hint="eastAsia" w:ascii="宋体" w:hAnsi="宋体" w:eastAsia="宋体" w:cs="宋体"/>
          <w:color w:val="auto"/>
          <w:sz w:val="24"/>
          <w:szCs w:val="24"/>
          <w:highlight w:val="none"/>
          <w:lang w:val="en-US" w:eastAsia="zh-CN"/>
        </w:rPr>
        <w:t>按供应商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所报</w:t>
      </w:r>
      <w:r>
        <w:rPr>
          <w:rFonts w:hint="eastAsia" w:ascii="宋体" w:hAnsi="宋体" w:eastAsia="宋体" w:cs="宋体"/>
          <w:color w:val="auto"/>
          <w:sz w:val="24"/>
          <w:szCs w:val="24"/>
          <w:highlight w:val="none"/>
        </w:rPr>
        <w:t>结算</w:t>
      </w:r>
      <w:r>
        <w:rPr>
          <w:rFonts w:hint="eastAsia" w:ascii="宋体" w:hAnsi="宋体" w:eastAsia="宋体" w:cs="宋体"/>
          <w:color w:val="auto"/>
          <w:sz w:val="24"/>
          <w:szCs w:val="24"/>
          <w:highlight w:val="none"/>
          <w:lang w:val="en-US" w:eastAsia="zh-CN"/>
        </w:rPr>
        <w:t>单价据实结算</w:t>
      </w:r>
      <w:r>
        <w:rPr>
          <w:rFonts w:hint="eastAsia" w:ascii="宋体" w:hAnsi="宋体" w:eastAsia="宋体" w:cs="宋体"/>
          <w:color w:val="auto"/>
          <w:sz w:val="24"/>
          <w:szCs w:val="24"/>
          <w:highlight w:val="none"/>
        </w:rPr>
        <w:t>。</w:t>
      </w:r>
    </w:p>
    <w:p w14:paraId="00090FC3">
      <w:pPr>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服务质量：</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应保质保量及时供货，出现问题时响应及时，在24小时内予以解决</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w:t>
      </w:r>
    </w:p>
    <w:p w14:paraId="7EB1280C">
      <w:pPr>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供货时间及供货方式：</w:t>
      </w:r>
      <w:r>
        <w:rPr>
          <w:rFonts w:hint="eastAsia" w:ascii="宋体" w:hAnsi="宋体" w:eastAsia="宋体" w:cs="宋体"/>
          <w:color w:val="000000"/>
          <w:kern w:val="0"/>
          <w:sz w:val="24"/>
          <w:szCs w:val="24"/>
          <w:lang w:val="en-US" w:eastAsia="zh-CN" w:bidi="ar"/>
        </w:rPr>
        <w:t>合同生效后按采购人要求分批供货，每批产品接采购人通知后，按采购人要求在3个日历日内完成供货。</w:t>
      </w:r>
    </w:p>
    <w:p w14:paraId="199F9C86">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000000"/>
          <w:kern w:val="0"/>
          <w:sz w:val="24"/>
          <w:szCs w:val="24"/>
          <w:lang w:val="en-US" w:eastAsia="zh-CN" w:bidi="ar"/>
        </w:rPr>
        <w:t>9.每次配送的产品剩余有效期不得少于货物标识有效期的2/3(如货物有效期为18个月，则剩余有效期不少于12个月)。</w:t>
      </w:r>
    </w:p>
    <w:p w14:paraId="7B227BBA">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r>
        <w:rPr>
          <w:rFonts w:hint="eastAsia" w:ascii="宋体" w:hAnsi="宋体" w:cs="宋体"/>
          <w:b w:val="0"/>
          <w:bCs w:val="0"/>
          <w:color w:val="auto"/>
          <w:kern w:val="2"/>
          <w:sz w:val="24"/>
          <w:szCs w:val="24"/>
          <w:highlight w:val="none"/>
          <w:lang w:val="en-US" w:eastAsia="zh-CN" w:bidi="ar-SA"/>
        </w:rPr>
        <w:t>0</w:t>
      </w:r>
      <w:r>
        <w:rPr>
          <w:rFonts w:hint="eastAsia" w:ascii="宋体" w:hAnsi="宋体" w:eastAsia="宋体" w:cs="宋体"/>
          <w:b w:val="0"/>
          <w:bCs w:val="0"/>
          <w:color w:val="auto"/>
          <w:kern w:val="2"/>
          <w:sz w:val="24"/>
          <w:szCs w:val="24"/>
          <w:highlight w:val="none"/>
          <w:lang w:val="en-US" w:eastAsia="zh-CN" w:bidi="ar-SA"/>
        </w:rPr>
        <w:t>.采购周期内所配产品如遇国家、省市相关政策调整，从其规定。</w:t>
      </w:r>
    </w:p>
    <w:p w14:paraId="76FCF8BC">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附：配送产品表</w:t>
      </w:r>
    </w:p>
    <w:tbl>
      <w:tblPr>
        <w:tblStyle w:val="56"/>
        <w:tblW w:w="8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941"/>
        <w:gridCol w:w="1965"/>
        <w:gridCol w:w="1470"/>
        <w:gridCol w:w="1325"/>
      </w:tblGrid>
      <w:tr w14:paraId="6BC18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noWrap w:val="0"/>
            <w:vAlign w:val="center"/>
          </w:tcPr>
          <w:p w14:paraId="16D1DAA2">
            <w:pPr>
              <w:keepNext w:val="0"/>
              <w:keepLines w:val="0"/>
              <w:widowControl w:val="0"/>
              <w:suppressLineNumbers w:val="0"/>
              <w:spacing w:before="0" w:beforeAutospacing="0" w:after="0" w:afterAutospacing="0"/>
              <w:ind w:left="0" w:leftChars="0" w:right="0" w:firstLine="0" w:firstLineChars="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序号</w:t>
            </w:r>
          </w:p>
        </w:tc>
        <w:tc>
          <w:tcPr>
            <w:tcW w:w="1916" w:type="dxa"/>
            <w:noWrap w:val="0"/>
            <w:vAlign w:val="center"/>
          </w:tcPr>
          <w:p w14:paraId="2B83FDB1">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产品名称</w:t>
            </w:r>
          </w:p>
        </w:tc>
        <w:tc>
          <w:tcPr>
            <w:tcW w:w="941" w:type="dxa"/>
            <w:noWrap w:val="0"/>
            <w:vAlign w:val="center"/>
          </w:tcPr>
          <w:p w14:paraId="62BA0183">
            <w:pPr>
              <w:keepNext w:val="0"/>
              <w:keepLines w:val="0"/>
              <w:widowControl w:val="0"/>
              <w:suppressLineNumbers w:val="0"/>
              <w:spacing w:before="0" w:beforeAutospacing="0" w:after="0" w:afterAutospacing="0"/>
              <w:ind w:left="0" w:leftChars="0" w:right="0" w:firstLine="0" w:firstLineChars="0"/>
              <w:jc w:val="both"/>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规格</w:t>
            </w:r>
          </w:p>
        </w:tc>
        <w:tc>
          <w:tcPr>
            <w:tcW w:w="1965" w:type="dxa"/>
            <w:noWrap w:val="0"/>
            <w:vAlign w:val="center"/>
          </w:tcPr>
          <w:p w14:paraId="16A9117D">
            <w:pPr>
              <w:keepNext w:val="0"/>
              <w:keepLines w:val="0"/>
              <w:widowControl w:val="0"/>
              <w:suppressLineNumbers w:val="0"/>
              <w:spacing w:before="0" w:beforeAutospacing="0" w:after="0" w:afterAutospacing="0"/>
              <w:ind w:left="0" w:leftChars="0" w:right="0" w:firstLine="0" w:firstLineChars="0"/>
              <w:jc w:val="both"/>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网采平台限价</w:t>
            </w:r>
            <w:r>
              <w:rPr>
                <w:rFonts w:hint="eastAsia" w:ascii="宋体" w:hAnsi="宋体" w:eastAsia="宋体" w:cs="宋体"/>
                <w:b/>
                <w:bCs/>
                <w:i w:val="0"/>
                <w:iCs w:val="0"/>
                <w:color w:val="000000"/>
                <w:kern w:val="0"/>
                <w:sz w:val="24"/>
                <w:szCs w:val="24"/>
                <w:u w:val="none"/>
                <w:lang w:val="en-US" w:eastAsia="zh-CN" w:bidi="ar"/>
              </w:rPr>
              <w:t>（元/人份或元/卡或元/盒或元/套）</w:t>
            </w:r>
          </w:p>
        </w:tc>
        <w:tc>
          <w:tcPr>
            <w:tcW w:w="1470" w:type="dxa"/>
            <w:noWrap w:val="0"/>
            <w:vAlign w:val="center"/>
          </w:tcPr>
          <w:p w14:paraId="23347992">
            <w:pPr>
              <w:keepNext w:val="0"/>
              <w:keepLines w:val="0"/>
              <w:widowControl w:val="0"/>
              <w:suppressLineNumbers w:val="0"/>
              <w:spacing w:before="0" w:beforeAutospacing="0" w:after="0" w:afterAutospacing="0"/>
              <w:ind w:left="0" w:leftChars="0" w:right="0" w:firstLine="0" w:firstLineChars="0"/>
              <w:jc w:val="both"/>
              <w:rPr>
                <w:rFonts w:hint="eastAsia" w:ascii="宋体" w:hAnsi="宋体" w:eastAsia="宋体" w:cs="宋体"/>
                <w:b/>
                <w:bCs/>
                <w:color w:val="auto"/>
                <w:kern w:val="2"/>
                <w:sz w:val="24"/>
                <w:szCs w:val="22"/>
                <w:lang w:val="en-US" w:eastAsia="zh-CN" w:bidi="ar-SA"/>
              </w:rPr>
            </w:pPr>
            <w:r>
              <w:rPr>
                <w:rFonts w:hint="eastAsia" w:ascii="宋体" w:hAnsi="宋体" w:eastAsia="宋体" w:cs="宋体"/>
                <w:b/>
                <w:bCs/>
                <w:color w:val="auto"/>
                <w:kern w:val="2"/>
                <w:sz w:val="24"/>
                <w:szCs w:val="24"/>
                <w:highlight w:val="none"/>
                <w:lang w:val="en-US" w:eastAsia="zh-CN" w:bidi="ar-SA"/>
              </w:rPr>
              <w:t>产品流水号</w:t>
            </w:r>
          </w:p>
        </w:tc>
        <w:tc>
          <w:tcPr>
            <w:tcW w:w="1325" w:type="dxa"/>
            <w:noWrap w:val="0"/>
            <w:vAlign w:val="center"/>
          </w:tcPr>
          <w:p w14:paraId="41D98F9F">
            <w:pPr>
              <w:keepNext w:val="0"/>
              <w:keepLines w:val="0"/>
              <w:widowControl w:val="0"/>
              <w:suppressLineNumbers w:val="0"/>
              <w:spacing w:before="0" w:beforeAutospacing="0" w:after="0" w:afterAutospacing="0"/>
              <w:ind w:left="0" w:leftChars="0" w:right="0" w:firstLine="0" w:firstLineChars="0"/>
              <w:jc w:val="both"/>
              <w:rPr>
                <w:rFonts w:hint="eastAsia" w:ascii="宋体" w:hAnsi="宋体" w:eastAsia="宋体" w:cs="宋体"/>
                <w:b/>
                <w:bCs/>
                <w:color w:val="auto"/>
                <w:kern w:val="2"/>
                <w:sz w:val="24"/>
                <w:szCs w:val="22"/>
                <w:lang w:val="en-US" w:eastAsia="zh-CN" w:bidi="ar-SA"/>
              </w:rPr>
            </w:pPr>
            <w:r>
              <w:rPr>
                <w:rFonts w:hint="eastAsia" w:ascii="宋体" w:hAnsi="宋体" w:eastAsia="宋体" w:cs="宋体"/>
                <w:b/>
                <w:bCs/>
                <w:color w:val="auto"/>
                <w:kern w:val="2"/>
                <w:sz w:val="24"/>
                <w:szCs w:val="24"/>
                <w:highlight w:val="none"/>
                <w:lang w:val="en-US" w:eastAsia="zh-CN" w:bidi="ar-SA"/>
              </w:rPr>
              <w:t>网采属性</w:t>
            </w:r>
          </w:p>
        </w:tc>
      </w:tr>
      <w:tr w14:paraId="266F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341" w:type="dxa"/>
            <w:gridSpan w:val="6"/>
            <w:noWrap w:val="0"/>
            <w:vAlign w:val="center"/>
          </w:tcPr>
          <w:p w14:paraId="4C4B719A">
            <w:pPr>
              <w:keepNext w:val="0"/>
              <w:keepLines w:val="0"/>
              <w:suppressLineNumbers w:val="0"/>
              <w:spacing w:before="0" w:beforeAutospacing="0" w:after="0" w:afterAutospacing="0" w:line="240" w:lineRule="auto"/>
              <w:ind w:left="0" w:right="0" w:firstLine="0" w:firstLineChars="0"/>
              <w:jc w:val="left"/>
              <w:rPr>
                <w:rFonts w:hint="eastAsia" w:ascii="宋体" w:hAnsi="宋体" w:eastAsia="宋体" w:cs="宋体"/>
                <w:kern w:val="2"/>
                <w:sz w:val="24"/>
                <w:szCs w:val="20"/>
              </w:rPr>
            </w:pPr>
            <w:r>
              <w:rPr>
                <w:rFonts w:hint="eastAsia" w:ascii="宋体" w:hAnsi="宋体" w:eastAsia="宋体" w:cs="宋体"/>
                <w:b/>
                <w:bCs/>
                <w:kern w:val="2"/>
                <w:sz w:val="24"/>
                <w:szCs w:val="24"/>
                <w:lang w:val="en-US" w:eastAsia="zh-CN"/>
              </w:rPr>
              <w:t>第1包</w:t>
            </w:r>
          </w:p>
        </w:tc>
      </w:tr>
      <w:tr w14:paraId="2E9C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6D24436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0"/>
              </w:rPr>
            </w:pPr>
            <w:r>
              <w:rPr>
                <w:rFonts w:hint="eastAsia" w:ascii="宋体" w:hAnsi="宋体" w:eastAsia="宋体" w:cs="宋体"/>
                <w:kern w:val="2"/>
                <w:sz w:val="24"/>
                <w:szCs w:val="20"/>
              </w:rPr>
              <w:t>1</w:t>
            </w:r>
          </w:p>
        </w:tc>
        <w:tc>
          <w:tcPr>
            <w:tcW w:w="1916" w:type="dxa"/>
            <w:noWrap w:val="0"/>
            <w:vAlign w:val="center"/>
          </w:tcPr>
          <w:p w14:paraId="3D2AF96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0"/>
              </w:rPr>
            </w:pPr>
          </w:p>
        </w:tc>
        <w:tc>
          <w:tcPr>
            <w:tcW w:w="941" w:type="dxa"/>
            <w:noWrap w:val="0"/>
            <w:vAlign w:val="center"/>
          </w:tcPr>
          <w:p w14:paraId="1CEAE6B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0"/>
              </w:rPr>
            </w:pPr>
          </w:p>
        </w:tc>
        <w:tc>
          <w:tcPr>
            <w:tcW w:w="1965" w:type="dxa"/>
            <w:noWrap w:val="0"/>
            <w:vAlign w:val="center"/>
          </w:tcPr>
          <w:p w14:paraId="1284F00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0"/>
              </w:rPr>
            </w:pPr>
          </w:p>
        </w:tc>
        <w:tc>
          <w:tcPr>
            <w:tcW w:w="1470" w:type="dxa"/>
            <w:noWrap w:val="0"/>
            <w:vAlign w:val="center"/>
          </w:tcPr>
          <w:p w14:paraId="0D2E109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0"/>
              </w:rPr>
            </w:pPr>
          </w:p>
        </w:tc>
        <w:tc>
          <w:tcPr>
            <w:tcW w:w="1325" w:type="dxa"/>
            <w:noWrap w:val="0"/>
            <w:vAlign w:val="center"/>
          </w:tcPr>
          <w:p w14:paraId="24BCA3F5">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0"/>
              </w:rPr>
            </w:pPr>
          </w:p>
        </w:tc>
      </w:tr>
      <w:tr w14:paraId="74A9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5DB4D4D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0"/>
              </w:rPr>
            </w:pPr>
            <w:r>
              <w:rPr>
                <w:rFonts w:hint="eastAsia" w:ascii="宋体" w:hAnsi="宋体" w:eastAsia="宋体" w:cs="宋体"/>
                <w:kern w:val="2"/>
                <w:sz w:val="24"/>
                <w:szCs w:val="20"/>
              </w:rPr>
              <w:t>…</w:t>
            </w:r>
          </w:p>
        </w:tc>
        <w:tc>
          <w:tcPr>
            <w:tcW w:w="1916" w:type="dxa"/>
            <w:noWrap w:val="0"/>
            <w:vAlign w:val="center"/>
          </w:tcPr>
          <w:p w14:paraId="39C3219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0"/>
              </w:rPr>
            </w:pPr>
          </w:p>
        </w:tc>
        <w:tc>
          <w:tcPr>
            <w:tcW w:w="941" w:type="dxa"/>
            <w:noWrap w:val="0"/>
            <w:vAlign w:val="center"/>
          </w:tcPr>
          <w:p w14:paraId="1784ED2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0"/>
              </w:rPr>
            </w:pPr>
          </w:p>
        </w:tc>
        <w:tc>
          <w:tcPr>
            <w:tcW w:w="1965" w:type="dxa"/>
            <w:noWrap w:val="0"/>
            <w:vAlign w:val="center"/>
          </w:tcPr>
          <w:p w14:paraId="257CF8C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0"/>
              </w:rPr>
            </w:pPr>
          </w:p>
        </w:tc>
        <w:tc>
          <w:tcPr>
            <w:tcW w:w="1470" w:type="dxa"/>
            <w:noWrap w:val="0"/>
            <w:vAlign w:val="center"/>
          </w:tcPr>
          <w:p w14:paraId="6FE7C4B3">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0"/>
              </w:rPr>
            </w:pPr>
          </w:p>
        </w:tc>
        <w:tc>
          <w:tcPr>
            <w:tcW w:w="1325" w:type="dxa"/>
            <w:noWrap w:val="0"/>
            <w:vAlign w:val="center"/>
          </w:tcPr>
          <w:p w14:paraId="26B62733">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0"/>
              </w:rPr>
            </w:pPr>
          </w:p>
        </w:tc>
      </w:tr>
      <w:tr w14:paraId="7D59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341" w:type="dxa"/>
            <w:gridSpan w:val="6"/>
            <w:noWrap w:val="0"/>
            <w:vAlign w:val="center"/>
          </w:tcPr>
          <w:p w14:paraId="01D1DBAF">
            <w:pPr>
              <w:keepNext w:val="0"/>
              <w:keepLines w:val="0"/>
              <w:suppressLineNumbers w:val="0"/>
              <w:spacing w:before="0" w:beforeAutospacing="0" w:after="0" w:afterAutospacing="0" w:line="240" w:lineRule="auto"/>
              <w:ind w:left="0" w:right="0" w:firstLine="0" w:firstLineChars="0"/>
              <w:jc w:val="left"/>
              <w:rPr>
                <w:rFonts w:hint="eastAsia" w:ascii="宋体" w:hAnsi="宋体" w:eastAsia="宋体" w:cs="宋体"/>
                <w:kern w:val="2"/>
                <w:sz w:val="24"/>
                <w:szCs w:val="20"/>
              </w:rPr>
            </w:pPr>
            <w:r>
              <w:rPr>
                <w:rFonts w:hint="eastAsia" w:ascii="宋体" w:hAnsi="宋体" w:eastAsia="宋体" w:cs="宋体"/>
                <w:b/>
                <w:bCs/>
                <w:kern w:val="2"/>
                <w:sz w:val="24"/>
                <w:szCs w:val="24"/>
                <w:lang w:val="en-US" w:eastAsia="zh-CN"/>
              </w:rPr>
              <w:t>第2包</w:t>
            </w:r>
          </w:p>
        </w:tc>
      </w:tr>
      <w:tr w14:paraId="166F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6B6FE9D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0"/>
              </w:rPr>
            </w:pPr>
            <w:r>
              <w:rPr>
                <w:rFonts w:hint="eastAsia" w:ascii="宋体" w:hAnsi="宋体" w:eastAsia="宋体" w:cs="宋体"/>
                <w:kern w:val="2"/>
                <w:sz w:val="24"/>
                <w:szCs w:val="20"/>
              </w:rPr>
              <w:t>1</w:t>
            </w:r>
          </w:p>
        </w:tc>
        <w:tc>
          <w:tcPr>
            <w:tcW w:w="1916" w:type="dxa"/>
            <w:noWrap w:val="0"/>
            <w:vAlign w:val="center"/>
          </w:tcPr>
          <w:p w14:paraId="07A65DF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0"/>
              </w:rPr>
            </w:pPr>
          </w:p>
        </w:tc>
        <w:tc>
          <w:tcPr>
            <w:tcW w:w="941" w:type="dxa"/>
            <w:noWrap w:val="0"/>
            <w:vAlign w:val="center"/>
          </w:tcPr>
          <w:p w14:paraId="610A108D">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0"/>
              </w:rPr>
            </w:pPr>
          </w:p>
        </w:tc>
        <w:tc>
          <w:tcPr>
            <w:tcW w:w="1965" w:type="dxa"/>
            <w:noWrap w:val="0"/>
            <w:vAlign w:val="center"/>
          </w:tcPr>
          <w:p w14:paraId="3AC810CD">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0"/>
              </w:rPr>
            </w:pPr>
          </w:p>
        </w:tc>
        <w:tc>
          <w:tcPr>
            <w:tcW w:w="1470" w:type="dxa"/>
            <w:noWrap w:val="0"/>
            <w:vAlign w:val="center"/>
          </w:tcPr>
          <w:p w14:paraId="5158A44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0"/>
              </w:rPr>
            </w:pPr>
          </w:p>
        </w:tc>
        <w:tc>
          <w:tcPr>
            <w:tcW w:w="1325" w:type="dxa"/>
            <w:noWrap w:val="0"/>
            <w:vAlign w:val="center"/>
          </w:tcPr>
          <w:p w14:paraId="5375F705">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0"/>
              </w:rPr>
            </w:pPr>
          </w:p>
        </w:tc>
      </w:tr>
      <w:tr w14:paraId="2BF7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0F4AF37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0"/>
              </w:rPr>
            </w:pPr>
            <w:r>
              <w:rPr>
                <w:rFonts w:hint="eastAsia" w:ascii="宋体" w:hAnsi="宋体" w:eastAsia="宋体" w:cs="宋体"/>
                <w:kern w:val="2"/>
                <w:sz w:val="24"/>
                <w:szCs w:val="20"/>
              </w:rPr>
              <w:t>2</w:t>
            </w:r>
          </w:p>
        </w:tc>
        <w:tc>
          <w:tcPr>
            <w:tcW w:w="1916" w:type="dxa"/>
            <w:noWrap w:val="0"/>
            <w:vAlign w:val="center"/>
          </w:tcPr>
          <w:p w14:paraId="1B4476E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0"/>
              </w:rPr>
            </w:pPr>
          </w:p>
        </w:tc>
        <w:tc>
          <w:tcPr>
            <w:tcW w:w="941" w:type="dxa"/>
            <w:noWrap w:val="0"/>
            <w:vAlign w:val="center"/>
          </w:tcPr>
          <w:p w14:paraId="4528F4A4">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0"/>
              </w:rPr>
            </w:pPr>
          </w:p>
        </w:tc>
        <w:tc>
          <w:tcPr>
            <w:tcW w:w="1965" w:type="dxa"/>
            <w:noWrap w:val="0"/>
            <w:vAlign w:val="center"/>
          </w:tcPr>
          <w:p w14:paraId="6844D28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0"/>
              </w:rPr>
            </w:pPr>
          </w:p>
        </w:tc>
        <w:tc>
          <w:tcPr>
            <w:tcW w:w="1470" w:type="dxa"/>
            <w:noWrap w:val="0"/>
            <w:vAlign w:val="center"/>
          </w:tcPr>
          <w:p w14:paraId="253696B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0"/>
              </w:rPr>
            </w:pPr>
          </w:p>
        </w:tc>
        <w:tc>
          <w:tcPr>
            <w:tcW w:w="1325" w:type="dxa"/>
            <w:noWrap w:val="0"/>
            <w:vAlign w:val="center"/>
          </w:tcPr>
          <w:p w14:paraId="60E92CF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0"/>
              </w:rPr>
            </w:pPr>
          </w:p>
        </w:tc>
      </w:tr>
      <w:tr w14:paraId="61CA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0E8B802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0"/>
              </w:rPr>
            </w:pPr>
            <w:r>
              <w:rPr>
                <w:rFonts w:hint="eastAsia" w:ascii="宋体" w:hAnsi="宋体" w:eastAsia="宋体" w:cs="宋体"/>
                <w:kern w:val="2"/>
                <w:sz w:val="24"/>
                <w:szCs w:val="20"/>
              </w:rPr>
              <w:t>3</w:t>
            </w:r>
          </w:p>
        </w:tc>
        <w:tc>
          <w:tcPr>
            <w:tcW w:w="1916" w:type="dxa"/>
            <w:noWrap w:val="0"/>
            <w:vAlign w:val="center"/>
          </w:tcPr>
          <w:p w14:paraId="43E2C8C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0"/>
              </w:rPr>
            </w:pPr>
          </w:p>
        </w:tc>
        <w:tc>
          <w:tcPr>
            <w:tcW w:w="941" w:type="dxa"/>
            <w:noWrap w:val="0"/>
            <w:vAlign w:val="center"/>
          </w:tcPr>
          <w:p w14:paraId="09779E6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0"/>
              </w:rPr>
            </w:pPr>
          </w:p>
        </w:tc>
        <w:tc>
          <w:tcPr>
            <w:tcW w:w="1965" w:type="dxa"/>
            <w:noWrap w:val="0"/>
            <w:vAlign w:val="center"/>
          </w:tcPr>
          <w:p w14:paraId="1C0B552C">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0"/>
              </w:rPr>
            </w:pPr>
          </w:p>
        </w:tc>
        <w:tc>
          <w:tcPr>
            <w:tcW w:w="1470" w:type="dxa"/>
            <w:noWrap w:val="0"/>
            <w:vAlign w:val="center"/>
          </w:tcPr>
          <w:p w14:paraId="38BAF06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0"/>
              </w:rPr>
            </w:pPr>
          </w:p>
        </w:tc>
        <w:tc>
          <w:tcPr>
            <w:tcW w:w="1325" w:type="dxa"/>
            <w:noWrap w:val="0"/>
            <w:vAlign w:val="center"/>
          </w:tcPr>
          <w:p w14:paraId="3A16A76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0"/>
              </w:rPr>
            </w:pPr>
          </w:p>
        </w:tc>
      </w:tr>
      <w:tr w14:paraId="7E03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716BDF5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0"/>
              </w:rPr>
            </w:pPr>
            <w:r>
              <w:rPr>
                <w:rFonts w:hint="eastAsia" w:ascii="宋体" w:hAnsi="宋体" w:eastAsia="宋体" w:cs="宋体"/>
                <w:kern w:val="2"/>
                <w:sz w:val="24"/>
                <w:szCs w:val="20"/>
              </w:rPr>
              <w:t>…</w:t>
            </w:r>
          </w:p>
        </w:tc>
        <w:tc>
          <w:tcPr>
            <w:tcW w:w="1916" w:type="dxa"/>
            <w:noWrap w:val="0"/>
            <w:vAlign w:val="center"/>
          </w:tcPr>
          <w:p w14:paraId="1FA1216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0"/>
              </w:rPr>
            </w:pPr>
          </w:p>
        </w:tc>
        <w:tc>
          <w:tcPr>
            <w:tcW w:w="941" w:type="dxa"/>
            <w:noWrap w:val="0"/>
            <w:vAlign w:val="center"/>
          </w:tcPr>
          <w:p w14:paraId="45CB175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0"/>
              </w:rPr>
            </w:pPr>
          </w:p>
        </w:tc>
        <w:tc>
          <w:tcPr>
            <w:tcW w:w="1965" w:type="dxa"/>
            <w:noWrap w:val="0"/>
            <w:vAlign w:val="center"/>
          </w:tcPr>
          <w:p w14:paraId="57528334">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0"/>
              </w:rPr>
            </w:pPr>
          </w:p>
        </w:tc>
        <w:tc>
          <w:tcPr>
            <w:tcW w:w="1470" w:type="dxa"/>
            <w:noWrap w:val="0"/>
            <w:vAlign w:val="center"/>
          </w:tcPr>
          <w:p w14:paraId="01F9F6E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0"/>
              </w:rPr>
            </w:pPr>
          </w:p>
        </w:tc>
        <w:tc>
          <w:tcPr>
            <w:tcW w:w="1325" w:type="dxa"/>
            <w:noWrap w:val="0"/>
            <w:vAlign w:val="center"/>
          </w:tcPr>
          <w:p w14:paraId="1883D96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0"/>
              </w:rPr>
            </w:pPr>
          </w:p>
        </w:tc>
      </w:tr>
    </w:tbl>
    <w:p w14:paraId="0498301B">
      <w:pPr>
        <w:keepNext w:val="0"/>
        <w:keepLines w:val="0"/>
        <w:pageBreakBefore w:val="0"/>
        <w:widowControl w:val="0"/>
        <w:kinsoku/>
        <w:wordWrap/>
        <w:overflowPunct/>
        <w:topLinePunct w:val="0"/>
        <w:autoSpaceDE/>
        <w:autoSpaceDN/>
        <w:bidi w:val="0"/>
        <w:adjustRightInd/>
        <w:snapToGrid/>
        <w:spacing w:line="360" w:lineRule="auto"/>
        <w:ind w:right="0" w:firstLine="237" w:firstLineChars="100"/>
        <w:jc w:val="both"/>
        <w:textAlignment w:val="auto"/>
        <w:outlineLvl w:val="4"/>
        <w:rPr>
          <w:rFonts w:hint="eastAsia" w:ascii="宋体" w:hAnsi="宋体" w:eastAsia="宋体" w:cs="宋体"/>
          <w:b/>
          <w:bCs/>
          <w:kern w:val="2"/>
          <w:sz w:val="24"/>
          <w:szCs w:val="24"/>
          <w:lang w:val="en-US" w:eastAsia="zh-CN" w:bidi="ar-SA"/>
        </w:rPr>
      </w:pPr>
      <w:r>
        <w:rPr>
          <w:rFonts w:hint="eastAsia" w:ascii="宋体" w:hAnsi="宋体" w:eastAsia="宋体" w:cs="宋体"/>
          <w:b/>
          <w:bCs/>
          <w:spacing w:val="-2"/>
          <w:kern w:val="2"/>
          <w:sz w:val="24"/>
          <w:szCs w:val="24"/>
          <w:lang w:val="en-US" w:eastAsia="zh-CN" w:bidi="ar-SA"/>
        </w:rPr>
        <w:t>（二）</w:t>
      </w:r>
      <w:r>
        <w:rPr>
          <w:rFonts w:hint="eastAsia" w:ascii="宋体" w:hAnsi="宋体" w:eastAsia="宋体" w:cs="宋体"/>
          <w:b/>
          <w:bCs/>
          <w:spacing w:val="-4"/>
          <w:kern w:val="2"/>
          <w:sz w:val="24"/>
          <w:szCs w:val="24"/>
          <w:lang w:val="en-US" w:eastAsia="zh-CN" w:bidi="ar-SA"/>
        </w:rPr>
        <w:t>配送产品</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1650"/>
        <w:gridCol w:w="4844"/>
      </w:tblGrid>
      <w:tr w14:paraId="42FF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8" w:type="dxa"/>
            <w:noWrap w:val="0"/>
            <w:vAlign w:val="top"/>
          </w:tcPr>
          <w:p w14:paraId="270C4A8F">
            <w:pPr>
              <w:keepNext w:val="0"/>
              <w:keepLines w:val="0"/>
              <w:widowControl w:val="0"/>
              <w:suppressLineNumbers w:val="0"/>
              <w:snapToGrid w:val="0"/>
              <w:spacing w:before="0" w:beforeAutospacing="0" w:after="0" w:afterAutospacing="0" w:line="360" w:lineRule="auto"/>
              <w:ind w:left="0" w:right="0" w:firstLine="0" w:firstLineChars="0"/>
              <w:jc w:val="center"/>
              <w:outlineLvl w:val="0"/>
              <w:rPr>
                <w:rFonts w:hint="eastAsia" w:ascii="宋体" w:hAnsi="宋体" w:eastAsia="宋体" w:cs="宋体"/>
                <w:b/>
                <w:color w:val="auto"/>
                <w:kern w:val="2"/>
                <w:sz w:val="24"/>
                <w:szCs w:val="18"/>
                <w:vertAlign w:val="baseline"/>
              </w:rPr>
            </w:pPr>
            <w:bookmarkStart w:id="12" w:name="_Toc1382"/>
            <w:r>
              <w:rPr>
                <w:rFonts w:hint="eastAsia" w:ascii="宋体" w:hAnsi="宋体" w:eastAsia="宋体" w:cs="宋体"/>
                <w:b/>
                <w:color w:val="auto"/>
                <w:kern w:val="2"/>
                <w:sz w:val="24"/>
                <w:szCs w:val="18"/>
                <w:vertAlign w:val="baseline"/>
              </w:rPr>
              <w:t>标识重要性</w:t>
            </w:r>
            <w:bookmarkEnd w:id="12"/>
          </w:p>
        </w:tc>
        <w:tc>
          <w:tcPr>
            <w:tcW w:w="1650" w:type="dxa"/>
            <w:noWrap w:val="0"/>
            <w:vAlign w:val="top"/>
          </w:tcPr>
          <w:p w14:paraId="3783B033">
            <w:pPr>
              <w:keepNext w:val="0"/>
              <w:keepLines w:val="0"/>
              <w:widowControl w:val="0"/>
              <w:suppressLineNumbers w:val="0"/>
              <w:snapToGrid w:val="0"/>
              <w:spacing w:before="0" w:beforeAutospacing="0" w:after="0" w:afterAutospacing="0" w:line="360" w:lineRule="auto"/>
              <w:ind w:left="0" w:right="0" w:firstLine="0" w:firstLineChars="0"/>
              <w:jc w:val="center"/>
              <w:outlineLvl w:val="0"/>
              <w:rPr>
                <w:rFonts w:hint="eastAsia" w:ascii="宋体" w:hAnsi="宋体" w:eastAsia="宋体" w:cs="宋体"/>
                <w:b/>
                <w:color w:val="auto"/>
                <w:kern w:val="2"/>
                <w:sz w:val="24"/>
                <w:szCs w:val="18"/>
                <w:vertAlign w:val="baseline"/>
                <w:lang w:eastAsia="zh-CN"/>
              </w:rPr>
            </w:pPr>
            <w:bookmarkStart w:id="13" w:name="_Toc10419"/>
            <w:r>
              <w:rPr>
                <w:rFonts w:hint="eastAsia" w:ascii="宋体" w:hAnsi="宋体" w:eastAsia="宋体" w:cs="宋体"/>
                <w:b/>
                <w:color w:val="auto"/>
                <w:kern w:val="2"/>
                <w:sz w:val="24"/>
                <w:szCs w:val="18"/>
                <w:vertAlign w:val="baseline"/>
              </w:rPr>
              <w:t>标识</w:t>
            </w:r>
            <w:bookmarkEnd w:id="13"/>
            <w:r>
              <w:rPr>
                <w:rFonts w:hint="eastAsia" w:ascii="宋体" w:hAnsi="宋体" w:eastAsia="宋体" w:cs="宋体"/>
                <w:b/>
                <w:color w:val="auto"/>
                <w:kern w:val="2"/>
                <w:sz w:val="24"/>
                <w:szCs w:val="18"/>
                <w:vertAlign w:val="baseline"/>
                <w:lang w:eastAsia="zh-CN"/>
              </w:rPr>
              <w:t>符号</w:t>
            </w:r>
          </w:p>
        </w:tc>
        <w:tc>
          <w:tcPr>
            <w:tcW w:w="4844" w:type="dxa"/>
            <w:noWrap w:val="0"/>
            <w:vAlign w:val="top"/>
          </w:tcPr>
          <w:p w14:paraId="0F8459D2">
            <w:pPr>
              <w:keepNext w:val="0"/>
              <w:keepLines w:val="0"/>
              <w:widowControl w:val="0"/>
              <w:suppressLineNumbers w:val="0"/>
              <w:snapToGrid w:val="0"/>
              <w:spacing w:before="0" w:beforeAutospacing="0" w:after="0" w:afterAutospacing="0" w:line="360" w:lineRule="auto"/>
              <w:ind w:left="0" w:right="0" w:firstLine="0" w:firstLineChars="0"/>
              <w:jc w:val="center"/>
              <w:outlineLvl w:val="0"/>
              <w:rPr>
                <w:rFonts w:hint="eastAsia" w:ascii="宋体" w:hAnsi="宋体" w:eastAsia="宋体" w:cs="宋体"/>
                <w:b/>
                <w:color w:val="auto"/>
                <w:kern w:val="2"/>
                <w:sz w:val="24"/>
                <w:szCs w:val="18"/>
                <w:vertAlign w:val="baseline"/>
                <w:lang w:eastAsia="zh-CN"/>
              </w:rPr>
            </w:pPr>
            <w:r>
              <w:rPr>
                <w:rFonts w:hint="eastAsia" w:ascii="宋体" w:hAnsi="宋体" w:eastAsia="宋体" w:cs="宋体"/>
                <w:b/>
                <w:color w:val="auto"/>
                <w:kern w:val="2"/>
                <w:sz w:val="24"/>
                <w:szCs w:val="18"/>
                <w:vertAlign w:val="baseline"/>
                <w:lang w:eastAsia="zh-CN"/>
              </w:rPr>
              <w:t>代表意思</w:t>
            </w:r>
          </w:p>
        </w:tc>
      </w:tr>
      <w:tr w14:paraId="23C5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8" w:type="dxa"/>
            <w:noWrap w:val="0"/>
            <w:vAlign w:val="center"/>
          </w:tcPr>
          <w:p w14:paraId="4FA90137">
            <w:pPr>
              <w:keepNext w:val="0"/>
              <w:keepLines w:val="0"/>
              <w:widowControl w:val="0"/>
              <w:suppressLineNumbers w:val="0"/>
              <w:snapToGrid w:val="0"/>
              <w:spacing w:before="0" w:beforeAutospacing="0" w:after="0" w:afterAutospacing="0" w:line="360" w:lineRule="auto"/>
              <w:ind w:left="0" w:right="0" w:firstLine="0" w:firstLineChars="0"/>
              <w:jc w:val="center"/>
              <w:outlineLvl w:val="0"/>
              <w:rPr>
                <w:rFonts w:hint="eastAsia" w:ascii="宋体" w:hAnsi="宋体" w:eastAsia="宋体" w:cs="宋体"/>
                <w:b/>
                <w:color w:val="auto"/>
                <w:kern w:val="2"/>
                <w:sz w:val="24"/>
                <w:szCs w:val="18"/>
                <w:vertAlign w:val="baseline"/>
                <w:lang w:val="en-US" w:eastAsia="zh-CN"/>
              </w:rPr>
            </w:pPr>
            <w:bookmarkStart w:id="14" w:name="_Toc19254"/>
            <w:r>
              <w:rPr>
                <w:rFonts w:hint="eastAsia" w:ascii="宋体" w:hAnsi="宋体" w:eastAsia="宋体" w:cs="宋体"/>
                <w:b/>
                <w:color w:val="auto"/>
                <w:kern w:val="2"/>
                <w:sz w:val="24"/>
                <w:szCs w:val="20"/>
                <w:lang w:val="en-US" w:eastAsia="zh-CN"/>
              </w:rPr>
              <w:t>重要指标项</w:t>
            </w:r>
            <w:bookmarkEnd w:id="14"/>
          </w:p>
        </w:tc>
        <w:tc>
          <w:tcPr>
            <w:tcW w:w="1650" w:type="dxa"/>
            <w:noWrap w:val="0"/>
            <w:vAlign w:val="center"/>
          </w:tcPr>
          <w:p w14:paraId="4867791D">
            <w:pPr>
              <w:keepNext w:val="0"/>
              <w:keepLines w:val="0"/>
              <w:widowControl w:val="0"/>
              <w:suppressLineNumbers w:val="0"/>
              <w:snapToGrid w:val="0"/>
              <w:spacing w:before="0" w:beforeAutospacing="0" w:after="0" w:afterAutospacing="0" w:line="360" w:lineRule="auto"/>
              <w:ind w:left="0" w:right="0" w:firstLine="0" w:firstLineChars="0"/>
              <w:jc w:val="center"/>
              <w:outlineLvl w:val="0"/>
              <w:rPr>
                <w:rFonts w:hint="eastAsia" w:ascii="宋体" w:hAnsi="宋体" w:eastAsia="宋体" w:cs="宋体"/>
                <w:b w:val="0"/>
                <w:bCs/>
                <w:color w:val="auto"/>
                <w:kern w:val="2"/>
                <w:sz w:val="24"/>
                <w:szCs w:val="20"/>
              </w:rPr>
            </w:pPr>
            <w:bookmarkStart w:id="15" w:name="_Toc22463"/>
            <w:r>
              <w:rPr>
                <w:rFonts w:hint="eastAsia" w:ascii="宋体" w:hAnsi="宋体" w:eastAsia="宋体" w:cs="宋体"/>
                <w:b w:val="0"/>
                <w:bCs/>
                <w:color w:val="auto"/>
                <w:kern w:val="2"/>
                <w:sz w:val="24"/>
                <w:szCs w:val="20"/>
              </w:rPr>
              <w:t>★</w:t>
            </w:r>
            <w:bookmarkEnd w:id="15"/>
          </w:p>
        </w:tc>
        <w:tc>
          <w:tcPr>
            <w:tcW w:w="4844" w:type="dxa"/>
            <w:noWrap w:val="0"/>
            <w:vAlign w:val="top"/>
          </w:tcPr>
          <w:p w14:paraId="2FC63ACD">
            <w:pPr>
              <w:keepNext w:val="0"/>
              <w:keepLines w:val="0"/>
              <w:widowControl w:val="0"/>
              <w:suppressLineNumbers w:val="0"/>
              <w:snapToGrid w:val="0"/>
              <w:spacing w:before="0" w:beforeAutospacing="0" w:after="0" w:afterAutospacing="0" w:line="360" w:lineRule="auto"/>
              <w:ind w:left="0" w:right="0" w:firstLine="0" w:firstLineChars="0"/>
              <w:jc w:val="center"/>
              <w:outlineLvl w:val="0"/>
              <w:rPr>
                <w:rFonts w:hint="eastAsia" w:ascii="宋体" w:hAnsi="宋体" w:eastAsia="宋体" w:cs="宋体"/>
                <w:b w:val="0"/>
                <w:bCs/>
                <w:color w:val="auto"/>
                <w:kern w:val="2"/>
                <w:sz w:val="24"/>
                <w:szCs w:val="20"/>
              </w:rPr>
            </w:pPr>
            <w:bookmarkStart w:id="16" w:name="_Toc23492"/>
            <w:r>
              <w:rPr>
                <w:rFonts w:hint="eastAsia" w:ascii="宋体" w:hAnsi="宋体" w:eastAsia="宋体" w:cs="宋体"/>
                <w:b w:val="0"/>
                <w:bCs/>
                <w:color w:val="auto"/>
                <w:kern w:val="2"/>
                <w:sz w:val="24"/>
                <w:szCs w:val="20"/>
                <w:lang w:val="en-US" w:eastAsia="zh-CN"/>
              </w:rPr>
              <w:t>评分项，详见评分细则</w:t>
            </w:r>
            <w:bookmarkEnd w:id="16"/>
          </w:p>
        </w:tc>
      </w:tr>
      <w:tr w14:paraId="6D4E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8" w:type="dxa"/>
            <w:noWrap w:val="0"/>
            <w:vAlign w:val="center"/>
          </w:tcPr>
          <w:p w14:paraId="6DA284D3">
            <w:pPr>
              <w:keepNext w:val="0"/>
              <w:keepLines w:val="0"/>
              <w:widowControl w:val="0"/>
              <w:suppressLineNumbers w:val="0"/>
              <w:snapToGrid w:val="0"/>
              <w:spacing w:before="0" w:beforeAutospacing="0" w:after="0" w:afterAutospacing="0" w:line="360" w:lineRule="auto"/>
              <w:ind w:left="0" w:right="0" w:firstLine="0" w:firstLineChars="0"/>
              <w:jc w:val="center"/>
              <w:outlineLvl w:val="0"/>
              <w:rPr>
                <w:rFonts w:hint="eastAsia" w:ascii="宋体" w:hAnsi="宋体" w:eastAsia="宋体" w:cs="宋体"/>
                <w:b/>
                <w:color w:val="auto"/>
                <w:kern w:val="2"/>
                <w:sz w:val="24"/>
                <w:szCs w:val="20"/>
                <w:lang w:val="en-US" w:eastAsia="zh-CN"/>
              </w:rPr>
            </w:pPr>
            <w:bookmarkStart w:id="17" w:name="_Toc1229"/>
            <w:r>
              <w:rPr>
                <w:rFonts w:hint="eastAsia" w:ascii="宋体" w:hAnsi="宋体" w:eastAsia="宋体" w:cs="宋体"/>
                <w:b/>
                <w:color w:val="auto"/>
                <w:kern w:val="2"/>
                <w:sz w:val="24"/>
                <w:szCs w:val="20"/>
                <w:lang w:val="en-US" w:eastAsia="zh-CN"/>
              </w:rPr>
              <w:t>无标识项</w:t>
            </w:r>
            <w:bookmarkEnd w:id="17"/>
          </w:p>
        </w:tc>
        <w:tc>
          <w:tcPr>
            <w:tcW w:w="1650" w:type="dxa"/>
            <w:noWrap w:val="0"/>
            <w:vAlign w:val="center"/>
          </w:tcPr>
          <w:p w14:paraId="4CD2BAEC">
            <w:pPr>
              <w:keepNext w:val="0"/>
              <w:keepLines w:val="0"/>
              <w:widowControl w:val="0"/>
              <w:suppressLineNumbers w:val="0"/>
              <w:spacing w:before="0" w:beforeAutospacing="0" w:after="120" w:afterAutospacing="0"/>
              <w:ind w:left="0" w:right="0"/>
              <w:jc w:val="both"/>
              <w:rPr>
                <w:rFonts w:hint="eastAsia" w:ascii="@微软简标宋" w:hAnsi="@微软简标宋" w:eastAsia="@微软简标宋" w:cs="@微软简标宋"/>
                <w:color w:val="auto"/>
                <w:kern w:val="2"/>
                <w:sz w:val="32"/>
                <w:szCs w:val="24"/>
                <w:lang w:val="zh-CN" w:eastAsia="zh-CN" w:bidi="ar-SA"/>
              </w:rPr>
            </w:pPr>
          </w:p>
        </w:tc>
        <w:tc>
          <w:tcPr>
            <w:tcW w:w="4844" w:type="dxa"/>
            <w:noWrap w:val="0"/>
            <w:vAlign w:val="center"/>
          </w:tcPr>
          <w:p w14:paraId="59EEA9DF">
            <w:pPr>
              <w:keepNext w:val="0"/>
              <w:keepLines w:val="0"/>
              <w:widowControl w:val="0"/>
              <w:suppressLineNumbers w:val="0"/>
              <w:snapToGrid w:val="0"/>
              <w:spacing w:before="0" w:beforeAutospacing="0" w:after="0" w:afterAutospacing="0" w:line="360" w:lineRule="auto"/>
              <w:ind w:left="0" w:right="0" w:firstLine="0" w:firstLineChars="0"/>
              <w:jc w:val="center"/>
              <w:outlineLvl w:val="0"/>
              <w:rPr>
                <w:rFonts w:hint="eastAsia" w:ascii="宋体" w:hAnsi="宋体" w:eastAsia="宋体" w:cs="宋体"/>
                <w:b w:val="0"/>
                <w:bCs/>
                <w:color w:val="auto"/>
                <w:kern w:val="2"/>
                <w:sz w:val="24"/>
                <w:szCs w:val="20"/>
                <w:lang w:val="en-US" w:eastAsia="zh-CN"/>
              </w:rPr>
            </w:pPr>
            <w:r>
              <w:rPr>
                <w:rFonts w:hint="eastAsia" w:ascii="宋体" w:hAnsi="宋体" w:eastAsia="宋体" w:cs="宋体"/>
                <w:b w:val="0"/>
                <w:bCs/>
                <w:color w:val="auto"/>
                <w:kern w:val="2"/>
                <w:sz w:val="24"/>
                <w:szCs w:val="20"/>
                <w:lang w:val="en-US" w:eastAsia="zh-CN"/>
              </w:rPr>
              <w:t>无标识项为基础项，全部满足得2分，否则不得分（须在技术响应表中对所有无标识项技术参数进行响应，有负偏离则不得分）。</w:t>
            </w:r>
          </w:p>
        </w:tc>
      </w:tr>
      <w:tr w14:paraId="43C0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noWrap w:val="0"/>
            <w:vAlign w:val="center"/>
          </w:tcPr>
          <w:p w14:paraId="4DDB99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color w:val="auto"/>
                <w:kern w:val="2"/>
                <w:sz w:val="24"/>
                <w:szCs w:val="20"/>
              </w:rPr>
            </w:pPr>
            <w:r>
              <w:rPr>
                <w:rFonts w:hint="eastAsia" w:ascii="宋体" w:hAnsi="宋体" w:eastAsia="宋体" w:cs="宋体"/>
                <w:b/>
                <w:color w:val="auto"/>
                <w:kern w:val="2"/>
                <w:sz w:val="24"/>
                <w:szCs w:val="20"/>
                <w:lang w:eastAsia="zh-CN"/>
              </w:rPr>
              <w:t>注</w:t>
            </w:r>
            <w:r>
              <w:rPr>
                <w:rFonts w:hint="eastAsia" w:ascii="宋体" w:hAnsi="宋体" w:eastAsia="宋体" w:cs="宋体"/>
                <w:b/>
                <w:color w:val="auto"/>
                <w:kern w:val="2"/>
                <w:sz w:val="24"/>
                <w:szCs w:val="20"/>
                <w:lang w:val="en-US" w:eastAsia="zh-CN"/>
              </w:rPr>
              <w:t>：</w:t>
            </w:r>
            <w:r>
              <w:rPr>
                <w:rFonts w:hint="eastAsia" w:ascii="宋体" w:hAnsi="宋体" w:eastAsia="宋体" w:cs="宋体"/>
                <w:b/>
                <w:bCs/>
                <w:color w:val="000000"/>
                <w:kern w:val="0"/>
                <w:sz w:val="24"/>
                <w:szCs w:val="24"/>
                <w:lang w:val="en-US" w:eastAsia="zh-CN" w:bidi="ar"/>
              </w:rPr>
              <w:t>下述标注“★”的指标，响应文件中需提供相关证明材料扫描件或影印件，证明材料包括：医疗器械注册证、技术彩页、技术白皮书、官网截图等，提供其中之一即可，未提供或提供的证明材料不满足指标要求的视为负偏离。所有技术参数及要求采购人验收时将逐条核对，如发现与实际情况不符、虚假响应等，采购人有权</w:t>
            </w:r>
            <w:r>
              <w:rPr>
                <w:rFonts w:hint="eastAsia" w:ascii="宋体" w:hAnsi="宋体" w:eastAsia="宋体" w:cs="宋体"/>
                <w:b/>
                <w:bCs/>
                <w:color w:val="000000"/>
                <w:kern w:val="0"/>
                <w:sz w:val="24"/>
                <w:szCs w:val="24"/>
                <w:highlight w:val="none"/>
                <w:lang w:val="en-US" w:eastAsia="zh-CN" w:bidi="ar"/>
              </w:rPr>
              <w:t>解除</w:t>
            </w:r>
            <w:r>
              <w:rPr>
                <w:rFonts w:hint="eastAsia" w:ascii="宋体" w:hAnsi="宋体" w:eastAsia="宋体" w:cs="宋体"/>
                <w:b/>
                <w:bCs/>
                <w:color w:val="000000"/>
                <w:kern w:val="0"/>
                <w:sz w:val="24"/>
                <w:szCs w:val="24"/>
                <w:lang w:val="en-US" w:eastAsia="zh-CN" w:bidi="ar"/>
              </w:rPr>
              <w:t>合同并报相关监管部门，由此产生的一切责任与后果均由成交供应商承担。</w:t>
            </w:r>
          </w:p>
        </w:tc>
      </w:tr>
    </w:tbl>
    <w:p w14:paraId="1269267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p>
    <w:p w14:paraId="3D6F0B1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sz w:val="24"/>
          <w:szCs w:val="24"/>
          <w:lang w:val="en-US" w:eastAsia="zh-CN"/>
        </w:rPr>
        <w:t>第1包</w:t>
      </w:r>
      <w:r>
        <w:rPr>
          <w:rFonts w:hint="eastAsia" w:ascii="宋体" w:hAnsi="宋体" w:eastAsia="宋体" w:cs="宋体"/>
          <w:sz w:val="24"/>
          <w:szCs w:val="24"/>
          <w:lang w:val="en-US" w:eastAsia="zh-CN"/>
        </w:rPr>
        <w:t xml:space="preserve"> </w:t>
      </w:r>
      <w:r>
        <w:rPr>
          <w:rFonts w:hint="eastAsia" w:ascii="宋体" w:hAnsi="宋体" w:cs="宋体"/>
          <w:b w:val="0"/>
          <w:bCs w:val="0"/>
          <w:color w:val="000000"/>
          <w:kern w:val="0"/>
          <w:sz w:val="24"/>
          <w:szCs w:val="24"/>
          <w:lang w:val="en-US" w:eastAsia="zh-CN" w:bidi="ar"/>
        </w:rPr>
        <w:t>本包别成交</w:t>
      </w:r>
      <w:r>
        <w:rPr>
          <w:rFonts w:hint="eastAsia" w:ascii="宋体" w:hAnsi="宋体" w:eastAsia="宋体" w:cs="宋体"/>
          <w:b w:val="0"/>
          <w:bCs w:val="0"/>
          <w:color w:val="000000"/>
          <w:kern w:val="0"/>
          <w:sz w:val="24"/>
          <w:szCs w:val="24"/>
          <w:lang w:val="en-US" w:eastAsia="zh-CN" w:bidi="ar"/>
        </w:rPr>
        <w:t>供应商</w:t>
      </w:r>
      <w:r>
        <w:rPr>
          <w:rFonts w:hint="eastAsia" w:ascii="宋体" w:hAnsi="宋体" w:cs="宋体"/>
          <w:b w:val="0"/>
          <w:bCs w:val="0"/>
          <w:color w:val="000000"/>
          <w:kern w:val="0"/>
          <w:sz w:val="24"/>
          <w:szCs w:val="24"/>
          <w:lang w:val="en-US" w:eastAsia="zh-CN" w:bidi="ar"/>
        </w:rPr>
        <w:t>须</w:t>
      </w:r>
      <w:r>
        <w:rPr>
          <w:rFonts w:hint="eastAsia" w:ascii="宋体" w:hAnsi="宋体" w:eastAsia="宋体" w:cs="宋体"/>
          <w:b w:val="0"/>
          <w:bCs w:val="0"/>
          <w:color w:val="000000"/>
          <w:kern w:val="0"/>
          <w:sz w:val="24"/>
          <w:szCs w:val="24"/>
          <w:lang w:val="en-US" w:eastAsia="zh-CN" w:bidi="ar"/>
        </w:rPr>
        <w:t>提供满足本项目服务所需的便利化技术平台，以确保工作的正常开展。此技术平台产权归属供应商，合同履约期内产生的相应使用、维护费用由供应商自行</w:t>
      </w:r>
      <w:r>
        <w:rPr>
          <w:rFonts w:hint="eastAsia" w:cs="宋体"/>
          <w:b w:val="0"/>
          <w:bCs w:val="0"/>
          <w:color w:val="000000"/>
          <w:kern w:val="0"/>
          <w:sz w:val="24"/>
          <w:szCs w:val="24"/>
          <w:lang w:val="en-US" w:eastAsia="zh-CN" w:bidi="ar"/>
        </w:rPr>
        <w:t>解决，</w:t>
      </w:r>
      <w:r>
        <w:rPr>
          <w:rFonts w:hint="eastAsia" w:ascii="宋体" w:hAnsi="宋体" w:eastAsia="宋体" w:cs="宋体"/>
          <w:b w:val="0"/>
          <w:bCs w:val="0"/>
          <w:color w:val="000000"/>
          <w:kern w:val="0"/>
          <w:sz w:val="24"/>
          <w:szCs w:val="24"/>
          <w:lang w:val="en-US" w:eastAsia="zh-CN" w:bidi="ar"/>
        </w:rPr>
        <w:t>包含在结算报价中，无需单列，合同签订后，采购人不再另行单独支付该部分费用，服务期满后该平台由</w:t>
      </w:r>
      <w:r>
        <w:rPr>
          <w:rFonts w:hint="eastAsia" w:ascii="宋体" w:hAnsi="宋体" w:cs="宋体"/>
          <w:b w:val="0"/>
          <w:bCs w:val="0"/>
          <w:color w:val="000000"/>
          <w:kern w:val="0"/>
          <w:sz w:val="24"/>
          <w:szCs w:val="24"/>
          <w:lang w:val="en-US" w:eastAsia="zh-CN" w:bidi="ar"/>
        </w:rPr>
        <w:t>成交供应商</w:t>
      </w:r>
      <w:r>
        <w:rPr>
          <w:rFonts w:hint="eastAsia" w:ascii="宋体" w:hAnsi="宋体" w:eastAsia="宋体" w:cs="宋体"/>
          <w:b w:val="0"/>
          <w:bCs w:val="0"/>
          <w:color w:val="000000"/>
          <w:kern w:val="0"/>
          <w:sz w:val="24"/>
          <w:szCs w:val="24"/>
          <w:lang w:val="en-US" w:eastAsia="zh-CN" w:bidi="ar"/>
        </w:rPr>
        <w:t>自行处理。</w:t>
      </w:r>
      <w:r>
        <w:rPr>
          <w:rFonts w:hint="eastAsia" w:ascii="宋体" w:hAnsi="宋体" w:eastAsia="宋体" w:cs="宋体"/>
          <w:b w:val="0"/>
          <w:bCs w:val="0"/>
          <w:sz w:val="24"/>
          <w:szCs w:val="24"/>
          <w:lang w:val="en-US" w:eastAsia="zh-CN"/>
        </w:rPr>
        <w:t>第</w:t>
      </w: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lang w:val="en-US" w:eastAsia="zh-CN"/>
        </w:rPr>
        <w:t>包</w:t>
      </w:r>
      <w:r>
        <w:rPr>
          <w:rFonts w:hint="eastAsia" w:ascii="宋体" w:hAnsi="宋体" w:eastAsia="宋体" w:cs="宋体"/>
          <w:color w:val="auto"/>
          <w:sz w:val="24"/>
          <w:szCs w:val="24"/>
          <w:highlight w:val="none"/>
          <w:lang w:val="en-US" w:eastAsia="zh-CN"/>
        </w:rPr>
        <w:t>（预算</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万元）</w:t>
      </w:r>
    </w:p>
    <w:tbl>
      <w:tblPr>
        <w:tblStyle w:val="57"/>
        <w:tblW w:w="9396" w:type="dxa"/>
        <w:tblInd w:w="-5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405"/>
        <w:gridCol w:w="4173"/>
        <w:gridCol w:w="958"/>
        <w:gridCol w:w="761"/>
        <w:gridCol w:w="1622"/>
      </w:tblGrid>
      <w:tr w14:paraId="0DA2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477" w:type="dxa"/>
            <w:vAlign w:val="center"/>
          </w:tcPr>
          <w:p w14:paraId="688471C9">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序号</w:t>
            </w:r>
          </w:p>
        </w:tc>
        <w:tc>
          <w:tcPr>
            <w:tcW w:w="1405" w:type="dxa"/>
            <w:vAlign w:val="center"/>
          </w:tcPr>
          <w:p w14:paraId="669DA473">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产品名称</w:t>
            </w:r>
          </w:p>
        </w:tc>
        <w:tc>
          <w:tcPr>
            <w:tcW w:w="4173" w:type="dxa"/>
            <w:vAlign w:val="center"/>
          </w:tcPr>
          <w:p w14:paraId="5772B9FA">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lang w:val="en-US" w:eastAsia="zh-CN"/>
              </w:rPr>
              <w:t>技术参数及要求</w:t>
            </w:r>
          </w:p>
        </w:tc>
        <w:tc>
          <w:tcPr>
            <w:tcW w:w="958" w:type="dxa"/>
            <w:vAlign w:val="center"/>
          </w:tcPr>
          <w:p w14:paraId="2D3460CD">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color w:val="auto"/>
                <w:sz w:val="24"/>
                <w:szCs w:val="24"/>
                <w:highlight w:val="none"/>
                <w:vertAlign w:val="baseline"/>
                <w:lang w:val="en-US" w:eastAsia="zh-CN"/>
              </w:rPr>
            </w:pPr>
            <w:r>
              <w:rPr>
                <w:rFonts w:hint="eastAsia"/>
                <w:b/>
                <w:bCs/>
                <w:sz w:val="24"/>
                <w:szCs w:val="24"/>
                <w:highlight w:val="none"/>
                <w:lang w:val="en-US" w:eastAsia="zh-CN"/>
              </w:rPr>
              <w:t>单价最高限价</w:t>
            </w:r>
            <w:r>
              <w:rPr>
                <w:rFonts w:hint="eastAsia" w:ascii="宋体" w:hAnsi="宋体" w:eastAsia="宋体" w:cs="宋体"/>
                <w:b/>
                <w:bCs/>
                <w:i w:val="0"/>
                <w:iCs w:val="0"/>
                <w:color w:val="000000"/>
                <w:kern w:val="0"/>
                <w:sz w:val="24"/>
                <w:szCs w:val="24"/>
                <w:u w:val="none"/>
                <w:lang w:val="en-US" w:eastAsia="zh-CN" w:bidi="ar"/>
              </w:rPr>
              <w:t>（元）</w:t>
            </w:r>
          </w:p>
        </w:tc>
        <w:tc>
          <w:tcPr>
            <w:tcW w:w="761" w:type="dxa"/>
            <w:vAlign w:val="center"/>
          </w:tcPr>
          <w:p w14:paraId="0E3845A3">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计量单位</w:t>
            </w:r>
          </w:p>
        </w:tc>
        <w:tc>
          <w:tcPr>
            <w:tcW w:w="1622" w:type="dxa"/>
            <w:vAlign w:val="center"/>
          </w:tcPr>
          <w:p w14:paraId="71CC6331">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预估使用总量（人份）</w:t>
            </w:r>
          </w:p>
        </w:tc>
      </w:tr>
      <w:tr w14:paraId="08C3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vAlign w:val="center"/>
          </w:tcPr>
          <w:p w14:paraId="3B9C0B84">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w:t>
            </w:r>
          </w:p>
        </w:tc>
        <w:tc>
          <w:tcPr>
            <w:tcW w:w="1405" w:type="dxa"/>
            <w:vAlign w:val="center"/>
          </w:tcPr>
          <w:p w14:paraId="7BE972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center"/>
              <w:rPr>
                <w:rFonts w:hint="default" w:ascii="宋体" w:hAnsi="宋体" w:eastAsia="宋体" w:cs="宋体"/>
                <w:color w:val="auto"/>
                <w:sz w:val="24"/>
                <w:szCs w:val="24"/>
                <w:highlight w:val="none"/>
                <w:vertAlign w:val="baseline"/>
                <w:lang w:val="en-US" w:eastAsia="zh-CN"/>
              </w:rPr>
            </w:pPr>
            <w:r>
              <w:rPr>
                <w:rFonts w:hint="eastAsia" w:asciiTheme="minorEastAsia" w:hAnsiTheme="minorEastAsia" w:eastAsiaTheme="minorEastAsia" w:cstheme="minorEastAsia"/>
                <w:b w:val="0"/>
                <w:bCs w:val="0"/>
                <w:strike w:val="0"/>
                <w:dstrike w:val="0"/>
                <w:color w:val="auto"/>
                <w:kern w:val="0"/>
                <w:sz w:val="24"/>
                <w:szCs w:val="24"/>
                <w:highlight w:val="none"/>
                <w:u w:val="none"/>
                <w:lang w:val="en-US" w:eastAsia="zh-CN" w:bidi="ar"/>
              </w:rPr>
              <w:t>■</w:t>
            </w:r>
            <w:r>
              <w:rPr>
                <w:rFonts w:hint="eastAsia" w:asciiTheme="minorEastAsia" w:hAnsiTheme="minorEastAsia" w:eastAsiaTheme="minorEastAsia" w:cstheme="minorEastAsia"/>
                <w:kern w:val="0"/>
                <w:sz w:val="24"/>
                <w:szCs w:val="24"/>
                <w:lang w:val="en-US" w:eastAsia="zh-CN"/>
              </w:rPr>
              <w:t>尿沉渣分析试剂包（</w:t>
            </w:r>
            <w:r>
              <w:rPr>
                <w:rFonts w:hint="eastAsia" w:asciiTheme="minorEastAsia" w:hAnsiTheme="minorEastAsia" w:eastAsiaTheme="minorEastAsia" w:cstheme="minorEastAsia"/>
                <w:i w:val="0"/>
                <w:iCs w:val="0"/>
                <w:caps w:val="0"/>
                <w:color w:val="auto"/>
                <w:spacing w:val="0"/>
                <w:sz w:val="24"/>
                <w:szCs w:val="24"/>
                <w:shd w:val="clear" w:color="auto" w:fill="auto"/>
              </w:rPr>
              <w:t>全自动尿有形成分分析</w:t>
            </w:r>
            <w:r>
              <w:rPr>
                <w:rFonts w:hint="eastAsia" w:asciiTheme="minorEastAsia" w:hAnsiTheme="minorEastAsia" w:eastAsiaTheme="minorEastAsia" w:cstheme="minorEastAsia"/>
                <w:i w:val="0"/>
                <w:iCs w:val="0"/>
                <w:caps w:val="0"/>
                <w:color w:val="auto"/>
                <w:spacing w:val="0"/>
                <w:sz w:val="24"/>
                <w:szCs w:val="24"/>
                <w:shd w:val="clear" w:color="auto" w:fill="auto"/>
                <w:lang w:val="en-US" w:eastAsia="zh-CN"/>
              </w:rPr>
              <w:t>试剂包</w:t>
            </w:r>
            <w:r>
              <w:rPr>
                <w:rFonts w:hint="eastAsia" w:asciiTheme="minorEastAsia" w:hAnsiTheme="minorEastAsia" w:eastAsiaTheme="minorEastAsia" w:cstheme="minorEastAsia"/>
                <w:kern w:val="0"/>
                <w:sz w:val="24"/>
                <w:szCs w:val="24"/>
                <w:lang w:val="en-US" w:eastAsia="zh-CN"/>
              </w:rPr>
              <w:t>）</w:t>
            </w:r>
          </w:p>
        </w:tc>
        <w:tc>
          <w:tcPr>
            <w:tcW w:w="4173" w:type="dxa"/>
            <w:vAlign w:val="center"/>
          </w:tcPr>
          <w:p w14:paraId="679862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检测项目</w:t>
            </w:r>
          </w:p>
          <w:p w14:paraId="3DE601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1.1</w:t>
            </w:r>
            <w:r>
              <w:rPr>
                <w:rFonts w:hint="eastAsia" w:asciiTheme="minorEastAsia" w:hAnsiTheme="minorEastAsia" w:eastAsiaTheme="minorEastAsia" w:cstheme="minorEastAsia"/>
                <w:b w:val="0"/>
                <w:bCs w:val="0"/>
                <w:color w:val="auto"/>
                <w:sz w:val="24"/>
                <w:szCs w:val="24"/>
              </w:rPr>
              <w:t>干化学：检测参数≥12项</w:t>
            </w:r>
            <w:r>
              <w:rPr>
                <w:rFonts w:hint="eastAsia" w:asciiTheme="minorEastAsia" w:hAnsiTheme="minorEastAsia" w:eastAsiaTheme="minorEastAsia" w:cstheme="minorEastAsia"/>
                <w:b w:val="0"/>
                <w:bCs w:val="0"/>
                <w:color w:val="auto"/>
                <w:sz w:val="24"/>
                <w:szCs w:val="24"/>
                <w:lang w:eastAsia="zh-CN"/>
              </w:rPr>
              <w:t>；</w:t>
            </w:r>
          </w:p>
          <w:p w14:paraId="14D754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1.2</w:t>
            </w:r>
            <w:r>
              <w:rPr>
                <w:rFonts w:hint="eastAsia" w:asciiTheme="minorEastAsia" w:hAnsiTheme="minorEastAsia" w:eastAsiaTheme="minorEastAsia" w:cstheme="minorEastAsia"/>
                <w:b w:val="0"/>
                <w:bCs w:val="0"/>
                <w:color w:val="auto"/>
                <w:sz w:val="24"/>
                <w:szCs w:val="24"/>
              </w:rPr>
              <w:t>有形成分：自动识别分类≥12项（含红细胞、白细胞、管型、结晶等）</w:t>
            </w:r>
            <w:r>
              <w:rPr>
                <w:rFonts w:hint="eastAsia" w:asciiTheme="minorEastAsia" w:hAnsiTheme="minorEastAsia" w:eastAsiaTheme="minorEastAsia" w:cstheme="minorEastAsia"/>
                <w:b w:val="0"/>
                <w:bCs w:val="0"/>
                <w:color w:val="auto"/>
                <w:sz w:val="24"/>
                <w:szCs w:val="24"/>
                <w:lang w:eastAsia="zh-CN"/>
              </w:rPr>
              <w:t>；</w:t>
            </w:r>
          </w:p>
          <w:p w14:paraId="04FE6D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1.3</w:t>
            </w:r>
            <w:r>
              <w:rPr>
                <w:rFonts w:hint="eastAsia" w:asciiTheme="minorEastAsia" w:hAnsiTheme="minorEastAsia" w:eastAsiaTheme="minorEastAsia" w:cstheme="minorEastAsia"/>
                <w:b w:val="0"/>
                <w:bCs w:val="0"/>
                <w:color w:val="auto"/>
                <w:sz w:val="24"/>
                <w:szCs w:val="24"/>
              </w:rPr>
              <w:t>物理特性：具备颜色、浊度检测功能，具备比重检测模块</w:t>
            </w:r>
            <w:r>
              <w:rPr>
                <w:rFonts w:hint="eastAsia" w:asciiTheme="minorEastAsia" w:hAnsiTheme="minorEastAsia" w:eastAsiaTheme="minorEastAsia" w:cstheme="minorEastAsia"/>
                <w:b w:val="0"/>
                <w:bCs w:val="0"/>
                <w:color w:val="auto"/>
                <w:sz w:val="24"/>
                <w:szCs w:val="24"/>
                <w:lang w:eastAsia="zh-CN"/>
              </w:rPr>
              <w:t>。</w:t>
            </w:r>
          </w:p>
          <w:p w14:paraId="141650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测试速度</w:t>
            </w:r>
          </w:p>
          <w:p w14:paraId="4089AE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整机检测（干化学+有形成分）：≥100测试/小时</w:t>
            </w:r>
            <w:r>
              <w:rPr>
                <w:rFonts w:hint="eastAsia" w:asciiTheme="minorEastAsia" w:hAnsiTheme="minorEastAsia" w:eastAsiaTheme="minorEastAsia" w:cstheme="minorEastAsia"/>
                <w:b w:val="0"/>
                <w:bCs w:val="0"/>
                <w:color w:val="auto"/>
                <w:sz w:val="24"/>
                <w:szCs w:val="24"/>
                <w:lang w:eastAsia="zh-CN"/>
              </w:rPr>
              <w:t>；</w:t>
            </w:r>
          </w:p>
          <w:p w14:paraId="498E74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干化学检测：≥220测试/小时</w:t>
            </w:r>
            <w:r>
              <w:rPr>
                <w:rFonts w:hint="eastAsia" w:asciiTheme="minorEastAsia" w:hAnsiTheme="minorEastAsia" w:eastAsiaTheme="minorEastAsia" w:cstheme="minorEastAsia"/>
                <w:b w:val="0"/>
                <w:bCs w:val="0"/>
                <w:color w:val="auto"/>
                <w:sz w:val="24"/>
                <w:szCs w:val="24"/>
                <w:lang w:eastAsia="zh-CN"/>
              </w:rPr>
              <w:t>；</w:t>
            </w:r>
          </w:p>
          <w:p w14:paraId="778566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尿有形成分检测：≥100测试/小时</w:t>
            </w:r>
            <w:r>
              <w:rPr>
                <w:rFonts w:hint="eastAsia" w:asciiTheme="minorEastAsia" w:hAnsiTheme="minorEastAsia" w:eastAsiaTheme="minorEastAsia" w:cstheme="minorEastAsia"/>
                <w:b w:val="0"/>
                <w:bCs w:val="0"/>
                <w:color w:val="auto"/>
                <w:sz w:val="24"/>
                <w:szCs w:val="24"/>
                <w:lang w:eastAsia="zh-CN"/>
              </w:rPr>
              <w:t>。</w:t>
            </w:r>
          </w:p>
          <w:p w14:paraId="0701C5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样本处理方式</w:t>
            </w:r>
          </w:p>
          <w:p w14:paraId="0895C5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无需离心、无需染色、无需样本预处理，支持原尿上机</w:t>
            </w:r>
            <w:r>
              <w:rPr>
                <w:rFonts w:hint="eastAsia" w:asciiTheme="minorEastAsia" w:hAnsiTheme="minorEastAsia" w:eastAsiaTheme="minorEastAsia" w:cstheme="minorEastAsia"/>
                <w:b w:val="0"/>
                <w:bCs w:val="0"/>
                <w:color w:val="auto"/>
                <w:sz w:val="24"/>
                <w:szCs w:val="24"/>
                <w:lang w:eastAsia="zh-CN"/>
              </w:rPr>
              <w:t>。</w:t>
            </w:r>
          </w:p>
          <w:p w14:paraId="4727BA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兼容性要求</w:t>
            </w:r>
          </w:p>
          <w:p w14:paraId="73D3F6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供应商</w:t>
            </w:r>
            <w:r>
              <w:rPr>
                <w:rFonts w:hint="eastAsia" w:asciiTheme="minorEastAsia" w:hAnsiTheme="minorEastAsia" w:eastAsiaTheme="minorEastAsia" w:cstheme="minorEastAsia"/>
                <w:b w:val="0"/>
                <w:bCs w:val="0"/>
                <w:color w:val="auto"/>
                <w:sz w:val="24"/>
                <w:szCs w:val="24"/>
              </w:rPr>
              <w:t>须</w:t>
            </w:r>
            <w:r>
              <w:rPr>
                <w:rFonts w:hint="eastAsia" w:asciiTheme="minorEastAsia" w:hAnsiTheme="minorEastAsia" w:eastAsiaTheme="minorEastAsia" w:cstheme="minorEastAsia"/>
                <w:b w:val="0"/>
                <w:bCs w:val="0"/>
                <w:color w:val="auto"/>
                <w:sz w:val="24"/>
                <w:szCs w:val="24"/>
                <w:lang w:val="en-US" w:eastAsia="zh-CN"/>
              </w:rPr>
              <w:t>提供与所投试剂兼容的</w:t>
            </w:r>
            <w:r>
              <w:rPr>
                <w:rFonts w:hint="eastAsia" w:asciiTheme="minorEastAsia" w:hAnsiTheme="minorEastAsia" w:eastAsiaTheme="minorEastAsia" w:cstheme="minorEastAsia"/>
                <w:b w:val="0"/>
                <w:bCs w:val="0"/>
                <w:color w:val="auto"/>
                <w:kern w:val="0"/>
                <w:sz w:val="24"/>
                <w:szCs w:val="24"/>
                <w:lang w:val="en-US" w:eastAsia="zh-CN" w:bidi="ar"/>
              </w:rPr>
              <w:t>便利化技术平台</w:t>
            </w:r>
            <w:r>
              <w:rPr>
                <w:rFonts w:hint="eastAsia" w:asciiTheme="minorEastAsia" w:hAnsiTheme="minorEastAsia" w:eastAsiaTheme="minorEastAsia" w:cstheme="minorEastAsia"/>
                <w:b w:val="0"/>
                <w:bCs w:val="0"/>
                <w:color w:val="auto"/>
                <w:sz w:val="24"/>
                <w:szCs w:val="24"/>
                <w:lang w:val="en-US" w:eastAsia="zh-CN"/>
              </w:rPr>
              <w:t>。</w:t>
            </w:r>
          </w:p>
          <w:p w14:paraId="14076B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★5</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溯源性要求</w:t>
            </w:r>
          </w:p>
          <w:p w14:paraId="09A3C1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检测系统须具有溯源性，试剂、质控品应与</w:t>
            </w:r>
            <w:r>
              <w:rPr>
                <w:rFonts w:hint="eastAsia" w:asciiTheme="minorEastAsia" w:hAnsiTheme="minorEastAsia" w:eastAsiaTheme="minorEastAsia" w:cstheme="minorEastAsia"/>
                <w:b w:val="0"/>
                <w:bCs w:val="0"/>
                <w:color w:val="000000"/>
                <w:kern w:val="0"/>
                <w:sz w:val="24"/>
                <w:szCs w:val="24"/>
                <w:lang w:val="en-US" w:eastAsia="zh-CN" w:bidi="ar"/>
              </w:rPr>
              <w:t>检测平台</w:t>
            </w:r>
            <w:r>
              <w:rPr>
                <w:rFonts w:hint="eastAsia" w:asciiTheme="minorEastAsia" w:hAnsiTheme="minorEastAsia" w:eastAsiaTheme="minorEastAsia" w:cstheme="minorEastAsia"/>
                <w:b w:val="0"/>
                <w:bCs w:val="0"/>
                <w:color w:val="auto"/>
                <w:sz w:val="24"/>
                <w:szCs w:val="24"/>
              </w:rPr>
              <w:t>为同一品牌。须提供原厂配套阳性质控品。</w:t>
            </w:r>
          </w:p>
          <w:p w14:paraId="32B9C0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数据接口</w:t>
            </w:r>
          </w:p>
          <w:p w14:paraId="08EBE8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lang w:val="en-US" w:eastAsia="zh-CN" w:bidi="ar"/>
              </w:rPr>
              <w:t>供应商成交后检测平台需接入采购人检验科 LIS 系统，由此产生的端口连接费包含在供应商报价中；LIS 系统端端口连接费由成交供应商支</w:t>
            </w:r>
          </w:p>
          <w:p w14:paraId="5A0A83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lang w:val="en-US" w:eastAsia="zh-CN" w:bidi="ar"/>
              </w:rPr>
              <w:t>付给 LIS 系统运营商(成交后由成交供应商和采购人系统运营商自行协商具体接口费用，每个端口连接费不高于8000 元）。</w:t>
            </w:r>
          </w:p>
          <w:p w14:paraId="6381A5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7.</w:t>
            </w:r>
            <w:r>
              <w:rPr>
                <w:rFonts w:hint="eastAsia" w:asciiTheme="minorEastAsia" w:hAnsiTheme="minorEastAsia" w:eastAsiaTheme="minorEastAsia" w:cstheme="minorEastAsia"/>
                <w:b w:val="0"/>
                <w:bCs w:val="0"/>
                <w:sz w:val="24"/>
                <w:szCs w:val="24"/>
              </w:rPr>
              <w:t>配套服务要求</w:t>
            </w:r>
          </w:p>
          <w:p w14:paraId="256281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供货保障：按采购方需求分批供货，紧急情况48小时内送达</w:t>
            </w:r>
            <w:r>
              <w:rPr>
                <w:rFonts w:hint="eastAsia" w:asciiTheme="minorEastAsia" w:hAnsiTheme="minorEastAsia" w:eastAsiaTheme="minorEastAsia" w:cstheme="minorEastAsia"/>
                <w:b w:val="0"/>
                <w:bCs w:val="0"/>
                <w:sz w:val="24"/>
                <w:szCs w:val="24"/>
                <w:lang w:eastAsia="zh-CN"/>
              </w:rPr>
              <w:t>；</w:t>
            </w:r>
          </w:p>
          <w:p w14:paraId="387E87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技术支持：免费提供试剂使用培训操作指导</w:t>
            </w:r>
            <w:r>
              <w:rPr>
                <w:rFonts w:hint="eastAsia" w:asciiTheme="minorEastAsia" w:hAnsiTheme="minorEastAsia" w:eastAsiaTheme="minorEastAsia" w:cstheme="minorEastAsia"/>
                <w:b w:val="0"/>
                <w:bCs w:val="0"/>
                <w:sz w:val="24"/>
                <w:szCs w:val="24"/>
                <w:lang w:eastAsia="zh-CN"/>
              </w:rPr>
              <w:t>；</w:t>
            </w:r>
          </w:p>
          <w:p w14:paraId="4C885C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rPr>
                <w:rFonts w:hint="default" w:ascii="宋体" w:hAnsi="宋体" w:eastAsia="宋体" w:cs="宋体"/>
                <w:color w:val="auto"/>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rPr>
              <w:t>售后响应：质控异常时提供技术指导，响应时间≤3小时</w:t>
            </w:r>
            <w:r>
              <w:rPr>
                <w:rFonts w:hint="eastAsia" w:asciiTheme="minorEastAsia" w:hAnsiTheme="minorEastAsia" w:eastAsiaTheme="minorEastAsia" w:cstheme="minorEastAsia"/>
                <w:b w:val="0"/>
                <w:bCs w:val="0"/>
                <w:sz w:val="24"/>
                <w:szCs w:val="24"/>
                <w:lang w:eastAsia="zh-CN"/>
              </w:rPr>
              <w:t>。</w:t>
            </w:r>
          </w:p>
        </w:tc>
        <w:tc>
          <w:tcPr>
            <w:tcW w:w="958" w:type="dxa"/>
            <w:vAlign w:val="center"/>
          </w:tcPr>
          <w:p w14:paraId="06FA06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12.5</w:t>
            </w:r>
          </w:p>
        </w:tc>
        <w:tc>
          <w:tcPr>
            <w:tcW w:w="761" w:type="dxa"/>
            <w:vAlign w:val="center"/>
          </w:tcPr>
          <w:p w14:paraId="20EA0A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人份</w:t>
            </w:r>
          </w:p>
        </w:tc>
        <w:tc>
          <w:tcPr>
            <w:tcW w:w="1622" w:type="dxa"/>
            <w:vAlign w:val="center"/>
          </w:tcPr>
          <w:p w14:paraId="796439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22400</w:t>
            </w:r>
          </w:p>
        </w:tc>
      </w:tr>
    </w:tbl>
    <w:p w14:paraId="7A3F0B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p>
    <w:p w14:paraId="4EBD67F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第2包</w:t>
      </w:r>
      <w:r>
        <w:rPr>
          <w:rFonts w:hint="eastAsia" w:ascii="宋体" w:hAnsi="宋体" w:eastAsia="宋体" w:cs="宋体"/>
          <w:sz w:val="24"/>
          <w:szCs w:val="24"/>
          <w:lang w:val="en-US" w:eastAsia="zh-CN"/>
        </w:rPr>
        <w:t xml:space="preserve"> 适配机型：全自动血栓弹力图</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麦科田Haema TX</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、全自动血型仪</w:t>
      </w:r>
      <w:r>
        <w:rPr>
          <w:rFonts w:hint="eastAsia" w:ascii="宋体" w:hAnsi="宋体" w:cs="宋体"/>
          <w:sz w:val="24"/>
          <w:szCs w:val="24"/>
          <w:lang w:val="en-US" w:eastAsia="zh-CN"/>
        </w:rPr>
        <w:t>（无锡源博</w:t>
      </w:r>
      <w:r>
        <w:rPr>
          <w:rFonts w:hint="eastAsia" w:ascii="宋体" w:hAnsi="宋体" w:eastAsia="宋体" w:cs="宋体"/>
          <w:sz w:val="24"/>
          <w:szCs w:val="24"/>
          <w:lang w:val="en-US" w:eastAsia="zh-CN"/>
        </w:rPr>
        <w:t>YBXK-4150</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、血液成份分离机</w:t>
      </w:r>
      <w:r>
        <w:rPr>
          <w:rFonts w:hint="eastAsia" w:ascii="宋体" w:hAnsi="宋体" w:cs="宋体"/>
          <w:sz w:val="24"/>
          <w:szCs w:val="24"/>
          <w:lang w:val="en-US" w:eastAsia="zh-CN"/>
        </w:rPr>
        <w:t>（南格尔</w:t>
      </w:r>
      <w:r>
        <w:rPr>
          <w:rFonts w:hint="eastAsia" w:ascii="宋体" w:hAnsi="宋体" w:eastAsia="宋体" w:cs="宋体"/>
          <w:sz w:val="24"/>
          <w:szCs w:val="24"/>
          <w:lang w:val="en-US" w:eastAsia="zh-CN"/>
        </w:rPr>
        <w:t>HDS928</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配套耗材试剂（</w:t>
      </w:r>
      <w:r>
        <w:rPr>
          <w:rFonts w:hint="eastAsia" w:ascii="宋体" w:hAnsi="宋体" w:cs="宋体"/>
          <w:sz w:val="24"/>
          <w:szCs w:val="24"/>
          <w:lang w:val="en-US" w:eastAsia="zh-CN"/>
        </w:rPr>
        <w:t>第2包</w:t>
      </w:r>
      <w:r>
        <w:rPr>
          <w:rFonts w:hint="eastAsia" w:ascii="宋体" w:hAnsi="宋体" w:eastAsia="宋体" w:cs="宋体"/>
          <w:sz w:val="24"/>
          <w:szCs w:val="24"/>
          <w:lang w:val="en-US" w:eastAsia="zh-CN"/>
        </w:rPr>
        <w:t>预算</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万元）</w:t>
      </w:r>
    </w:p>
    <w:tbl>
      <w:tblPr>
        <w:tblStyle w:val="56"/>
        <w:tblpPr w:leftFromText="180" w:rightFromText="180" w:vertAnchor="text" w:horzAnchor="page" w:tblpX="1178" w:tblpY="464"/>
        <w:tblOverlap w:val="never"/>
        <w:tblW w:w="551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7"/>
        <w:gridCol w:w="1321"/>
        <w:gridCol w:w="3886"/>
        <w:gridCol w:w="1088"/>
        <w:gridCol w:w="915"/>
        <w:gridCol w:w="1545"/>
      </w:tblGrid>
      <w:tr w14:paraId="62690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BEB71">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序号</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95FF">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产品名称</w:t>
            </w:r>
          </w:p>
        </w:tc>
        <w:tc>
          <w:tcPr>
            <w:tcW w:w="3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25DB">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技术参数及要求</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4F01">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单价最高限价（元）</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394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计量单位</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FAC0">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预估使用总量（人份/卡/盒/支/套）</w:t>
            </w:r>
          </w:p>
        </w:tc>
      </w:tr>
      <w:tr w14:paraId="36028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010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B7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b w:val="0"/>
                <w:bCs w:val="0"/>
                <w:strike w:val="0"/>
                <w:dstrike w:val="0"/>
                <w:color w:val="auto"/>
                <w:kern w:val="0"/>
                <w:sz w:val="24"/>
                <w:szCs w:val="24"/>
                <w:highlight w:val="none"/>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活化凝血检测试剂盒（凝固法）</w:t>
            </w:r>
          </w:p>
        </w:tc>
        <w:tc>
          <w:tcPr>
            <w:tcW w:w="3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5B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val="0"/>
                <w:bCs/>
                <w:color w:val="auto"/>
                <w:sz w:val="24"/>
                <w:szCs w:val="24"/>
              </w:rPr>
              <w:t>★</w:t>
            </w:r>
            <w:r>
              <w:rPr>
                <w:rFonts w:hint="eastAsia" w:asciiTheme="minorEastAsia" w:hAnsiTheme="minorEastAsia" w:eastAsiaTheme="minorEastAsia" w:cstheme="minorEastAsia"/>
                <w:i w:val="0"/>
                <w:iCs w:val="0"/>
                <w:color w:val="000000"/>
                <w:kern w:val="0"/>
                <w:sz w:val="24"/>
                <w:szCs w:val="24"/>
                <w:u w:val="none"/>
                <w:lang w:val="en-US" w:eastAsia="zh-CN" w:bidi="ar"/>
              </w:rPr>
              <w:t>1.所投试剂适配现有全自动血栓弹力图Haema TX。</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2.试剂有效期均≥24个月，同时可支持2-25℃，不超过7天的常温运输。</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3.试剂采用多人份包装，可以一次性完成上机操作，简化操作，节约时间。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4.报告参数涵盖R、K、Angle(α)、MA、LY30、CI等≥30项主要参数。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5.提供原厂生产提供的质控品，试剂有效期≥24个月。</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0E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89.8</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8E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人份</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D5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Theme="minorEastAsia" w:hAnsiTheme="minorEastAsia" w:eastAsiaTheme="minorEastAsia" w:cstheme="minorEastAsia"/>
                <w:b/>
                <w:bCs/>
                <w:i w:val="0"/>
                <w:iCs w:val="0"/>
                <w:color w:val="auto"/>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u w:val="none"/>
                <w:lang w:val="en-US" w:eastAsia="zh-CN"/>
              </w:rPr>
              <w:t>320</w:t>
            </w:r>
          </w:p>
        </w:tc>
      </w:tr>
      <w:tr w14:paraId="7F642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7" w:hRule="atLeast"/>
        </w:trPr>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004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11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b w:val="0"/>
                <w:bCs w:val="0"/>
                <w:strike w:val="0"/>
                <w:dstrike w:val="0"/>
                <w:color w:val="auto"/>
                <w:kern w:val="0"/>
                <w:sz w:val="24"/>
                <w:szCs w:val="24"/>
                <w:highlight w:val="none"/>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ABO/RhD血型定型检测试剂卡（微柱凝胶法）</w:t>
            </w:r>
          </w:p>
        </w:tc>
        <w:tc>
          <w:tcPr>
            <w:tcW w:w="3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E3B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lang w:val="en-US" w:eastAsia="zh-CN" w:bidi="ar"/>
              </w:rPr>
              <w:t>1.</w:t>
            </w:r>
            <w:r>
              <w:rPr>
                <w:rFonts w:hint="eastAsia" w:asciiTheme="minorEastAsia" w:hAnsiTheme="minorEastAsia" w:eastAsiaTheme="minorEastAsia" w:cstheme="minorEastAsia"/>
                <w:i w:val="0"/>
                <w:iCs w:val="0"/>
                <w:color w:val="000000"/>
                <w:kern w:val="0"/>
                <w:sz w:val="24"/>
                <w:szCs w:val="24"/>
                <w:u w:val="none"/>
                <w:lang w:val="en-US" w:eastAsia="zh-CN" w:bidi="ar"/>
              </w:rPr>
              <w:t>用途：用于临床进行ABO血型正定型、反定型及RhD血型定型，不用于血源筛查。</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2.原理：微柱凝胶法。</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3.主要组成成份：葡聚糖凝胶、IgM抗 A、IgM抗B、IgM抗D。</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4.储存条件：2-25℃保存，有效期≥12个月 。</w:t>
            </w:r>
          </w:p>
          <w:p w14:paraId="6B87D58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val="0"/>
                <w:bCs/>
                <w:color w:val="auto"/>
                <w:sz w:val="24"/>
                <w:szCs w:val="24"/>
              </w:rPr>
              <w:t>★</w:t>
            </w:r>
            <w:r>
              <w:rPr>
                <w:rFonts w:hint="eastAsia" w:asciiTheme="minorEastAsia" w:hAnsiTheme="minorEastAsia" w:eastAsiaTheme="minorEastAsia" w:cstheme="minorEastAsia"/>
                <w:i w:val="0"/>
                <w:iCs w:val="0"/>
                <w:color w:val="000000"/>
                <w:kern w:val="0"/>
                <w:sz w:val="24"/>
                <w:szCs w:val="24"/>
                <w:u w:val="none"/>
                <w:lang w:val="en-US" w:eastAsia="zh-CN" w:bidi="ar"/>
              </w:rPr>
              <w:t>5.所投品牌需适配现有全自动血型仪YBXK-4150。</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DC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color w:val="auto"/>
                <w:sz w:val="24"/>
                <w:szCs w:val="24"/>
                <w:vertAlign w:val="baseline"/>
                <w:lang w:val="en-US" w:eastAsia="zh-CN"/>
              </w:rPr>
              <w:t>23.3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E8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卡</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06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240</w:t>
            </w:r>
          </w:p>
        </w:tc>
      </w:tr>
      <w:tr w14:paraId="2ED68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9A1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default"/>
                <w:szCs w:val="20"/>
                <w:lang w:val="en-US" w:eastAsia="zh-CN"/>
              </w:rPr>
            </w:pPr>
            <w:r>
              <w:rPr>
                <w:rFonts w:hint="eastAsia"/>
                <w:szCs w:val="20"/>
                <w:lang w:val="en-US" w:eastAsia="zh-CN"/>
              </w:rPr>
              <w:t>3</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6B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抗人球蛋白（抗IgG+C3d）检测卡（柱凝集法）</w:t>
            </w:r>
          </w:p>
        </w:tc>
        <w:tc>
          <w:tcPr>
            <w:tcW w:w="3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5F4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lang w:val="en-US" w:eastAsia="zh-CN" w:bidi="ar"/>
              </w:rPr>
              <w:t>1.</w:t>
            </w:r>
            <w:r>
              <w:rPr>
                <w:rFonts w:hint="eastAsia" w:asciiTheme="minorEastAsia" w:hAnsiTheme="minorEastAsia" w:eastAsiaTheme="minorEastAsia" w:cstheme="minorEastAsia"/>
                <w:i w:val="0"/>
                <w:iCs w:val="0"/>
                <w:color w:val="000000"/>
                <w:kern w:val="0"/>
                <w:sz w:val="24"/>
                <w:szCs w:val="24"/>
                <w:u w:val="none"/>
                <w:lang w:val="en-US" w:eastAsia="zh-CN" w:bidi="ar"/>
              </w:rPr>
              <w:t>用途：用于交叉配血、不规则抗体筛查试验。</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2.主要组成成份：葡聚糖凝胶、抗IgG+C3d。</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3.储存条件：2-25℃保存，有效期≥12个月 。 </w:t>
            </w:r>
          </w:p>
          <w:p w14:paraId="7990095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val="0"/>
                <w:bCs/>
                <w:color w:val="auto"/>
                <w:sz w:val="24"/>
                <w:szCs w:val="24"/>
              </w:rPr>
              <w:t>★</w:t>
            </w:r>
            <w:r>
              <w:rPr>
                <w:rFonts w:hint="eastAsia" w:asciiTheme="minorEastAsia" w:hAnsiTheme="minorEastAsia" w:eastAsiaTheme="minorEastAsia" w:cstheme="minorEastAsia"/>
                <w:i w:val="0"/>
                <w:iCs w:val="0"/>
                <w:color w:val="000000"/>
                <w:kern w:val="0"/>
                <w:sz w:val="24"/>
                <w:szCs w:val="24"/>
                <w:u w:val="none"/>
                <w:lang w:val="en-US" w:eastAsia="zh-CN" w:bidi="ar"/>
              </w:rPr>
              <w:t>4.所投品牌需适配现有全自动血型仪YBXK-4150。</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C4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Theme="minorEastAsia" w:hAnsiTheme="minorEastAsia" w:eastAsiaTheme="minorEastAsia" w:cstheme="minorEastAsia"/>
                <w:i w:val="0"/>
                <w:iCs w:val="0"/>
                <w:color w:val="4F81BD" w:themeColor="accent1"/>
                <w:kern w:val="0"/>
                <w:sz w:val="24"/>
                <w:szCs w:val="24"/>
                <w:u w:val="none"/>
                <w:lang w:val="en-US" w:eastAsia="zh-CN" w:bidi="ar"/>
                <w14:textFill>
                  <w14:solidFill>
                    <w14:schemeClr w14:val="accent1"/>
                  </w14:solidFill>
                </w14:textFill>
              </w:rPr>
            </w:pPr>
            <w:r>
              <w:rPr>
                <w:rFonts w:hint="eastAsia" w:asciiTheme="minorEastAsia" w:hAnsiTheme="minorEastAsia" w:eastAsiaTheme="minorEastAsia" w:cstheme="minorEastAsia"/>
                <w:i w:val="0"/>
                <w:iCs w:val="0"/>
                <w:color w:val="auto"/>
                <w:kern w:val="0"/>
                <w:sz w:val="24"/>
                <w:szCs w:val="24"/>
                <w:u w:val="none"/>
                <w:lang w:val="en-US" w:eastAsia="zh-CN" w:bidi="ar"/>
              </w:rPr>
              <w:t>27.1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02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Theme="minorEastAsia" w:hAnsiTheme="minorEastAsia" w:eastAsiaTheme="minorEastAsia" w:cstheme="minorEastAsia"/>
                <w:i w:val="0"/>
                <w:iCs w:val="0"/>
                <w:color w:val="4F81BD" w:themeColor="accent1"/>
                <w:kern w:val="0"/>
                <w:sz w:val="24"/>
                <w:szCs w:val="24"/>
                <w:u w:val="none"/>
                <w:lang w:val="en-US" w:eastAsia="zh-CN" w:bidi="ar"/>
                <w14:textFill>
                  <w14:solidFill>
                    <w14:schemeClr w14:val="accent1"/>
                  </w14:solidFill>
                </w14:textFill>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卡</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64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Theme="minorEastAsia" w:hAnsiTheme="minorEastAsia" w:eastAsiaTheme="minorEastAsia" w:cstheme="minorEastAsia"/>
                <w:i w:val="0"/>
                <w:iCs w:val="0"/>
                <w:color w:val="4F81BD" w:themeColor="accent1"/>
                <w:kern w:val="0"/>
                <w:sz w:val="24"/>
                <w:szCs w:val="24"/>
                <w:u w:val="none"/>
                <w:lang w:val="en-US" w:eastAsia="zh-CN" w:bidi="ar"/>
                <w14:textFill>
                  <w14:solidFill>
                    <w14:schemeClr w14:val="accent1"/>
                  </w14:solidFill>
                </w14:textFill>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240</w:t>
            </w:r>
          </w:p>
        </w:tc>
      </w:tr>
      <w:tr w14:paraId="4CBC2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E0C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B9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血型鉴定、不规则抗体筛查及交叉配血质控品</w:t>
            </w:r>
          </w:p>
        </w:tc>
        <w:tc>
          <w:tcPr>
            <w:tcW w:w="3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9B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1.主要成分：本品共4支质控品，分别为质控品1、2、3和4各1支。由红细胞、血浆和抗D-IgG组成。</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2.用于ABO(含正定型及反定型)及RhD血型鉴定、不规则抗体筛查、交叉配血项目的室内质量控制。仅用于临床检测，不用于血源筛查。</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06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3240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0D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盒</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DD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r>
      <w:tr w14:paraId="60A2D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6" w:hRule="atLeast"/>
        </w:trPr>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E9A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29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抗体筛选红细胞试剂盒</w:t>
            </w:r>
          </w:p>
        </w:tc>
        <w:tc>
          <w:tcPr>
            <w:tcW w:w="3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40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1.产品规格：5mL/支。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2.3个已知抗原表现型的0型红细胞,红细胞表达D，C,E,c, e,Jk⒜,Jk⒝,M,N,S,s,Fy⒜,Le⒜,Le⒝,P₁抗原;每组细胞中,D,C,E,c,e,s,Fy⒜,Le⒝抗原应有至少2个阳性,Jk⒜,Jk⒝,M,N,S,Le⒜,P₁抗原应有至少1个阳性;葡萄糖;枸橼酸;抗生素。</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3.该产品用于血型不规则抗体的筛查,本产品不用于血源筛查,仅用于临床检验。</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2C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249</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5E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盒</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A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6</w:t>
            </w:r>
          </w:p>
        </w:tc>
      </w:tr>
      <w:tr w14:paraId="7F4DC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DEF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C8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吸头</w:t>
            </w:r>
          </w:p>
        </w:tc>
        <w:tc>
          <w:tcPr>
            <w:tcW w:w="3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2D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val="0"/>
                <w:bCs/>
                <w:color w:val="auto"/>
                <w:sz w:val="24"/>
                <w:szCs w:val="24"/>
              </w:rPr>
              <w:t>★</w:t>
            </w:r>
            <w:r>
              <w:rPr>
                <w:rFonts w:hint="eastAsia" w:asciiTheme="minorEastAsia" w:hAnsiTheme="minorEastAsia" w:eastAsiaTheme="minorEastAsia" w:cstheme="minorEastAsia"/>
                <w:i w:val="0"/>
                <w:iCs w:val="0"/>
                <w:color w:val="000000"/>
                <w:kern w:val="0"/>
                <w:sz w:val="24"/>
                <w:szCs w:val="24"/>
                <w:u w:val="none"/>
                <w:lang w:val="en-US" w:eastAsia="zh-CN" w:bidi="ar"/>
              </w:rPr>
              <w:t>所投品牌需适配现有全自动血型仪YBXK-4150。</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F0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0.49</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96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支</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96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9600</w:t>
            </w:r>
          </w:p>
        </w:tc>
      </w:tr>
      <w:tr w14:paraId="0366B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EE8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06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strike w:val="0"/>
                <w:dstrike w:val="0"/>
                <w:color w:val="auto"/>
                <w:kern w:val="0"/>
                <w:sz w:val="24"/>
                <w:szCs w:val="24"/>
                <w:highlight w:val="none"/>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一次性使用单采血液成份分离器</w:t>
            </w:r>
          </w:p>
        </w:tc>
        <w:tc>
          <w:tcPr>
            <w:tcW w:w="3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B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1.在PRP收集系统可实现一次采集，五次分装，收集位置处设计有留样管，便于PRP的检测留样。                                                                            2.产品有效期≥48个月。                                                            </w:t>
            </w:r>
            <w:r>
              <w:rPr>
                <w:rFonts w:hint="eastAsia" w:asciiTheme="minorEastAsia" w:hAnsiTheme="minorEastAsia" w:eastAsiaTheme="minorEastAsia" w:cstheme="minorEastAsia"/>
                <w:b w:val="0"/>
                <w:bCs/>
                <w:color w:val="auto"/>
                <w:sz w:val="24"/>
                <w:szCs w:val="24"/>
              </w:rPr>
              <w:t>★</w:t>
            </w:r>
            <w:r>
              <w:rPr>
                <w:rFonts w:hint="eastAsia" w:asciiTheme="minorEastAsia" w:hAnsiTheme="minorEastAsia" w:eastAsiaTheme="minorEastAsia" w:cstheme="minorEastAsia"/>
                <w:i w:val="0"/>
                <w:iCs w:val="0"/>
                <w:color w:val="000000"/>
                <w:kern w:val="0"/>
                <w:sz w:val="24"/>
                <w:szCs w:val="24"/>
                <w:u w:val="none"/>
                <w:lang w:val="en-US" w:eastAsia="zh-CN" w:bidi="ar"/>
              </w:rPr>
              <w:t>3.所投产品适配现有血液成份分离机HDS928配套使用的一次性使用医用耗材。</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4E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1200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47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套</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1A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8</w:t>
            </w:r>
          </w:p>
        </w:tc>
      </w:tr>
      <w:tr w14:paraId="48DE7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2" w:hRule="atLeast"/>
        </w:trPr>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EAC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rPr>
                <w:rFonts w:hint="default"/>
                <w:szCs w:val="20"/>
                <w:lang w:val="en-US" w:eastAsia="zh-CN"/>
              </w:rPr>
            </w:pPr>
            <w:r>
              <w:rPr>
                <w:rFonts w:hint="eastAsia"/>
                <w:szCs w:val="20"/>
                <w:lang w:val="en-US" w:eastAsia="zh-CN"/>
              </w:rPr>
              <w:t>8</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C6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一次性使用塑料血袋</w:t>
            </w:r>
          </w:p>
        </w:tc>
        <w:tc>
          <w:tcPr>
            <w:tcW w:w="3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5FC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1.规格：500ml血液保存液。</w:t>
            </w:r>
          </w:p>
          <w:p w14:paraId="0D12859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2.用途：用于体外血液抗凝。</w:t>
            </w:r>
          </w:p>
          <w:p w14:paraId="51BE7D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主要成份：枸橼酸钠、枸橼酸、葡萄糖。</w:t>
            </w:r>
          </w:p>
          <w:p w14:paraId="1582D0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val="0"/>
                <w:bCs/>
                <w:color w:val="auto"/>
                <w:sz w:val="24"/>
                <w:szCs w:val="24"/>
              </w:rPr>
              <w:t>★</w:t>
            </w:r>
            <w:r>
              <w:rPr>
                <w:rFonts w:hint="eastAsia" w:asciiTheme="minorEastAsia" w:hAnsiTheme="minorEastAsia" w:eastAsiaTheme="minorEastAsia" w:cstheme="minorEastAsia"/>
                <w:i w:val="0"/>
                <w:iCs w:val="0"/>
                <w:color w:val="000000"/>
                <w:kern w:val="0"/>
                <w:sz w:val="24"/>
                <w:szCs w:val="24"/>
                <w:u w:val="none"/>
                <w:lang w:val="en-US" w:eastAsia="zh-CN" w:bidi="ar"/>
              </w:rPr>
              <w:t>3.所投产品适配现有血液成份分离机HDS928配套使用的一次性使用医用耗材。</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2B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36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8C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套</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00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8</w:t>
            </w:r>
          </w:p>
        </w:tc>
      </w:tr>
    </w:tbl>
    <w:p w14:paraId="152A7E3E">
      <w:pPr>
        <w:widowControl w:val="0"/>
        <w:spacing w:before="84"/>
        <w:ind w:firstLine="233" w:firstLineChars="100"/>
        <w:jc w:val="both"/>
        <w:outlineLvl w:val="4"/>
        <w:rPr>
          <w:rFonts w:ascii="宋体" w:hAnsi="宋体" w:eastAsia="宋体" w:cs="宋体"/>
          <w:b/>
          <w:bCs/>
          <w:spacing w:val="-4"/>
          <w:kern w:val="2"/>
          <w:sz w:val="24"/>
          <w:szCs w:val="24"/>
          <w:lang w:val="en-US" w:eastAsia="zh-CN" w:bidi="ar-SA"/>
        </w:rPr>
      </w:pPr>
      <w:r>
        <w:rPr>
          <w:rFonts w:ascii="宋体" w:hAnsi="宋体" w:eastAsia="宋体" w:cs="宋体"/>
          <w:b/>
          <w:bCs/>
          <w:spacing w:val="-4"/>
          <w:kern w:val="2"/>
          <w:sz w:val="24"/>
          <w:szCs w:val="24"/>
          <w:lang w:val="en-US" w:eastAsia="zh-CN" w:bidi="ar-SA"/>
        </w:rPr>
        <w:t>四、报价要求</w:t>
      </w:r>
    </w:p>
    <w:p w14:paraId="24C1A17D">
      <w:pPr>
        <w:spacing w:line="360" w:lineRule="auto"/>
        <w:ind w:firstLine="482" w:firstLineChars="200"/>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本项目</w:t>
      </w:r>
      <w:r>
        <w:rPr>
          <w:rFonts w:hint="eastAsia" w:ascii="宋体" w:hAnsi="宋体" w:eastAsia="宋体" w:cs="宋体"/>
          <w:b/>
          <w:bCs w:val="0"/>
          <w:color w:val="auto"/>
          <w:sz w:val="24"/>
          <w:szCs w:val="24"/>
          <w:highlight w:val="none"/>
          <w:lang w:val="en-US" w:eastAsia="zh-CN"/>
        </w:rPr>
        <w:t>采用统一费率报价，供应商须根据</w:t>
      </w:r>
      <w:r>
        <w:rPr>
          <w:rFonts w:hint="eastAsia" w:ascii="宋体" w:hAnsi="宋体" w:eastAsia="宋体" w:cs="宋体"/>
          <w:b/>
          <w:bCs/>
          <w:spacing w:val="-4"/>
          <w:kern w:val="2"/>
          <w:sz w:val="24"/>
          <w:szCs w:val="24"/>
          <w:lang w:val="en-US" w:eastAsia="zh-CN" w:bidi="ar-SA"/>
        </w:rPr>
        <w:t>配送产品</w:t>
      </w:r>
      <w:r>
        <w:rPr>
          <w:rFonts w:hint="eastAsia" w:ascii="宋体" w:hAnsi="宋体" w:cs="宋体"/>
          <w:b/>
          <w:bCs/>
          <w:spacing w:val="-4"/>
          <w:kern w:val="2"/>
          <w:sz w:val="24"/>
          <w:szCs w:val="24"/>
          <w:lang w:val="en-US" w:eastAsia="zh-CN" w:bidi="ar-SA"/>
        </w:rPr>
        <w:t>需求表中</w:t>
      </w:r>
      <w:r>
        <w:rPr>
          <w:rFonts w:hint="eastAsia" w:ascii="宋体" w:hAnsi="宋体" w:eastAsia="宋体" w:cs="宋体"/>
          <w:b/>
          <w:bCs w:val="0"/>
          <w:color w:val="auto"/>
          <w:sz w:val="24"/>
          <w:szCs w:val="24"/>
          <w:highlight w:val="none"/>
          <w:lang w:val="en-US" w:eastAsia="zh-CN"/>
        </w:rPr>
        <w:t>的</w:t>
      </w:r>
      <w:r>
        <w:rPr>
          <w:rFonts w:hint="eastAsia"/>
          <w:b/>
          <w:bCs w:val="0"/>
          <w:color w:val="auto"/>
          <w:sz w:val="24"/>
          <w:szCs w:val="24"/>
          <w:highlight w:val="none"/>
          <w:lang w:val="en-US" w:eastAsia="zh-CN"/>
        </w:rPr>
        <w:t>单价最高限价</w:t>
      </w:r>
      <w:r>
        <w:rPr>
          <w:rFonts w:hint="eastAsia" w:ascii="宋体" w:hAnsi="宋体" w:eastAsia="宋体" w:cs="宋体"/>
          <w:b/>
          <w:bCs w:val="0"/>
          <w:color w:val="auto"/>
          <w:sz w:val="24"/>
          <w:szCs w:val="24"/>
          <w:highlight w:val="none"/>
        </w:rPr>
        <w:t>进行统一费率报价形成</w:t>
      </w:r>
      <w:r>
        <w:rPr>
          <w:rFonts w:hint="eastAsia" w:ascii="宋体" w:hAnsi="宋体" w:eastAsia="宋体" w:cs="宋体"/>
          <w:b/>
          <w:bCs w:val="0"/>
          <w:color w:val="auto"/>
          <w:sz w:val="24"/>
          <w:szCs w:val="24"/>
          <w:highlight w:val="none"/>
          <w:lang w:eastAsia="zh-CN"/>
        </w:rPr>
        <w:t>结算报价，产品结算单价</w:t>
      </w:r>
      <w:r>
        <w:rPr>
          <w:rFonts w:hint="eastAsia" w:ascii="宋体" w:hAnsi="宋体" w:eastAsia="宋体" w:cs="宋体"/>
          <w:b/>
          <w:bCs w:val="0"/>
          <w:color w:val="auto"/>
          <w:sz w:val="24"/>
          <w:szCs w:val="24"/>
          <w:highlight w:val="none"/>
          <w:lang w:val="en-US" w:eastAsia="zh-CN"/>
        </w:rPr>
        <w:t>=产品</w:t>
      </w:r>
      <w:r>
        <w:rPr>
          <w:rFonts w:hint="eastAsia"/>
          <w:b/>
          <w:bCs w:val="0"/>
          <w:color w:val="auto"/>
          <w:sz w:val="24"/>
          <w:szCs w:val="24"/>
          <w:highlight w:val="none"/>
          <w:lang w:val="en-US" w:eastAsia="zh-CN"/>
        </w:rPr>
        <w:t>单价最高限价</w:t>
      </w:r>
      <w:r>
        <w:rPr>
          <w:rFonts w:hint="eastAsia" w:ascii="宋体" w:hAnsi="宋体" w:eastAsia="宋体" w:cs="宋体"/>
          <w:b/>
          <w:bCs w:val="0"/>
          <w:color w:val="auto"/>
          <w:sz w:val="24"/>
          <w:szCs w:val="24"/>
          <w:highlight w:val="none"/>
          <w:lang w:val="en-US" w:eastAsia="zh-CN"/>
        </w:rPr>
        <w:t>×统一费率</w:t>
      </w:r>
      <w:r>
        <w:rPr>
          <w:rFonts w:hint="eastAsia" w:ascii="宋体" w:hAnsi="宋体" w:eastAsia="宋体" w:cs="宋体"/>
          <w:b/>
          <w:bCs w:val="0"/>
          <w:color w:val="auto"/>
          <w:sz w:val="24"/>
          <w:szCs w:val="24"/>
          <w:highlight w:val="none"/>
        </w:rPr>
        <w:t>（计算结果四舍五入保留至小数点后</w:t>
      </w:r>
      <w:r>
        <w:rPr>
          <w:rFonts w:hint="eastAsia" w:ascii="宋体" w:hAnsi="宋体" w:cs="宋体"/>
          <w:b/>
          <w:bCs w:val="0"/>
          <w:color w:val="auto"/>
          <w:sz w:val="24"/>
          <w:szCs w:val="24"/>
          <w:highlight w:val="none"/>
          <w:lang w:val="en-US" w:eastAsia="zh-CN"/>
        </w:rPr>
        <w:t>三</w:t>
      </w:r>
      <w:r>
        <w:rPr>
          <w:rFonts w:hint="eastAsia" w:ascii="宋体" w:hAnsi="宋体" w:eastAsia="宋体" w:cs="宋体"/>
          <w:b/>
          <w:bCs w:val="0"/>
          <w:color w:val="auto"/>
          <w:sz w:val="24"/>
          <w:szCs w:val="24"/>
          <w:highlight w:val="none"/>
        </w:rPr>
        <w:t>位数）。</w:t>
      </w:r>
      <w:r>
        <w:rPr>
          <w:rFonts w:hint="eastAsia" w:ascii="宋体" w:hAnsi="宋体" w:eastAsia="宋体" w:cs="宋体"/>
          <w:b/>
          <w:bCs w:val="0"/>
          <w:color w:val="auto"/>
          <w:sz w:val="24"/>
          <w:szCs w:val="24"/>
          <w:highlight w:val="none"/>
          <w:lang w:eastAsia="zh-CN"/>
        </w:rPr>
        <w:t>产品结算单价</w:t>
      </w:r>
      <w:r>
        <w:rPr>
          <w:rFonts w:hint="eastAsia" w:ascii="宋体" w:hAnsi="宋体" w:eastAsia="宋体" w:cs="宋体"/>
          <w:b/>
          <w:bCs w:val="0"/>
          <w:color w:val="auto"/>
          <w:sz w:val="24"/>
          <w:szCs w:val="24"/>
          <w:highlight w:val="none"/>
        </w:rPr>
        <w:t>系指完成某一产品</w:t>
      </w:r>
      <w:r>
        <w:rPr>
          <w:rFonts w:hint="eastAsia" w:ascii="宋体" w:hAnsi="宋体" w:eastAsia="宋体" w:cs="宋体"/>
          <w:b/>
          <w:bCs w:val="0"/>
          <w:color w:val="auto"/>
          <w:sz w:val="24"/>
          <w:szCs w:val="24"/>
          <w:highlight w:val="none"/>
          <w:lang w:val="en-US" w:eastAsia="zh-CN"/>
        </w:rPr>
        <w:t>生产、供货</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val="en-US" w:eastAsia="zh-CN"/>
        </w:rPr>
        <w:t>配送服务及</w:t>
      </w:r>
      <w:r>
        <w:rPr>
          <w:rFonts w:hint="eastAsia" w:ascii="宋体" w:hAnsi="宋体" w:eastAsia="宋体" w:cs="宋体"/>
          <w:b/>
          <w:bCs w:val="0"/>
          <w:color w:val="auto"/>
          <w:sz w:val="24"/>
          <w:szCs w:val="24"/>
          <w:highlight w:val="none"/>
        </w:rPr>
        <w:t>其他技术服务费等所需一切费用。统一费率报价不高于100%，</w:t>
      </w:r>
      <w:r>
        <w:rPr>
          <w:rFonts w:hint="eastAsia" w:ascii="宋体" w:hAnsi="宋体" w:eastAsia="宋体" w:cs="宋体"/>
          <w:b/>
          <w:bCs w:val="0"/>
          <w:color w:val="auto"/>
          <w:sz w:val="24"/>
          <w:szCs w:val="24"/>
          <w:highlight w:val="none"/>
          <w:lang w:val="en-US" w:eastAsia="zh-CN"/>
        </w:rPr>
        <w:t>费率</w:t>
      </w:r>
      <w:r>
        <w:rPr>
          <w:rFonts w:hint="eastAsia" w:ascii="宋体" w:hAnsi="宋体" w:eastAsia="宋体" w:cs="宋体"/>
          <w:b/>
          <w:bCs w:val="0"/>
          <w:color w:val="auto"/>
          <w:sz w:val="24"/>
          <w:szCs w:val="24"/>
          <w:highlight w:val="none"/>
        </w:rPr>
        <w:t>为0的视为响应无效。</w:t>
      </w:r>
      <w:r>
        <w:rPr>
          <w:rFonts w:hint="eastAsia" w:ascii="宋体" w:hAnsi="宋体" w:eastAsia="宋体" w:cs="宋体"/>
          <w:b w:val="0"/>
          <w:bCs/>
          <w:color w:val="auto"/>
          <w:sz w:val="24"/>
          <w:szCs w:val="18"/>
          <w:highlight w:val="none"/>
        </w:rPr>
        <w:t>费率小数点后保留不超过两位小数(如费率</w:t>
      </w:r>
      <w:r>
        <w:rPr>
          <w:rFonts w:hint="eastAsia" w:ascii="宋体" w:hAnsi="宋体" w:eastAsia="宋体" w:cs="宋体"/>
          <w:b w:val="0"/>
          <w:bCs/>
          <w:color w:val="auto"/>
          <w:sz w:val="24"/>
          <w:szCs w:val="18"/>
          <w:highlight w:val="none"/>
          <w:lang w:val="en-US" w:eastAsia="zh-CN"/>
        </w:rPr>
        <w:t>报价</w:t>
      </w:r>
      <w:r>
        <w:rPr>
          <w:rFonts w:hint="eastAsia" w:ascii="宋体" w:hAnsi="宋体" w:eastAsia="宋体" w:cs="宋体"/>
          <w:b w:val="0"/>
          <w:bCs/>
          <w:color w:val="auto"/>
          <w:sz w:val="24"/>
          <w:szCs w:val="18"/>
          <w:highlight w:val="none"/>
        </w:rPr>
        <w:t>为45.356%，小数点后第三位直接舍去，评标时评标价即为45.35%)</w:t>
      </w:r>
      <w:r>
        <w:rPr>
          <w:rFonts w:hint="eastAsia" w:ascii="宋体" w:hAnsi="宋体" w:eastAsia="宋体" w:cs="宋体"/>
          <w:b w:val="0"/>
          <w:bCs/>
          <w:color w:val="auto"/>
          <w:sz w:val="24"/>
          <w:szCs w:val="24"/>
          <w:highlight w:val="none"/>
        </w:rPr>
        <w:t>。</w:t>
      </w:r>
    </w:p>
    <w:p w14:paraId="09DC3A3D">
      <w:pPr>
        <w:spacing w:line="360" w:lineRule="auto"/>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例如：某供应商统一费率报价为</w:t>
      </w:r>
      <w:r>
        <w:rPr>
          <w:rFonts w:hint="eastAsia" w:ascii="宋体" w:hAnsi="宋体" w:cs="宋体"/>
          <w:b w:val="0"/>
          <w:bCs/>
          <w:color w:val="auto"/>
          <w:sz w:val="24"/>
          <w:szCs w:val="24"/>
          <w:highlight w:val="none"/>
          <w:lang w:val="en-US" w:eastAsia="zh-CN"/>
        </w:rPr>
        <w:t>92</w:t>
      </w:r>
      <w:r>
        <w:rPr>
          <w:rFonts w:hint="eastAsia" w:ascii="宋体" w:hAnsi="宋体" w:eastAsia="宋体" w:cs="宋体"/>
          <w:b w:val="0"/>
          <w:bCs/>
          <w:color w:val="auto"/>
          <w:sz w:val="24"/>
          <w:szCs w:val="24"/>
          <w:highlight w:val="none"/>
          <w:lang w:val="en-US" w:eastAsia="zh-CN"/>
        </w:rPr>
        <w:t>.00%，产品名称（</w:t>
      </w:r>
      <w:r>
        <w:rPr>
          <w:rFonts w:hint="eastAsia" w:asciiTheme="minorEastAsia" w:hAnsiTheme="minorEastAsia" w:eastAsiaTheme="minorEastAsia" w:cstheme="minorEastAsia"/>
          <w:kern w:val="0"/>
          <w:sz w:val="24"/>
          <w:szCs w:val="24"/>
          <w:lang w:val="en-US" w:eastAsia="zh-CN"/>
        </w:rPr>
        <w:t>尿沉渣分析试剂包</w:t>
      </w: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单价</w:t>
      </w:r>
      <w:r>
        <w:rPr>
          <w:rFonts w:hint="eastAsia" w:ascii="宋体" w:hAnsi="宋体" w:eastAsia="宋体" w:cs="宋体"/>
          <w:b w:val="0"/>
          <w:bCs/>
          <w:color w:val="auto"/>
          <w:sz w:val="24"/>
          <w:szCs w:val="24"/>
          <w:highlight w:val="none"/>
          <w:lang w:val="en-US" w:eastAsia="zh-CN"/>
        </w:rPr>
        <w:t>最高限价为</w:t>
      </w:r>
      <w:r>
        <w:rPr>
          <w:rFonts w:hint="eastAsia" w:ascii="宋体" w:hAnsi="宋体" w:cs="宋体"/>
          <w:b w:val="0"/>
          <w:bCs/>
          <w:color w:val="auto"/>
          <w:sz w:val="24"/>
          <w:szCs w:val="24"/>
          <w:highlight w:val="none"/>
          <w:lang w:val="en-US" w:eastAsia="zh-CN"/>
        </w:rPr>
        <w:t>12.5</w:t>
      </w:r>
      <w:r>
        <w:rPr>
          <w:rFonts w:hint="eastAsia" w:ascii="宋体" w:hAnsi="宋体" w:eastAsia="宋体" w:cs="宋体"/>
          <w:b w:val="0"/>
          <w:bCs/>
          <w:color w:val="auto"/>
          <w:sz w:val="24"/>
          <w:szCs w:val="24"/>
          <w:highlight w:val="none"/>
          <w:lang w:val="en-US" w:eastAsia="zh-CN"/>
        </w:rPr>
        <w:t>元/</w:t>
      </w:r>
      <w:r>
        <w:rPr>
          <w:rFonts w:hint="eastAsia" w:ascii="宋体" w:hAnsi="宋体" w:cs="宋体"/>
          <w:b w:val="0"/>
          <w:bCs/>
          <w:color w:val="auto"/>
          <w:sz w:val="24"/>
          <w:szCs w:val="24"/>
          <w:highlight w:val="none"/>
          <w:lang w:val="en-US" w:eastAsia="zh-CN"/>
        </w:rPr>
        <w:t>人份</w:t>
      </w:r>
      <w:r>
        <w:rPr>
          <w:rFonts w:hint="eastAsia" w:ascii="宋体" w:hAnsi="宋体" w:eastAsia="宋体" w:cs="宋体"/>
          <w:b w:val="0"/>
          <w:bCs/>
          <w:color w:val="auto"/>
          <w:sz w:val="24"/>
          <w:szCs w:val="24"/>
          <w:highlight w:val="none"/>
          <w:lang w:val="en-US" w:eastAsia="zh-CN"/>
        </w:rPr>
        <w:t>，则该产品的结算</w:t>
      </w:r>
      <w:r>
        <w:rPr>
          <w:rFonts w:hint="eastAsia" w:ascii="宋体" w:hAnsi="宋体" w:cs="宋体"/>
          <w:b w:val="0"/>
          <w:bCs/>
          <w:color w:val="auto"/>
          <w:sz w:val="24"/>
          <w:szCs w:val="24"/>
          <w:highlight w:val="none"/>
          <w:lang w:val="en-US" w:eastAsia="zh-CN"/>
        </w:rPr>
        <w:t>单价</w:t>
      </w: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12</w:t>
      </w:r>
      <w:r>
        <w:rPr>
          <w:rFonts w:hint="eastAsia" w:ascii="宋体" w:hAnsi="宋体" w:eastAsia="宋体" w:cs="宋体"/>
          <w:b w:val="0"/>
          <w:bCs/>
          <w:color w:val="auto"/>
          <w:sz w:val="24"/>
          <w:szCs w:val="24"/>
          <w:highlight w:val="none"/>
          <w:lang w:val="en-US" w:eastAsia="zh-CN"/>
        </w:rPr>
        <w:t>.5元/人份×</w:t>
      </w:r>
      <w:r>
        <w:rPr>
          <w:rFonts w:hint="eastAsia" w:ascii="宋体" w:hAnsi="宋体" w:cs="宋体"/>
          <w:b w:val="0"/>
          <w:bCs/>
          <w:color w:val="auto"/>
          <w:sz w:val="24"/>
          <w:szCs w:val="24"/>
          <w:highlight w:val="none"/>
          <w:lang w:val="en-US" w:eastAsia="zh-CN"/>
        </w:rPr>
        <w:t>92.00</w:t>
      </w: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11.500</w:t>
      </w:r>
      <w:r>
        <w:rPr>
          <w:rFonts w:hint="eastAsia" w:ascii="宋体" w:hAnsi="宋体" w:eastAsia="宋体" w:cs="宋体"/>
          <w:b w:val="0"/>
          <w:bCs/>
          <w:color w:val="auto"/>
          <w:sz w:val="24"/>
          <w:szCs w:val="24"/>
          <w:highlight w:val="none"/>
          <w:lang w:val="en-US" w:eastAsia="zh-CN"/>
        </w:rPr>
        <w:t>元/</w:t>
      </w:r>
      <w:r>
        <w:rPr>
          <w:rFonts w:hint="eastAsia" w:ascii="宋体" w:hAnsi="宋体" w:cs="宋体"/>
          <w:b w:val="0"/>
          <w:bCs/>
          <w:color w:val="auto"/>
          <w:sz w:val="24"/>
          <w:szCs w:val="24"/>
          <w:highlight w:val="none"/>
          <w:lang w:val="en-US" w:eastAsia="zh-CN"/>
        </w:rPr>
        <w:t>人份</w:t>
      </w:r>
      <w:r>
        <w:rPr>
          <w:rFonts w:hint="eastAsia" w:ascii="宋体" w:hAnsi="宋体" w:eastAsia="宋体" w:cs="宋体"/>
          <w:b w:val="0"/>
          <w:bCs/>
          <w:color w:val="auto"/>
          <w:sz w:val="24"/>
          <w:szCs w:val="24"/>
          <w:highlight w:val="none"/>
          <w:lang w:val="en-US" w:eastAsia="zh-CN"/>
        </w:rPr>
        <w:t>。</w:t>
      </w:r>
    </w:p>
    <w:p w14:paraId="764C2B1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cs="宋体"/>
          <w:b w:val="0"/>
          <w:bCs/>
          <w:color w:val="auto"/>
          <w:sz w:val="24"/>
          <w:szCs w:val="24"/>
          <w:highlight w:val="none"/>
          <w:lang w:val="en-US" w:eastAsia="zh-CN"/>
        </w:rPr>
        <w:t>成交供应商</w:t>
      </w:r>
      <w:r>
        <w:rPr>
          <w:rFonts w:hint="eastAsia" w:ascii="宋体" w:hAnsi="宋体" w:eastAsia="宋体" w:cs="宋体"/>
          <w:b w:val="0"/>
          <w:bCs/>
          <w:color w:val="auto"/>
          <w:sz w:val="24"/>
          <w:szCs w:val="24"/>
          <w:highlight w:val="none"/>
          <w:lang w:val="en-US" w:eastAsia="zh-CN"/>
        </w:rPr>
        <w:t>按采购人各包别实际需求分批配送、据实结算，但累计结算金额不超过本项目对应包别预算。供应商须综合考虑成交后可能出现的实际配送量与采购文件预估量之间的差距。采购人后期仅根据采购文件列明的方式据实结算，不再追加除此之外的其他费用</w:t>
      </w:r>
    </w:p>
    <w:p w14:paraId="74D0975A">
      <w:pPr>
        <w:widowControl/>
        <w:spacing w:line="240" w:lineRule="auto"/>
        <w:ind w:firstLine="0" w:firstLineChars="0"/>
        <w:jc w:val="left"/>
        <w:rPr>
          <w:rFonts w:ascii="Times New Roman" w:hAnsi="Times New Roman" w:cs="Times New Roman"/>
          <w:b/>
          <w:bCs/>
          <w:color w:val="000000" w:themeColor="text1"/>
          <w:kern w:val="2"/>
          <w:sz w:val="28"/>
          <w:szCs w:val="28"/>
          <w:highlight w:val="none"/>
          <w14:textFill>
            <w14:solidFill>
              <w14:schemeClr w14:val="tx1"/>
            </w14:solidFill>
          </w14:textFill>
        </w:rPr>
      </w:pPr>
      <w:r>
        <w:rPr>
          <w:rFonts w:ascii="Times New Roman" w:hAnsi="Times New Roman" w:cs="Times New Roman"/>
          <w:b/>
          <w:bCs/>
          <w:color w:val="000000" w:themeColor="text1"/>
          <w:kern w:val="2"/>
          <w:sz w:val="28"/>
          <w:szCs w:val="28"/>
          <w:highlight w:val="none"/>
          <w14:textFill>
            <w14:solidFill>
              <w14:schemeClr w14:val="tx1"/>
            </w14:solidFill>
          </w14:textFill>
        </w:rPr>
        <w:br w:type="page"/>
      </w:r>
    </w:p>
    <w:bookmarkEnd w:id="11"/>
    <w:p w14:paraId="63B9081F">
      <w:pPr>
        <w:spacing w:before="312" w:beforeLines="100"/>
        <w:ind w:firstLine="562"/>
        <w:jc w:val="center"/>
        <w:outlineLvl w:val="1"/>
        <w:rPr>
          <w:rFonts w:asciiTheme="minorEastAsia" w:hAnsiTheme="minorEastAsia" w:eastAsiaTheme="minorEastAsia"/>
          <w:b/>
          <w:color w:val="000000" w:themeColor="text1"/>
          <w:sz w:val="28"/>
          <w:highlight w:val="none"/>
          <w14:textFill>
            <w14:solidFill>
              <w14:schemeClr w14:val="tx1"/>
            </w14:solidFill>
          </w14:textFill>
        </w:rPr>
      </w:pPr>
      <w:bookmarkStart w:id="18" w:name="_Toc192058173"/>
      <w:r>
        <w:rPr>
          <w:rFonts w:hint="eastAsia" w:asciiTheme="minorEastAsia" w:hAnsiTheme="minorEastAsia" w:eastAsiaTheme="minorEastAsia"/>
          <w:b/>
          <w:color w:val="000000" w:themeColor="text1"/>
          <w:sz w:val="28"/>
          <w:highlight w:val="none"/>
          <w14:textFill>
            <w14:solidFill>
              <w14:schemeClr w14:val="tx1"/>
            </w14:solidFill>
          </w14:textFill>
        </w:rPr>
        <w:t>第四章  评审方法和标准</w:t>
      </w:r>
      <w:bookmarkEnd w:id="18"/>
    </w:p>
    <w:p w14:paraId="2457AF68">
      <w:pPr>
        <w:ind w:firstLine="482"/>
        <w:outlineLvl w:val="2"/>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一、总则</w:t>
      </w:r>
    </w:p>
    <w:p w14:paraId="44F73C2F">
      <w:pPr>
        <w:ind w:firstLine="48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本项目采用综合评分法评审，响应文件满足磋商文件全部实质性要求且按评审因素的量化指标评审得分最高的供应商为成交候选人的评审方法。</w:t>
      </w:r>
    </w:p>
    <w:p w14:paraId="67A70253">
      <w:pPr>
        <w:ind w:firstLine="482"/>
        <w:outlineLvl w:val="2"/>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二、评审方法</w:t>
      </w:r>
    </w:p>
    <w:p w14:paraId="30D8AE1D">
      <w:pPr>
        <w:ind w:firstLine="48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2.1初审</w:t>
      </w:r>
    </w:p>
    <w:p w14:paraId="19C6C50B">
      <w:pPr>
        <w:ind w:firstLine="48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评审委员会对供应商的响应文件进行初审，以确定其是否满足磋商文件的实质性要求。初审表如下：</w:t>
      </w:r>
    </w:p>
    <w:tbl>
      <w:tblPr>
        <w:tblStyle w:val="56"/>
        <w:tblW w:w="52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2319"/>
        <w:gridCol w:w="5704"/>
      </w:tblGrid>
      <w:tr w14:paraId="7CB3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13AAF39A">
            <w:pPr>
              <w:keepNext w:val="0"/>
              <w:keepLines w:val="0"/>
              <w:suppressLineNumbers w:val="0"/>
              <w:adjustRightInd w:val="0"/>
              <w:snapToGrid w:val="0"/>
              <w:spacing w:before="0" w:beforeAutospacing="0" w:after="0" w:afterAutospacing="0"/>
              <w:ind w:left="0" w:right="-10" w:firstLine="482"/>
              <w:jc w:val="center"/>
              <w:rPr>
                <w:rFonts w:hint="default" w:ascii="Calibri" w:hAnsi="Calibri" w:cs="Times New Roman"/>
                <w:b/>
                <w:color w:val="000000" w:themeColor="text1"/>
                <w:kern w:val="2"/>
                <w:szCs w:val="22"/>
                <w:highlight w:val="none"/>
                <w14:textFill>
                  <w14:solidFill>
                    <w14:schemeClr w14:val="tx1"/>
                  </w14:solidFill>
                </w14:textFill>
              </w:rPr>
            </w:pPr>
            <w:r>
              <w:rPr>
                <w:rFonts w:hint="eastAsia" w:ascii="Calibri" w:hAnsi="Calibri" w:cs="Times New Roman"/>
                <w:b/>
                <w:color w:val="000000" w:themeColor="text1"/>
                <w:kern w:val="2"/>
                <w:szCs w:val="22"/>
                <w:highlight w:val="none"/>
                <w14:textFill>
                  <w14:solidFill>
                    <w14:schemeClr w14:val="tx1"/>
                  </w14:solidFill>
                </w14:textFill>
              </w:rPr>
              <w:t>初审表</w:t>
            </w:r>
          </w:p>
        </w:tc>
      </w:tr>
      <w:tr w14:paraId="1C29B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81" w:type="pct"/>
            <w:tcBorders>
              <w:bottom w:val="single" w:color="auto" w:sz="4" w:space="0"/>
            </w:tcBorders>
            <w:vAlign w:val="center"/>
          </w:tcPr>
          <w:p w14:paraId="3D9C4CAA">
            <w:pPr>
              <w:keepNext w:val="0"/>
              <w:keepLines w:val="0"/>
              <w:suppressLineNumbers w:val="0"/>
              <w:adjustRightInd w:val="0"/>
              <w:snapToGrid w:val="0"/>
              <w:spacing w:before="0" w:beforeAutospacing="0" w:after="0" w:afterAutospacing="0"/>
              <w:ind w:left="0" w:right="0" w:firstLine="0" w:firstLineChars="0"/>
              <w:jc w:val="center"/>
              <w:rPr>
                <w:rFonts w:hint="default" w:ascii="Calibri" w:hAnsi="Calibri" w:cs="Times New Roman"/>
                <w:b/>
                <w:color w:val="000000" w:themeColor="text1"/>
                <w:kern w:val="2"/>
                <w:szCs w:val="22"/>
                <w:highlight w:val="none"/>
                <w14:textFill>
                  <w14:solidFill>
                    <w14:schemeClr w14:val="tx1"/>
                  </w14:solidFill>
                </w14:textFill>
              </w:rPr>
            </w:pPr>
            <w:r>
              <w:rPr>
                <w:rFonts w:hint="eastAsia" w:ascii="Calibri" w:hAnsi="Calibri" w:cs="Times New Roman"/>
                <w:b/>
                <w:color w:val="000000" w:themeColor="text1"/>
                <w:kern w:val="2"/>
                <w:szCs w:val="22"/>
                <w:highlight w:val="none"/>
                <w14:textFill>
                  <w14:solidFill>
                    <w14:schemeClr w14:val="tx1"/>
                  </w14:solidFill>
                </w14:textFill>
              </w:rPr>
              <w:t>序号</w:t>
            </w:r>
          </w:p>
        </w:tc>
        <w:tc>
          <w:tcPr>
            <w:tcW w:w="1306" w:type="pct"/>
            <w:tcBorders>
              <w:bottom w:val="single" w:color="auto" w:sz="4" w:space="0"/>
            </w:tcBorders>
            <w:vAlign w:val="center"/>
          </w:tcPr>
          <w:p w14:paraId="194DFD0D">
            <w:pPr>
              <w:keepNext w:val="0"/>
              <w:keepLines w:val="0"/>
              <w:suppressLineNumbers w:val="0"/>
              <w:adjustRightInd w:val="0"/>
              <w:snapToGrid w:val="0"/>
              <w:spacing w:before="0" w:beforeAutospacing="0" w:after="0" w:afterAutospacing="0"/>
              <w:ind w:left="0" w:right="0" w:firstLine="0" w:firstLineChars="0"/>
              <w:jc w:val="center"/>
              <w:rPr>
                <w:rFonts w:hint="default" w:ascii="Calibri" w:hAnsi="Calibri" w:cs="Times New Roman"/>
                <w:b/>
                <w:color w:val="000000" w:themeColor="text1"/>
                <w:kern w:val="2"/>
                <w:szCs w:val="24"/>
                <w:highlight w:val="none"/>
                <w14:textFill>
                  <w14:solidFill>
                    <w14:schemeClr w14:val="tx1"/>
                  </w14:solidFill>
                </w14:textFill>
              </w:rPr>
            </w:pPr>
            <w:r>
              <w:rPr>
                <w:rFonts w:hint="eastAsia" w:ascii="Calibri" w:hAnsi="Calibri" w:cs="Times New Roman"/>
                <w:b/>
                <w:color w:val="000000" w:themeColor="text1"/>
                <w:kern w:val="2"/>
                <w:szCs w:val="24"/>
                <w:highlight w:val="none"/>
                <w14:textFill>
                  <w14:solidFill>
                    <w14:schemeClr w14:val="tx1"/>
                  </w14:solidFill>
                </w14:textFill>
              </w:rPr>
              <w:t>评审指标</w:t>
            </w:r>
          </w:p>
        </w:tc>
        <w:tc>
          <w:tcPr>
            <w:tcW w:w="3212" w:type="pct"/>
            <w:tcBorders>
              <w:bottom w:val="single" w:color="auto" w:sz="4" w:space="0"/>
            </w:tcBorders>
            <w:vAlign w:val="center"/>
          </w:tcPr>
          <w:p w14:paraId="57C94033">
            <w:pPr>
              <w:keepNext w:val="0"/>
              <w:keepLines w:val="0"/>
              <w:suppressLineNumbers w:val="0"/>
              <w:adjustRightInd w:val="0"/>
              <w:snapToGrid w:val="0"/>
              <w:spacing w:before="0" w:beforeAutospacing="0" w:after="0" w:afterAutospacing="0"/>
              <w:ind w:left="0" w:right="0" w:firstLine="0" w:firstLineChars="0"/>
              <w:jc w:val="center"/>
              <w:rPr>
                <w:rFonts w:hint="default" w:ascii="Calibri" w:hAnsi="Calibri" w:cs="Times New Roman"/>
                <w:b/>
                <w:color w:val="000000" w:themeColor="text1"/>
                <w:kern w:val="2"/>
                <w:szCs w:val="22"/>
                <w:highlight w:val="none"/>
                <w14:textFill>
                  <w14:solidFill>
                    <w14:schemeClr w14:val="tx1"/>
                  </w14:solidFill>
                </w14:textFill>
              </w:rPr>
            </w:pPr>
            <w:r>
              <w:rPr>
                <w:rFonts w:hint="eastAsia" w:ascii="Calibri" w:hAnsi="Calibri" w:cs="Times New Roman"/>
                <w:b/>
                <w:color w:val="000000" w:themeColor="text1"/>
                <w:kern w:val="2"/>
                <w:szCs w:val="22"/>
                <w:highlight w:val="none"/>
                <w14:textFill>
                  <w14:solidFill>
                    <w14:schemeClr w14:val="tx1"/>
                  </w14:solidFill>
                </w14:textFill>
              </w:rPr>
              <w:t>合格条件</w:t>
            </w:r>
          </w:p>
        </w:tc>
      </w:tr>
      <w:tr w14:paraId="7767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tcBorders>
              <w:bottom w:val="single" w:color="auto" w:sz="4" w:space="0"/>
            </w:tcBorders>
            <w:vAlign w:val="center"/>
          </w:tcPr>
          <w:p w14:paraId="40E3C9DC">
            <w:pPr>
              <w:keepNext w:val="0"/>
              <w:keepLines w:val="0"/>
              <w:suppressLineNumbers w:val="0"/>
              <w:adjustRightInd w:val="0"/>
              <w:snapToGrid w:val="0"/>
              <w:spacing w:before="0" w:beforeAutospacing="0" w:after="0" w:afterAutospacing="0"/>
              <w:ind w:left="0" w:right="0" w:firstLine="0" w:firstLineChars="0"/>
              <w:jc w:val="center"/>
              <w:rPr>
                <w:rFonts w:hint="default" w:ascii="Calibri" w:hAnsi="Calibri" w:cs="Times New Roman"/>
                <w:color w:val="000000" w:themeColor="text1"/>
                <w:kern w:val="2"/>
                <w:szCs w:val="22"/>
                <w:highlight w:val="none"/>
                <w14:textFill>
                  <w14:solidFill>
                    <w14:schemeClr w14:val="tx1"/>
                  </w14:solidFill>
                </w14:textFill>
              </w:rPr>
            </w:pPr>
            <w:r>
              <w:rPr>
                <w:rFonts w:hint="eastAsia" w:cs="Times New Roman"/>
                <w:color w:val="000000" w:themeColor="text1"/>
                <w:kern w:val="2"/>
                <w:szCs w:val="20"/>
                <w:highlight w:val="none"/>
                <w14:textFill>
                  <w14:solidFill>
                    <w14:schemeClr w14:val="tx1"/>
                  </w14:solidFill>
                </w14:textFill>
              </w:rPr>
              <w:t>1</w:t>
            </w:r>
          </w:p>
        </w:tc>
        <w:tc>
          <w:tcPr>
            <w:tcW w:w="1306" w:type="pct"/>
            <w:tcBorders>
              <w:bottom w:val="single" w:color="auto" w:sz="4" w:space="0"/>
            </w:tcBorders>
            <w:vAlign w:val="center"/>
          </w:tcPr>
          <w:p w14:paraId="7EC27604">
            <w:pPr>
              <w:keepNext w:val="0"/>
              <w:keepLines w:val="0"/>
              <w:suppressLineNumbers w:val="0"/>
              <w:adjustRightInd w:val="0"/>
              <w:snapToGrid w:val="0"/>
              <w:spacing w:before="0" w:beforeAutospacing="0" w:after="0" w:afterAutospacing="0"/>
              <w:ind w:left="0" w:right="0" w:firstLine="0" w:firstLineChars="0"/>
              <w:jc w:val="left"/>
              <w:rPr>
                <w:rFonts w:hint="default" w:cs="Times New Roman"/>
                <w:color w:val="000000" w:themeColor="text1"/>
                <w:kern w:val="2"/>
                <w:szCs w:val="20"/>
                <w:highlight w:val="none"/>
                <w14:textFill>
                  <w14:solidFill>
                    <w14:schemeClr w14:val="tx1"/>
                  </w14:solidFill>
                </w14:textFill>
              </w:rPr>
            </w:pPr>
            <w:r>
              <w:rPr>
                <w:rFonts w:hint="eastAsia" w:cs="Times New Roman"/>
                <w:color w:val="000000" w:themeColor="text1"/>
                <w:kern w:val="2"/>
                <w:szCs w:val="20"/>
                <w:highlight w:val="none"/>
                <w14:textFill>
                  <w14:solidFill>
                    <w14:schemeClr w14:val="tx1"/>
                  </w14:solidFill>
                </w14:textFill>
              </w:rPr>
              <w:t>营业执照</w:t>
            </w:r>
          </w:p>
        </w:tc>
        <w:tc>
          <w:tcPr>
            <w:tcW w:w="3212" w:type="pct"/>
            <w:tcBorders>
              <w:bottom w:val="single" w:color="auto" w:sz="4" w:space="0"/>
            </w:tcBorders>
            <w:vAlign w:val="center"/>
          </w:tcPr>
          <w:p w14:paraId="02849507">
            <w:pPr>
              <w:keepNext w:val="0"/>
              <w:keepLines w:val="0"/>
              <w:suppressLineNumbers w:val="0"/>
              <w:adjustRightInd w:val="0"/>
              <w:snapToGrid w:val="0"/>
              <w:spacing w:before="0" w:beforeAutospacing="0" w:after="0" w:afterAutospacing="0"/>
              <w:ind w:left="0" w:right="0" w:firstLine="0" w:firstLineChars="0"/>
              <w:rPr>
                <w:rFonts w:hint="default" w:ascii="Calibri" w:hAnsi="Calibri" w:cs="Times New Roman"/>
                <w:color w:val="000000" w:themeColor="text1"/>
                <w:kern w:val="2"/>
                <w:szCs w:val="22"/>
                <w:highlight w:val="none"/>
                <w14:textFill>
                  <w14:solidFill>
                    <w14:schemeClr w14:val="tx1"/>
                  </w14:solidFill>
                </w14:textFill>
              </w:rPr>
            </w:pPr>
            <w:r>
              <w:rPr>
                <w:rFonts w:hint="eastAsia" w:cs="Times New Roman"/>
                <w:color w:val="000000" w:themeColor="text1"/>
                <w:kern w:val="2"/>
                <w:szCs w:val="22"/>
                <w:highlight w:val="none"/>
                <w14:textFill>
                  <w14:solidFill>
                    <w14:schemeClr w14:val="tx1"/>
                  </w14:solidFill>
                </w14:textFill>
              </w:rPr>
              <w:t>提供有效的营业执照扫描件，应完整地体现出营业执照的全部内容。联合体磋商的联合体各方均须提供。</w:t>
            </w:r>
          </w:p>
        </w:tc>
      </w:tr>
      <w:tr w14:paraId="3B80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81" w:type="pct"/>
            <w:vAlign w:val="center"/>
          </w:tcPr>
          <w:p w14:paraId="5BBF6349">
            <w:pPr>
              <w:keepNext w:val="0"/>
              <w:keepLines w:val="0"/>
              <w:suppressLineNumbers w:val="0"/>
              <w:adjustRightInd w:val="0"/>
              <w:snapToGrid w:val="0"/>
              <w:spacing w:before="0" w:beforeAutospacing="0" w:after="0" w:afterAutospacing="0"/>
              <w:ind w:left="0" w:right="0" w:firstLine="0" w:firstLineChars="0"/>
              <w:jc w:val="center"/>
              <w:rPr>
                <w:rFonts w:hint="eastAsia" w:eastAsia="宋体" w:cs="Times New Roman"/>
                <w:color w:val="000000" w:themeColor="text1"/>
                <w:kern w:val="2"/>
                <w:szCs w:val="20"/>
                <w:highlight w:val="none"/>
                <w:lang w:eastAsia="zh-CN"/>
                <w14:textFill>
                  <w14:solidFill>
                    <w14:schemeClr w14:val="tx1"/>
                  </w14:solidFill>
                </w14:textFill>
              </w:rPr>
            </w:pPr>
            <w:r>
              <w:rPr>
                <w:rFonts w:hint="eastAsia" w:cs="Times New Roman"/>
                <w:color w:val="000000" w:themeColor="text1"/>
                <w:kern w:val="2"/>
                <w:szCs w:val="20"/>
                <w:highlight w:val="none"/>
                <w:lang w:val="en-US" w:eastAsia="zh-CN"/>
                <w14:textFill>
                  <w14:solidFill>
                    <w14:schemeClr w14:val="tx1"/>
                  </w14:solidFill>
                </w14:textFill>
              </w:rPr>
              <w:t>2</w:t>
            </w:r>
          </w:p>
        </w:tc>
        <w:tc>
          <w:tcPr>
            <w:tcW w:w="1306" w:type="pct"/>
            <w:shd w:val="clear" w:color="auto" w:fill="auto"/>
            <w:vAlign w:val="center"/>
          </w:tcPr>
          <w:p w14:paraId="099DFA8F">
            <w:pPr>
              <w:keepNext w:val="0"/>
              <w:keepLines w:val="0"/>
              <w:suppressLineNumbers w:val="0"/>
              <w:adjustRightInd w:val="0"/>
              <w:snapToGrid w:val="0"/>
              <w:spacing w:before="0" w:beforeAutospacing="0" w:after="0" w:afterAutospacing="0"/>
              <w:ind w:left="0" w:right="0" w:firstLine="0" w:firstLineChars="0"/>
              <w:jc w:val="left"/>
              <w:rPr>
                <w:rFonts w:hint="default" w:ascii="宋体" w:hAnsi="宋体" w:eastAsia="宋体" w:cs="Times New Roman"/>
                <w:color w:val="000000" w:themeColor="text1"/>
                <w:kern w:val="2"/>
                <w:sz w:val="24"/>
                <w:szCs w:val="20"/>
                <w:highlight w:val="none"/>
                <w:lang w:val="en-US" w:eastAsia="zh-CN" w:bidi="ar-SA"/>
                <w14:textFill>
                  <w14:solidFill>
                    <w14:schemeClr w14:val="tx1"/>
                  </w14:solidFill>
                </w14:textFill>
              </w:rPr>
            </w:pPr>
            <w:r>
              <w:rPr>
                <w:rFonts w:hint="eastAsia" w:cs="Times New Roman"/>
                <w:color w:val="000000" w:themeColor="text1"/>
                <w:kern w:val="2"/>
                <w:szCs w:val="20"/>
                <w:highlight w:val="none"/>
                <w14:textFill>
                  <w14:solidFill>
                    <w14:schemeClr w14:val="tx1"/>
                  </w14:solidFill>
                </w14:textFill>
              </w:rPr>
              <w:t>磋商响应函</w:t>
            </w:r>
          </w:p>
        </w:tc>
        <w:tc>
          <w:tcPr>
            <w:tcW w:w="3212" w:type="pct"/>
            <w:shd w:val="clear" w:color="auto" w:fill="auto"/>
            <w:vAlign w:val="center"/>
          </w:tcPr>
          <w:p w14:paraId="61BACCC1">
            <w:pPr>
              <w:keepNext w:val="0"/>
              <w:keepLines w:val="0"/>
              <w:suppressLineNumbers w:val="0"/>
              <w:adjustRightInd w:val="0"/>
              <w:snapToGrid w:val="0"/>
              <w:spacing w:before="0" w:beforeAutospacing="0" w:after="0" w:afterAutospacing="0"/>
              <w:ind w:left="0" w:right="0" w:firstLine="0" w:firstLineChars="0"/>
              <w:rPr>
                <w:rFonts w:hint="default" w:ascii="Calibri" w:hAnsi="Calibri"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cs="Times New Roman"/>
                <w:color w:val="000000" w:themeColor="text1"/>
                <w:kern w:val="2"/>
                <w:szCs w:val="22"/>
                <w:highlight w:val="none"/>
                <w14:textFill>
                  <w14:solidFill>
                    <w14:schemeClr w14:val="tx1"/>
                  </w14:solidFill>
                </w14:textFill>
              </w:rPr>
              <w:t>符合磋商文件要求。</w:t>
            </w:r>
          </w:p>
        </w:tc>
      </w:tr>
      <w:tr w14:paraId="432A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81" w:type="pct"/>
            <w:vAlign w:val="center"/>
          </w:tcPr>
          <w:p w14:paraId="47400C7F">
            <w:pPr>
              <w:keepNext w:val="0"/>
              <w:keepLines w:val="0"/>
              <w:suppressLineNumbers w:val="0"/>
              <w:adjustRightInd w:val="0"/>
              <w:snapToGrid w:val="0"/>
              <w:spacing w:before="0" w:beforeAutospacing="0" w:after="0" w:afterAutospacing="0"/>
              <w:ind w:left="0" w:right="0" w:firstLine="0" w:firstLineChars="0"/>
              <w:jc w:val="center"/>
              <w:rPr>
                <w:rFonts w:hint="default" w:cs="Times New Roman"/>
                <w:color w:val="000000" w:themeColor="text1"/>
                <w:kern w:val="2"/>
                <w:szCs w:val="20"/>
                <w:highlight w:val="none"/>
                <w:lang w:val="en-US" w:eastAsia="zh-CN"/>
                <w14:textFill>
                  <w14:solidFill>
                    <w14:schemeClr w14:val="tx1"/>
                  </w14:solidFill>
                </w14:textFill>
              </w:rPr>
            </w:pPr>
            <w:r>
              <w:rPr>
                <w:rFonts w:hint="eastAsia" w:cs="Times New Roman"/>
                <w:color w:val="000000" w:themeColor="text1"/>
                <w:kern w:val="2"/>
                <w:szCs w:val="20"/>
                <w:highlight w:val="none"/>
                <w:lang w:val="en-US" w:eastAsia="zh-CN"/>
                <w14:textFill>
                  <w14:solidFill>
                    <w14:schemeClr w14:val="tx1"/>
                  </w14:solidFill>
                </w14:textFill>
              </w:rPr>
              <w:t>3</w:t>
            </w:r>
          </w:p>
        </w:tc>
        <w:tc>
          <w:tcPr>
            <w:tcW w:w="1306" w:type="pct"/>
            <w:shd w:val="clear" w:color="auto" w:fill="auto"/>
            <w:vAlign w:val="center"/>
          </w:tcPr>
          <w:p w14:paraId="29860429">
            <w:pPr>
              <w:keepNext w:val="0"/>
              <w:keepLines w:val="0"/>
              <w:suppressLineNumbers w:val="0"/>
              <w:adjustRightInd w:val="0"/>
              <w:snapToGrid w:val="0"/>
              <w:spacing w:before="0" w:beforeAutospacing="0" w:after="0" w:afterAutospacing="0"/>
              <w:ind w:left="0" w:right="0" w:firstLine="0" w:firstLineChars="0"/>
              <w:jc w:val="left"/>
              <w:rPr>
                <w:rFonts w:hint="eastAsia" w:ascii="宋体" w:hAnsi="宋体" w:eastAsia="宋体" w:cs="Times New Roman"/>
                <w:color w:val="000000" w:themeColor="text1"/>
                <w:kern w:val="2"/>
                <w:szCs w:val="20"/>
                <w:highlight w:val="none"/>
                <w14:textFill>
                  <w14:solidFill>
                    <w14:schemeClr w14:val="tx1"/>
                  </w14:solidFill>
                </w14:textFill>
              </w:rPr>
            </w:pPr>
            <w:r>
              <w:rPr>
                <w:rFonts w:hint="eastAsia" w:ascii="宋体" w:hAnsi="宋体" w:eastAsia="宋体" w:cs="Times New Roman"/>
                <w:color w:val="000000" w:themeColor="text1"/>
                <w:kern w:val="2"/>
                <w:szCs w:val="20"/>
                <w:highlight w:val="none"/>
                <w:lang w:val="en-US" w:eastAsia="zh-CN"/>
                <w14:textFill>
                  <w14:solidFill>
                    <w14:schemeClr w14:val="tx1"/>
                  </w14:solidFill>
                </w14:textFill>
              </w:rPr>
              <w:t>供应商资格</w:t>
            </w:r>
          </w:p>
        </w:tc>
        <w:tc>
          <w:tcPr>
            <w:tcW w:w="3212" w:type="pct"/>
            <w:shd w:val="clear" w:color="auto" w:fill="auto"/>
            <w:vAlign w:val="center"/>
          </w:tcPr>
          <w:p w14:paraId="19065E42">
            <w:pPr>
              <w:keepNext w:val="0"/>
              <w:keepLines w:val="0"/>
              <w:suppressLineNumbers w:val="0"/>
              <w:adjustRightInd w:val="0"/>
              <w:snapToGrid w:val="0"/>
              <w:spacing w:before="0" w:beforeAutospacing="0" w:after="0" w:afterAutospacing="0"/>
              <w:ind w:left="0" w:right="0" w:firstLine="0" w:firstLineChars="0"/>
              <w:jc w:val="left"/>
              <w:rPr>
                <w:rFonts w:hint="eastAsia" w:ascii="宋体" w:hAnsi="宋体" w:eastAsia="宋体" w:cs="Times New Roman"/>
                <w:color w:val="000000" w:themeColor="text1"/>
                <w:kern w:val="2"/>
                <w:szCs w:val="20"/>
                <w:highlight w:val="none"/>
                <w:lang w:eastAsia="zh-CN"/>
                <w14:textFill>
                  <w14:solidFill>
                    <w14:schemeClr w14:val="tx1"/>
                  </w14:solidFill>
                </w14:textFill>
              </w:rPr>
            </w:pPr>
            <w:r>
              <w:rPr>
                <w:rFonts w:hint="eastAsia" w:cs="Times New Roman"/>
                <w:color w:val="000000" w:themeColor="text1"/>
                <w:kern w:val="2"/>
                <w:szCs w:val="22"/>
                <w:highlight w:val="none"/>
                <w14:textFill>
                  <w14:solidFill>
                    <w14:schemeClr w14:val="tx1"/>
                  </w14:solidFill>
                </w14:textFill>
              </w:rPr>
              <w:t>符合磋商文件要求</w:t>
            </w:r>
            <w:r>
              <w:rPr>
                <w:rFonts w:hint="eastAsia" w:cs="Times New Roman"/>
                <w:color w:val="000000" w:themeColor="text1"/>
                <w:kern w:val="2"/>
                <w:szCs w:val="22"/>
                <w:highlight w:val="none"/>
                <w:lang w:eastAsia="zh-CN"/>
                <w14:textFill>
                  <w14:solidFill>
                    <w14:schemeClr w14:val="tx1"/>
                  </w14:solidFill>
                </w14:textFill>
              </w:rPr>
              <w:t>。</w:t>
            </w:r>
          </w:p>
        </w:tc>
      </w:tr>
      <w:tr w14:paraId="3F19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81" w:type="pct"/>
            <w:vAlign w:val="center"/>
          </w:tcPr>
          <w:p w14:paraId="2971A3E6">
            <w:pPr>
              <w:keepNext w:val="0"/>
              <w:keepLines w:val="0"/>
              <w:suppressLineNumbers w:val="0"/>
              <w:adjustRightInd w:val="0"/>
              <w:snapToGrid w:val="0"/>
              <w:spacing w:before="0" w:beforeAutospacing="0" w:after="0" w:afterAutospacing="0"/>
              <w:ind w:left="0" w:right="0" w:firstLine="0" w:firstLineChars="0"/>
              <w:jc w:val="center"/>
              <w:rPr>
                <w:rFonts w:hint="default" w:cs="Times New Roman"/>
                <w:color w:val="000000" w:themeColor="text1"/>
                <w:kern w:val="2"/>
                <w:szCs w:val="20"/>
                <w:highlight w:val="none"/>
                <w:lang w:val="en-US" w:eastAsia="zh-CN"/>
                <w14:textFill>
                  <w14:solidFill>
                    <w14:schemeClr w14:val="tx1"/>
                  </w14:solidFill>
                </w14:textFill>
              </w:rPr>
            </w:pPr>
            <w:r>
              <w:rPr>
                <w:rFonts w:hint="eastAsia" w:cs="Times New Roman"/>
                <w:color w:val="000000" w:themeColor="text1"/>
                <w:kern w:val="2"/>
                <w:szCs w:val="20"/>
                <w:highlight w:val="none"/>
                <w:lang w:val="en-US" w:eastAsia="zh-CN"/>
                <w14:textFill>
                  <w14:solidFill>
                    <w14:schemeClr w14:val="tx1"/>
                  </w14:solidFill>
                </w14:textFill>
              </w:rPr>
              <w:t>4</w:t>
            </w:r>
          </w:p>
        </w:tc>
        <w:tc>
          <w:tcPr>
            <w:tcW w:w="1306" w:type="pct"/>
            <w:shd w:val="clear" w:color="auto" w:fill="auto"/>
            <w:vAlign w:val="center"/>
          </w:tcPr>
          <w:p w14:paraId="5694AE20">
            <w:pPr>
              <w:keepNext w:val="0"/>
              <w:keepLines w:val="0"/>
              <w:suppressLineNumbers w:val="0"/>
              <w:spacing w:before="0" w:beforeAutospacing="0" w:after="50" w:afterAutospacing="0" w:line="360" w:lineRule="auto"/>
              <w:ind w:left="0" w:leftChars="0" w:right="-10" w:rightChars="0" w:firstLine="0" w:firstLineChars="0"/>
              <w:jc w:val="both"/>
              <w:rPr>
                <w:rFonts w:hint="eastAsia" w:ascii="宋体" w:hAnsi="宋体" w:eastAsia="宋体" w:cs="Times New Roman"/>
                <w:color w:val="000000" w:themeColor="text1"/>
                <w:kern w:val="2"/>
                <w:szCs w:val="20"/>
                <w:highlight w:val="none"/>
                <w:lang w:val="en-US" w:eastAsia="zh-CN"/>
                <w14:textFill>
                  <w14:solidFill>
                    <w14:schemeClr w14:val="tx1"/>
                  </w14:solidFill>
                </w14:textFill>
              </w:rPr>
            </w:pPr>
            <w:r>
              <w:rPr>
                <w:rFonts w:hint="eastAsia" w:asciiTheme="minorEastAsia" w:hAnsiTheme="minorEastAsia" w:eastAsiaTheme="minorEastAsia"/>
                <w:sz w:val="24"/>
                <w:szCs w:val="28"/>
              </w:rPr>
              <w:t>配送产品表</w:t>
            </w:r>
          </w:p>
        </w:tc>
        <w:tc>
          <w:tcPr>
            <w:tcW w:w="3212" w:type="pct"/>
            <w:shd w:val="clear" w:color="auto" w:fill="auto"/>
            <w:vAlign w:val="center"/>
          </w:tcPr>
          <w:p w14:paraId="473C646B">
            <w:pPr>
              <w:keepNext w:val="0"/>
              <w:keepLines w:val="0"/>
              <w:suppressLineNumbers w:val="0"/>
              <w:spacing w:before="0" w:beforeAutospacing="0" w:after="50" w:afterAutospacing="0" w:line="360" w:lineRule="auto"/>
              <w:ind w:left="0" w:leftChars="0" w:right="-10" w:rightChars="0" w:firstLine="0" w:firstLineChars="0"/>
              <w:jc w:val="both"/>
              <w:rPr>
                <w:rFonts w:hint="eastAsia" w:cs="Times New Roman"/>
                <w:color w:val="000000" w:themeColor="text1"/>
                <w:kern w:val="2"/>
                <w:szCs w:val="22"/>
                <w:highlight w:val="none"/>
                <w14:textFill>
                  <w14:solidFill>
                    <w14:schemeClr w14:val="tx1"/>
                  </w14:solidFill>
                </w14:textFill>
              </w:rPr>
            </w:pPr>
            <w:r>
              <w:rPr>
                <w:rFonts w:hint="eastAsia" w:asciiTheme="minorEastAsia" w:hAnsiTheme="minorEastAsia" w:eastAsiaTheme="minorEastAsia"/>
                <w:sz w:val="24"/>
                <w:szCs w:val="28"/>
              </w:rPr>
              <w:t>符合</w:t>
            </w:r>
            <w:r>
              <w:rPr>
                <w:rFonts w:hint="eastAsia" w:cs="Times New Roman"/>
                <w:color w:val="000000" w:themeColor="text1"/>
                <w:kern w:val="2"/>
                <w:szCs w:val="22"/>
                <w:highlight w:val="none"/>
                <w14:textFill>
                  <w14:solidFill>
                    <w14:schemeClr w14:val="tx1"/>
                  </w14:solidFill>
                </w14:textFill>
              </w:rPr>
              <w:t>磋商文件</w:t>
            </w:r>
            <w:r>
              <w:rPr>
                <w:rFonts w:hint="eastAsia" w:asciiTheme="minorEastAsia" w:hAnsiTheme="minorEastAsia" w:eastAsiaTheme="minorEastAsia"/>
                <w:sz w:val="24"/>
                <w:szCs w:val="28"/>
              </w:rPr>
              <w:t>要求</w:t>
            </w:r>
          </w:p>
        </w:tc>
      </w:tr>
      <w:tr w14:paraId="7B0B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Align w:val="center"/>
          </w:tcPr>
          <w:p w14:paraId="3172C312">
            <w:pPr>
              <w:keepNext w:val="0"/>
              <w:keepLines w:val="0"/>
              <w:suppressLineNumbers w:val="0"/>
              <w:adjustRightInd w:val="0"/>
              <w:snapToGrid w:val="0"/>
              <w:spacing w:before="0" w:beforeAutospacing="0" w:after="0" w:afterAutospacing="0"/>
              <w:ind w:left="0" w:right="0" w:firstLine="0" w:firstLineChars="0"/>
              <w:jc w:val="center"/>
              <w:rPr>
                <w:rFonts w:hint="eastAsia" w:eastAsia="宋体" w:cs="Times New Roman"/>
                <w:color w:val="000000" w:themeColor="text1"/>
                <w:kern w:val="2"/>
                <w:szCs w:val="20"/>
                <w:highlight w:val="none"/>
                <w:lang w:eastAsia="zh-CN"/>
                <w14:textFill>
                  <w14:solidFill>
                    <w14:schemeClr w14:val="tx1"/>
                  </w14:solidFill>
                </w14:textFill>
              </w:rPr>
            </w:pPr>
            <w:r>
              <w:rPr>
                <w:rFonts w:hint="eastAsia" w:cs="Times New Roman"/>
                <w:color w:val="000000" w:themeColor="text1"/>
                <w:kern w:val="2"/>
                <w:szCs w:val="20"/>
                <w:highlight w:val="none"/>
                <w:lang w:val="en-US" w:eastAsia="zh-CN"/>
                <w14:textFill>
                  <w14:solidFill>
                    <w14:schemeClr w14:val="tx1"/>
                  </w14:solidFill>
                </w14:textFill>
              </w:rPr>
              <w:t>5</w:t>
            </w:r>
          </w:p>
        </w:tc>
        <w:tc>
          <w:tcPr>
            <w:tcW w:w="1306" w:type="pct"/>
            <w:shd w:val="clear" w:color="auto" w:fill="auto"/>
            <w:vAlign w:val="center"/>
          </w:tcPr>
          <w:p w14:paraId="42D8B92C">
            <w:pPr>
              <w:keepNext w:val="0"/>
              <w:keepLines w:val="0"/>
              <w:suppressLineNumbers w:val="0"/>
              <w:adjustRightInd w:val="0"/>
              <w:snapToGrid w:val="0"/>
              <w:spacing w:before="0" w:beforeAutospacing="0" w:after="0" w:afterAutospacing="0"/>
              <w:ind w:left="0" w:right="0" w:firstLine="0" w:firstLineChars="0"/>
              <w:jc w:val="left"/>
              <w:rPr>
                <w:rFonts w:hint="default" w:ascii="宋体" w:hAnsi="宋体" w:eastAsia="宋体" w:cs="Times New Roman"/>
                <w:color w:val="000000" w:themeColor="text1"/>
                <w:kern w:val="2"/>
                <w:sz w:val="24"/>
                <w:szCs w:val="20"/>
                <w:highlight w:val="none"/>
                <w:lang w:val="en-US" w:eastAsia="zh-CN" w:bidi="ar-SA"/>
                <w14:textFill>
                  <w14:solidFill>
                    <w14:schemeClr w14:val="tx1"/>
                  </w14:solidFill>
                </w14:textFill>
              </w:rPr>
            </w:pPr>
            <w:r>
              <w:rPr>
                <w:rFonts w:hint="eastAsia" w:cs="Times New Roman"/>
                <w:color w:val="000000" w:themeColor="text1"/>
                <w:kern w:val="2"/>
                <w:szCs w:val="20"/>
                <w:highlight w:val="none"/>
                <w14:textFill>
                  <w14:solidFill>
                    <w14:schemeClr w14:val="tx1"/>
                  </w14:solidFill>
                </w14:textFill>
              </w:rPr>
              <w:t>电子交易服务费用</w:t>
            </w:r>
          </w:p>
        </w:tc>
        <w:tc>
          <w:tcPr>
            <w:tcW w:w="3212" w:type="pct"/>
            <w:shd w:val="clear" w:color="auto" w:fill="auto"/>
            <w:vAlign w:val="center"/>
          </w:tcPr>
          <w:p w14:paraId="708599BB">
            <w:pPr>
              <w:keepNext w:val="0"/>
              <w:keepLines w:val="0"/>
              <w:suppressLineNumbers w:val="0"/>
              <w:spacing w:before="0" w:beforeAutospacing="0" w:after="0" w:afterAutospacing="0"/>
              <w:ind w:left="0" w:right="0" w:firstLine="0" w:firstLineChars="0"/>
              <w:jc w:val="left"/>
              <w:rPr>
                <w:rFonts w:hint="default"/>
                <w:color w:val="000000" w:themeColor="text1"/>
                <w:szCs w:val="20"/>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符合磋商文件要求。</w:t>
            </w:r>
          </w:p>
          <w:p w14:paraId="66F17029">
            <w:pPr>
              <w:keepNext w:val="0"/>
              <w:keepLines w:val="0"/>
              <w:suppressLineNumbers w:val="0"/>
              <w:spacing w:before="0" w:beforeAutospacing="0" w:after="0" w:afterAutospacing="0"/>
              <w:ind w:left="0" w:right="0" w:firstLine="0" w:firstLineChars="0"/>
              <w:jc w:val="left"/>
              <w:rPr>
                <w:rFonts w:hint="default" w:ascii="Calibri" w:hAnsi="Calibri"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b/>
                <w:bCs/>
                <w:color w:val="000000" w:themeColor="text1"/>
                <w:szCs w:val="20"/>
                <w:highlight w:val="none"/>
                <w14:textFill>
                  <w14:solidFill>
                    <w14:schemeClr w14:val="tx1"/>
                  </w14:solidFill>
                </w14:textFill>
              </w:rPr>
              <w:t>备注</w:t>
            </w:r>
            <w:r>
              <w:rPr>
                <w:rFonts w:hint="default"/>
                <w:b/>
                <w:bCs/>
                <w:color w:val="000000" w:themeColor="text1"/>
                <w:szCs w:val="20"/>
                <w:highlight w:val="none"/>
                <w14:textFill>
                  <w14:solidFill>
                    <w14:schemeClr w14:val="tx1"/>
                  </w14:solidFill>
                </w14:textFill>
              </w:rPr>
              <w:t>：</w:t>
            </w:r>
            <w:r>
              <w:rPr>
                <w:rFonts w:hint="eastAsia"/>
                <w:b/>
                <w:color w:val="000000" w:themeColor="text1"/>
                <w:szCs w:val="18"/>
                <w:highlight w:val="none"/>
                <w14:textFill>
                  <w14:solidFill>
                    <w14:schemeClr w14:val="tx1"/>
                  </w14:solidFill>
                </w14:textFill>
              </w:rPr>
              <w:t>供应商</w:t>
            </w:r>
            <w:r>
              <w:rPr>
                <w:rFonts w:hint="eastAsia" w:cs="宋体"/>
                <w:b/>
                <w:bCs/>
                <w:color w:val="000000" w:themeColor="text1"/>
                <w:szCs w:val="24"/>
                <w:highlight w:val="none"/>
                <w14:textFill>
                  <w14:solidFill>
                    <w14:schemeClr w14:val="tx1"/>
                  </w14:solidFill>
                </w14:textFill>
              </w:rPr>
              <w:t>须知前附表及</w:t>
            </w:r>
            <w:r>
              <w:rPr>
                <w:rFonts w:hint="eastAsia"/>
                <w:b/>
                <w:color w:val="000000" w:themeColor="text1"/>
                <w:szCs w:val="18"/>
                <w:highlight w:val="none"/>
                <w14:textFill>
                  <w14:solidFill>
                    <w14:schemeClr w14:val="tx1"/>
                  </w14:solidFill>
                </w14:textFill>
              </w:rPr>
              <w:t>供应商</w:t>
            </w:r>
            <w:r>
              <w:rPr>
                <w:rFonts w:hint="eastAsia" w:cs="宋体"/>
                <w:b/>
                <w:bCs/>
                <w:color w:val="000000" w:themeColor="text1"/>
                <w:szCs w:val="24"/>
                <w:highlight w:val="none"/>
                <w14:textFill>
                  <w14:solidFill>
                    <w14:schemeClr w14:val="tx1"/>
                  </w14:solidFill>
                </w14:textFill>
              </w:rPr>
              <w:t>须知第13条（</w:t>
            </w:r>
            <w:r>
              <w:rPr>
                <w:rFonts w:hint="eastAsia" w:cs="宋体"/>
                <w:b/>
                <w:bCs/>
                <w:color w:val="000000" w:themeColor="text1"/>
                <w:szCs w:val="24"/>
                <w:highlight w:val="none"/>
                <w:lang w:val="en-US" w:eastAsia="zh-CN"/>
                <w14:textFill>
                  <w14:solidFill>
                    <w14:schemeClr w14:val="tx1"/>
                  </w14:solidFill>
                </w14:textFill>
              </w:rPr>
              <w:t>具体</w:t>
            </w:r>
            <w:r>
              <w:rPr>
                <w:rFonts w:hint="eastAsia" w:cs="宋体"/>
                <w:b/>
                <w:bCs/>
                <w:color w:val="000000" w:themeColor="text1"/>
                <w:szCs w:val="24"/>
                <w:highlight w:val="none"/>
                <w14:textFill>
                  <w14:solidFill>
                    <w14:schemeClr w14:val="tx1"/>
                  </w14:solidFill>
                </w14:textFill>
              </w:rPr>
              <w:t>以代理机构财务查询为准）</w:t>
            </w:r>
          </w:p>
        </w:tc>
      </w:tr>
      <w:tr w14:paraId="3F40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Align w:val="center"/>
          </w:tcPr>
          <w:p w14:paraId="402FD36B">
            <w:pPr>
              <w:keepNext w:val="0"/>
              <w:keepLines w:val="0"/>
              <w:suppressLineNumbers w:val="0"/>
              <w:adjustRightInd w:val="0"/>
              <w:snapToGrid w:val="0"/>
              <w:spacing w:before="0" w:beforeAutospacing="0" w:after="0" w:afterAutospacing="0"/>
              <w:ind w:left="0" w:right="0" w:firstLine="0" w:firstLineChars="0"/>
              <w:jc w:val="center"/>
              <w:rPr>
                <w:rFonts w:hint="eastAsia" w:eastAsia="宋体" w:cs="Times New Roman"/>
                <w:color w:val="000000" w:themeColor="text1"/>
                <w:kern w:val="2"/>
                <w:szCs w:val="20"/>
                <w:highlight w:val="none"/>
                <w:lang w:eastAsia="zh-CN"/>
                <w14:textFill>
                  <w14:solidFill>
                    <w14:schemeClr w14:val="tx1"/>
                  </w14:solidFill>
                </w14:textFill>
              </w:rPr>
            </w:pPr>
            <w:r>
              <w:rPr>
                <w:rFonts w:hint="eastAsia" w:cs="Times New Roman"/>
                <w:color w:val="000000" w:themeColor="text1"/>
                <w:kern w:val="2"/>
                <w:szCs w:val="20"/>
                <w:highlight w:val="none"/>
                <w:lang w:val="en-US" w:eastAsia="zh-CN"/>
                <w14:textFill>
                  <w14:solidFill>
                    <w14:schemeClr w14:val="tx1"/>
                  </w14:solidFill>
                </w14:textFill>
              </w:rPr>
              <w:t>6</w:t>
            </w:r>
          </w:p>
        </w:tc>
        <w:tc>
          <w:tcPr>
            <w:tcW w:w="1306" w:type="pct"/>
            <w:shd w:val="clear" w:color="auto" w:fill="auto"/>
            <w:vAlign w:val="center"/>
          </w:tcPr>
          <w:p w14:paraId="49BAFAD1">
            <w:pPr>
              <w:keepNext w:val="0"/>
              <w:keepLines w:val="0"/>
              <w:suppressLineNumbers w:val="0"/>
              <w:adjustRightInd w:val="0"/>
              <w:snapToGrid w:val="0"/>
              <w:spacing w:before="0" w:beforeAutospacing="0" w:after="0" w:afterAutospacing="0"/>
              <w:ind w:left="0" w:right="0" w:firstLine="0" w:firstLineChars="0"/>
              <w:jc w:val="left"/>
              <w:rPr>
                <w:rFonts w:hint="default" w:ascii="宋体" w:hAnsi="宋体" w:eastAsia="宋体" w:cs="Times New Roman"/>
                <w:color w:val="000000" w:themeColor="text1"/>
                <w:kern w:val="2"/>
                <w:sz w:val="24"/>
                <w:szCs w:val="20"/>
                <w:highlight w:val="none"/>
                <w:lang w:val="en-US" w:eastAsia="zh-CN" w:bidi="ar-SA"/>
                <w14:textFill>
                  <w14:solidFill>
                    <w14:schemeClr w14:val="tx1"/>
                  </w14:solidFill>
                </w14:textFill>
              </w:rPr>
            </w:pPr>
            <w:r>
              <w:rPr>
                <w:rFonts w:hint="eastAsia" w:cs="Times New Roman"/>
                <w:color w:val="000000" w:themeColor="text1"/>
                <w:kern w:val="2"/>
                <w:szCs w:val="20"/>
                <w:highlight w:val="none"/>
                <w14:textFill>
                  <w14:solidFill>
                    <w14:schemeClr w14:val="tx1"/>
                  </w14:solidFill>
                </w14:textFill>
              </w:rPr>
              <w:t>授权书</w:t>
            </w:r>
          </w:p>
        </w:tc>
        <w:tc>
          <w:tcPr>
            <w:tcW w:w="3212" w:type="pct"/>
            <w:shd w:val="clear" w:color="auto" w:fill="auto"/>
            <w:vAlign w:val="center"/>
          </w:tcPr>
          <w:p w14:paraId="21C590F5">
            <w:pPr>
              <w:keepNext w:val="0"/>
              <w:keepLines w:val="0"/>
              <w:suppressLineNumbers w:val="0"/>
              <w:adjustRightInd w:val="0"/>
              <w:snapToGrid w:val="0"/>
              <w:spacing w:before="0" w:beforeAutospacing="0" w:after="0" w:afterAutospacing="0"/>
              <w:ind w:left="0" w:right="0" w:firstLine="0" w:firstLineChars="0"/>
              <w:rPr>
                <w:rFonts w:hint="default" w:ascii="Calibri" w:hAnsi="Calibri"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cs="Times New Roman"/>
                <w:color w:val="000000" w:themeColor="text1"/>
                <w:kern w:val="2"/>
                <w:szCs w:val="22"/>
                <w:highlight w:val="none"/>
                <w14:textFill>
                  <w14:solidFill>
                    <w14:schemeClr w14:val="tx1"/>
                  </w14:solidFill>
                </w14:textFill>
              </w:rPr>
              <w:t>符合磋商文件要求。</w:t>
            </w:r>
          </w:p>
        </w:tc>
      </w:tr>
      <w:tr w14:paraId="1568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Align w:val="center"/>
          </w:tcPr>
          <w:p w14:paraId="37DF792F">
            <w:pPr>
              <w:keepNext w:val="0"/>
              <w:keepLines w:val="0"/>
              <w:suppressLineNumbers w:val="0"/>
              <w:adjustRightInd w:val="0"/>
              <w:snapToGrid w:val="0"/>
              <w:spacing w:before="0" w:beforeAutospacing="0" w:after="0" w:afterAutospacing="0"/>
              <w:ind w:left="0" w:right="0" w:firstLine="0" w:firstLineChars="0"/>
              <w:jc w:val="center"/>
              <w:rPr>
                <w:rFonts w:hint="eastAsia" w:eastAsia="宋体" w:cs="Times New Roman"/>
                <w:color w:val="000000" w:themeColor="text1"/>
                <w:kern w:val="2"/>
                <w:szCs w:val="20"/>
                <w:highlight w:val="none"/>
                <w:lang w:eastAsia="zh-CN"/>
                <w14:textFill>
                  <w14:solidFill>
                    <w14:schemeClr w14:val="tx1"/>
                  </w14:solidFill>
                </w14:textFill>
              </w:rPr>
            </w:pPr>
            <w:r>
              <w:rPr>
                <w:rFonts w:hint="eastAsia" w:cs="Times New Roman"/>
                <w:color w:val="000000" w:themeColor="text1"/>
                <w:kern w:val="2"/>
                <w:szCs w:val="20"/>
                <w:highlight w:val="none"/>
                <w:lang w:val="en-US" w:eastAsia="zh-CN"/>
                <w14:textFill>
                  <w14:solidFill>
                    <w14:schemeClr w14:val="tx1"/>
                  </w14:solidFill>
                </w14:textFill>
              </w:rPr>
              <w:t>7</w:t>
            </w:r>
          </w:p>
        </w:tc>
        <w:tc>
          <w:tcPr>
            <w:tcW w:w="1306" w:type="pct"/>
            <w:shd w:val="clear" w:color="auto" w:fill="auto"/>
            <w:vAlign w:val="center"/>
          </w:tcPr>
          <w:p w14:paraId="1B06461E">
            <w:pPr>
              <w:keepNext w:val="0"/>
              <w:keepLines w:val="0"/>
              <w:suppressLineNumbers w:val="0"/>
              <w:adjustRightInd w:val="0"/>
              <w:snapToGrid w:val="0"/>
              <w:spacing w:before="0" w:beforeAutospacing="0" w:after="0" w:afterAutospacing="0"/>
              <w:ind w:left="0" w:right="0" w:firstLine="0" w:firstLineChars="0"/>
              <w:jc w:val="left"/>
              <w:rPr>
                <w:rFonts w:hint="default" w:ascii="宋体" w:hAnsi="宋体" w:eastAsia="宋体" w:cs="Times New Roman"/>
                <w:color w:val="000000" w:themeColor="text1"/>
                <w:kern w:val="2"/>
                <w:sz w:val="24"/>
                <w:szCs w:val="20"/>
                <w:highlight w:val="none"/>
                <w:lang w:val="en-US" w:eastAsia="zh-CN" w:bidi="ar-SA"/>
                <w14:textFill>
                  <w14:solidFill>
                    <w14:schemeClr w14:val="tx1"/>
                  </w14:solidFill>
                </w14:textFill>
              </w:rPr>
            </w:pPr>
            <w:r>
              <w:rPr>
                <w:rFonts w:hint="eastAsia" w:cs="Times New Roman"/>
                <w:color w:val="000000" w:themeColor="text1"/>
                <w:kern w:val="2"/>
                <w:szCs w:val="20"/>
                <w:highlight w:val="none"/>
                <w14:textFill>
                  <w14:solidFill>
                    <w14:schemeClr w14:val="tx1"/>
                  </w14:solidFill>
                </w14:textFill>
              </w:rPr>
              <w:t>不良信用记录查询</w:t>
            </w:r>
          </w:p>
        </w:tc>
        <w:tc>
          <w:tcPr>
            <w:tcW w:w="3212" w:type="pct"/>
            <w:shd w:val="clear" w:color="auto" w:fill="auto"/>
            <w:vAlign w:val="center"/>
          </w:tcPr>
          <w:p w14:paraId="2FEA0860">
            <w:pPr>
              <w:keepNext w:val="0"/>
              <w:keepLines w:val="0"/>
              <w:suppressLineNumbers w:val="0"/>
              <w:spacing w:before="0" w:beforeAutospacing="0" w:after="0" w:afterAutospacing="0"/>
              <w:ind w:left="0" w:right="0" w:firstLine="0" w:firstLineChars="0"/>
              <w:jc w:val="left"/>
              <w:rPr>
                <w:rFonts w:hint="default"/>
                <w:color w:val="000000" w:themeColor="text1"/>
                <w:szCs w:val="20"/>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供应商</w:t>
            </w:r>
            <w:r>
              <w:rPr>
                <w:rFonts w:hint="eastAsia"/>
                <w:color w:val="000000" w:themeColor="text1"/>
                <w:szCs w:val="20"/>
                <w:highlight w:val="none"/>
                <w14:textFill>
                  <w14:solidFill>
                    <w14:schemeClr w14:val="tx1"/>
                  </w14:solidFill>
                </w14:textFill>
              </w:rPr>
              <w:t>不得存在</w:t>
            </w:r>
            <w:r>
              <w:rPr>
                <w:rFonts w:hint="eastAsia"/>
                <w:color w:val="000000" w:themeColor="text1"/>
                <w:szCs w:val="18"/>
                <w:highlight w:val="none"/>
                <w14:textFill>
                  <w14:solidFill>
                    <w14:schemeClr w14:val="tx1"/>
                  </w14:solidFill>
                </w14:textFill>
              </w:rPr>
              <w:t>供应商</w:t>
            </w:r>
            <w:r>
              <w:rPr>
                <w:rFonts w:hint="eastAsia"/>
                <w:color w:val="000000" w:themeColor="text1"/>
                <w:szCs w:val="20"/>
                <w:highlight w:val="none"/>
                <w14:textFill>
                  <w14:solidFill>
                    <w14:schemeClr w14:val="tx1"/>
                  </w14:solidFill>
                </w14:textFill>
              </w:rPr>
              <w:t>须知第</w:t>
            </w:r>
            <w:r>
              <w:rPr>
                <w:rFonts w:hint="default"/>
                <w:color w:val="000000" w:themeColor="text1"/>
                <w:szCs w:val="20"/>
                <w:highlight w:val="none"/>
                <w14:textFill>
                  <w14:solidFill>
                    <w14:schemeClr w14:val="tx1"/>
                  </w14:solidFill>
                </w14:textFill>
              </w:rPr>
              <w:t>1</w:t>
            </w:r>
            <w:r>
              <w:rPr>
                <w:rFonts w:hint="eastAsia"/>
                <w:color w:val="000000" w:themeColor="text1"/>
                <w:szCs w:val="20"/>
                <w:highlight w:val="none"/>
                <w14:textFill>
                  <w14:solidFill>
                    <w14:schemeClr w14:val="tx1"/>
                  </w14:solidFill>
                </w14:textFill>
              </w:rPr>
              <w:t>3</w:t>
            </w:r>
            <w:r>
              <w:rPr>
                <w:rFonts w:hint="default"/>
                <w:color w:val="000000" w:themeColor="text1"/>
                <w:szCs w:val="20"/>
                <w:highlight w:val="none"/>
                <w14:textFill>
                  <w14:solidFill>
                    <w14:schemeClr w14:val="tx1"/>
                  </w14:solidFill>
                </w14:textFill>
              </w:rPr>
              <w:t>.3.1.1</w:t>
            </w:r>
            <w:r>
              <w:rPr>
                <w:rFonts w:hint="eastAsia"/>
                <w:color w:val="000000" w:themeColor="text1"/>
                <w:szCs w:val="20"/>
                <w:highlight w:val="none"/>
                <w14:textFill>
                  <w14:solidFill>
                    <w14:schemeClr w14:val="tx1"/>
                  </w14:solidFill>
                </w14:textFill>
              </w:rPr>
              <w:t>条中的不良信用记录情形。</w:t>
            </w:r>
          </w:p>
          <w:p w14:paraId="152B10AB">
            <w:pPr>
              <w:keepNext w:val="0"/>
              <w:keepLines w:val="0"/>
              <w:suppressLineNumbers w:val="0"/>
              <w:spacing w:before="0" w:beforeAutospacing="0" w:after="0" w:afterAutospacing="0"/>
              <w:ind w:left="0" w:right="0" w:firstLine="0" w:firstLineChars="0"/>
              <w:jc w:val="left"/>
              <w:rPr>
                <w:rFonts w:hint="default" w:ascii="宋体" w:hAnsi="宋体"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color w:val="000000" w:themeColor="text1"/>
                <w:szCs w:val="20"/>
                <w:highlight w:val="none"/>
                <w14:textFill>
                  <w14:solidFill>
                    <w14:schemeClr w14:val="tx1"/>
                  </w14:solidFill>
                </w14:textFill>
              </w:rPr>
              <w:t>注：提供无不良信用记录声明函，格式后附。</w:t>
            </w:r>
          </w:p>
        </w:tc>
      </w:tr>
      <w:tr w14:paraId="1867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Align w:val="center"/>
          </w:tcPr>
          <w:p w14:paraId="40A1D87E">
            <w:pPr>
              <w:keepNext w:val="0"/>
              <w:keepLines w:val="0"/>
              <w:suppressLineNumbers w:val="0"/>
              <w:adjustRightInd w:val="0"/>
              <w:snapToGrid w:val="0"/>
              <w:spacing w:before="0" w:beforeAutospacing="0" w:after="0" w:afterAutospacing="0"/>
              <w:ind w:left="0" w:right="0" w:firstLine="0" w:firstLineChars="0"/>
              <w:jc w:val="center"/>
              <w:rPr>
                <w:rFonts w:hint="eastAsia" w:eastAsia="宋体" w:cs="Times New Roman"/>
                <w:color w:val="000000" w:themeColor="text1"/>
                <w:kern w:val="2"/>
                <w:szCs w:val="20"/>
                <w:highlight w:val="none"/>
                <w:lang w:eastAsia="zh-CN"/>
                <w14:textFill>
                  <w14:solidFill>
                    <w14:schemeClr w14:val="tx1"/>
                  </w14:solidFill>
                </w14:textFill>
              </w:rPr>
            </w:pPr>
            <w:r>
              <w:rPr>
                <w:rFonts w:hint="eastAsia" w:cs="Times New Roman"/>
                <w:color w:val="000000" w:themeColor="text1"/>
                <w:kern w:val="2"/>
                <w:szCs w:val="20"/>
                <w:highlight w:val="none"/>
                <w:lang w:val="en-US" w:eastAsia="zh-CN"/>
                <w14:textFill>
                  <w14:solidFill>
                    <w14:schemeClr w14:val="tx1"/>
                  </w14:solidFill>
                </w14:textFill>
              </w:rPr>
              <w:t>8</w:t>
            </w:r>
          </w:p>
        </w:tc>
        <w:tc>
          <w:tcPr>
            <w:tcW w:w="1306" w:type="pct"/>
            <w:shd w:val="clear" w:color="auto" w:fill="auto"/>
            <w:vAlign w:val="center"/>
          </w:tcPr>
          <w:p w14:paraId="19838E7D">
            <w:pPr>
              <w:keepNext w:val="0"/>
              <w:keepLines w:val="0"/>
              <w:suppressLineNumbers w:val="0"/>
              <w:adjustRightInd w:val="0"/>
              <w:snapToGrid w:val="0"/>
              <w:spacing w:before="0" w:beforeAutospacing="0" w:after="0" w:afterAutospacing="0"/>
              <w:ind w:left="0" w:right="0" w:firstLine="0" w:firstLineChars="0"/>
              <w:jc w:val="left"/>
              <w:rPr>
                <w:rFonts w:hint="default" w:ascii="宋体" w:hAnsi="宋体" w:eastAsia="宋体" w:cs="Times New Roman"/>
                <w:color w:val="000000" w:themeColor="text1"/>
                <w:kern w:val="2"/>
                <w:sz w:val="24"/>
                <w:szCs w:val="20"/>
                <w:highlight w:val="none"/>
                <w:lang w:val="en-US" w:eastAsia="zh-CN" w:bidi="ar-SA"/>
                <w14:textFill>
                  <w14:solidFill>
                    <w14:schemeClr w14:val="tx1"/>
                  </w14:solidFill>
                </w14:textFill>
              </w:rPr>
            </w:pPr>
            <w:r>
              <w:rPr>
                <w:rFonts w:hint="eastAsia" w:cs="Times New Roman"/>
                <w:color w:val="000000" w:themeColor="text1"/>
                <w:kern w:val="2"/>
                <w:szCs w:val="20"/>
                <w:highlight w:val="none"/>
                <w14:textFill>
                  <w14:solidFill>
                    <w14:schemeClr w14:val="tx1"/>
                  </w14:solidFill>
                </w14:textFill>
              </w:rPr>
              <w:t>磋商报价</w:t>
            </w:r>
          </w:p>
        </w:tc>
        <w:tc>
          <w:tcPr>
            <w:tcW w:w="3212" w:type="pct"/>
            <w:shd w:val="clear" w:color="auto" w:fill="auto"/>
            <w:vAlign w:val="center"/>
          </w:tcPr>
          <w:p w14:paraId="308C7F8C">
            <w:pPr>
              <w:keepNext w:val="0"/>
              <w:keepLines w:val="0"/>
              <w:suppressLineNumbers w:val="0"/>
              <w:adjustRightInd w:val="0"/>
              <w:snapToGrid w:val="0"/>
              <w:spacing w:before="0" w:beforeAutospacing="0" w:after="0" w:afterAutospacing="0"/>
              <w:ind w:left="0" w:right="0" w:firstLine="0" w:firstLineChars="0"/>
              <w:rPr>
                <w:rFonts w:hint="default" w:ascii="Calibri" w:hAnsi="Calibri"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cs="Times New Roman"/>
                <w:color w:val="000000" w:themeColor="text1"/>
                <w:kern w:val="2"/>
                <w:szCs w:val="22"/>
                <w:highlight w:val="none"/>
                <w14:textFill>
                  <w14:solidFill>
                    <w14:schemeClr w14:val="tx1"/>
                  </w14:solidFill>
                </w14:textFill>
              </w:rPr>
              <w:t>符合磋商文件要求。</w:t>
            </w:r>
          </w:p>
        </w:tc>
      </w:tr>
      <w:tr w14:paraId="15C94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vAlign w:val="center"/>
          </w:tcPr>
          <w:p w14:paraId="78737DE2">
            <w:pPr>
              <w:keepNext w:val="0"/>
              <w:keepLines w:val="0"/>
              <w:suppressLineNumbers w:val="0"/>
              <w:adjustRightInd w:val="0"/>
              <w:snapToGrid w:val="0"/>
              <w:spacing w:before="0" w:beforeAutospacing="0" w:after="0" w:afterAutospacing="0"/>
              <w:ind w:left="0" w:right="0" w:firstLine="0" w:firstLineChars="0"/>
              <w:jc w:val="center"/>
              <w:rPr>
                <w:rFonts w:hint="default" w:eastAsia="宋体" w:cs="Times New Roman"/>
                <w:color w:val="000000" w:themeColor="text1"/>
                <w:kern w:val="2"/>
                <w:szCs w:val="20"/>
                <w:highlight w:val="none"/>
                <w:lang w:val="en-US" w:eastAsia="zh-CN"/>
                <w14:textFill>
                  <w14:solidFill>
                    <w14:schemeClr w14:val="tx1"/>
                  </w14:solidFill>
                </w14:textFill>
              </w:rPr>
            </w:pPr>
            <w:r>
              <w:rPr>
                <w:rFonts w:hint="eastAsia" w:cs="Times New Roman"/>
                <w:color w:val="000000" w:themeColor="text1"/>
                <w:kern w:val="2"/>
                <w:szCs w:val="20"/>
                <w:highlight w:val="none"/>
                <w:lang w:val="en-US" w:eastAsia="zh-CN"/>
                <w14:textFill>
                  <w14:solidFill>
                    <w14:schemeClr w14:val="tx1"/>
                  </w14:solidFill>
                </w14:textFill>
              </w:rPr>
              <w:t>9</w:t>
            </w:r>
          </w:p>
        </w:tc>
        <w:tc>
          <w:tcPr>
            <w:tcW w:w="1306" w:type="pct"/>
            <w:shd w:val="clear" w:color="auto" w:fill="auto"/>
            <w:vAlign w:val="center"/>
          </w:tcPr>
          <w:p w14:paraId="212E79D1">
            <w:pPr>
              <w:keepNext w:val="0"/>
              <w:keepLines w:val="0"/>
              <w:suppressLineNumbers w:val="0"/>
              <w:adjustRightInd w:val="0"/>
              <w:snapToGrid w:val="0"/>
              <w:spacing w:before="0" w:beforeAutospacing="0" w:after="0" w:afterAutospacing="0"/>
              <w:ind w:left="0" w:leftChars="0" w:right="0" w:rightChars="0" w:firstLine="0" w:firstLineChars="0"/>
              <w:jc w:val="left"/>
              <w:rPr>
                <w:rFonts w:hint="default" w:ascii="宋体" w:hAnsi="宋体" w:eastAsia="宋体" w:cs="Times New Roman"/>
                <w:color w:val="000000" w:themeColor="text1"/>
                <w:kern w:val="2"/>
                <w:sz w:val="24"/>
                <w:szCs w:val="20"/>
                <w:highlight w:val="none"/>
                <w:lang w:val="en-US" w:eastAsia="zh-CN" w:bidi="ar-SA"/>
                <w14:textFill>
                  <w14:solidFill>
                    <w14:schemeClr w14:val="tx1"/>
                  </w14:solidFill>
                </w14:textFill>
              </w:rPr>
            </w:pPr>
            <w:r>
              <w:rPr>
                <w:rFonts w:hint="eastAsia" w:cs="Times New Roman"/>
                <w:color w:val="000000" w:themeColor="text1"/>
                <w:kern w:val="2"/>
                <w:szCs w:val="20"/>
                <w:highlight w:val="none"/>
                <w14:textFill>
                  <w14:solidFill>
                    <w14:schemeClr w14:val="tx1"/>
                  </w14:solidFill>
                </w14:textFill>
              </w:rPr>
              <w:t>其他要求</w:t>
            </w:r>
          </w:p>
        </w:tc>
        <w:tc>
          <w:tcPr>
            <w:tcW w:w="3212" w:type="pct"/>
            <w:shd w:val="clear" w:color="auto" w:fill="auto"/>
            <w:vAlign w:val="center"/>
          </w:tcPr>
          <w:p w14:paraId="5CD6E0C0">
            <w:pPr>
              <w:keepNext w:val="0"/>
              <w:keepLines w:val="0"/>
              <w:suppressLineNumbers w:val="0"/>
              <w:adjustRightInd w:val="0"/>
              <w:snapToGrid w:val="0"/>
              <w:spacing w:before="0" w:beforeAutospacing="0" w:after="0" w:afterAutospacing="0"/>
              <w:ind w:left="0" w:leftChars="0" w:right="0" w:rightChars="0" w:firstLine="0" w:firstLineChars="0"/>
              <w:rPr>
                <w:rFonts w:hint="default" w:ascii="宋体" w:hAnsi="宋体" w:eastAsia="宋体" w:cs="Times New Roman"/>
                <w:color w:val="000000" w:themeColor="text1"/>
                <w:kern w:val="2"/>
                <w:sz w:val="24"/>
                <w:szCs w:val="20"/>
                <w:highlight w:val="none"/>
                <w:lang w:val="en-US" w:eastAsia="zh-CN" w:bidi="ar-SA"/>
                <w14:textFill>
                  <w14:solidFill>
                    <w14:schemeClr w14:val="tx1"/>
                  </w14:solidFill>
                </w14:textFill>
              </w:rPr>
            </w:pPr>
            <w:r>
              <w:rPr>
                <w:rFonts w:hint="eastAsia"/>
                <w:color w:val="000000" w:themeColor="text1"/>
                <w:szCs w:val="28"/>
                <w:highlight w:val="none"/>
                <w14:textFill>
                  <w14:solidFill>
                    <w14:schemeClr w14:val="tx1"/>
                  </w14:solidFill>
                </w14:textFill>
              </w:rPr>
              <w:t>符合法律、行政法规规定的其他条件或磋商文件列明的其他要求。</w:t>
            </w:r>
          </w:p>
        </w:tc>
      </w:tr>
      <w:tr w14:paraId="22BA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vAlign w:val="center"/>
          </w:tcPr>
          <w:p w14:paraId="6CCE6227">
            <w:pPr>
              <w:keepNext w:val="0"/>
              <w:keepLines w:val="0"/>
              <w:suppressLineNumbers w:val="0"/>
              <w:adjustRightInd w:val="0"/>
              <w:snapToGrid w:val="0"/>
              <w:spacing w:before="0" w:beforeAutospacing="0" w:after="0" w:afterAutospacing="0"/>
              <w:ind w:left="0" w:right="0" w:firstLine="0" w:firstLineChars="0"/>
              <w:jc w:val="left"/>
              <w:rPr>
                <w:rFonts w:hint="default" w:ascii="Calibri" w:hAnsi="Calibri" w:cs="Times New Roman"/>
                <w:color w:val="000000" w:themeColor="text1"/>
                <w:kern w:val="2"/>
                <w:szCs w:val="22"/>
                <w:highlight w:val="none"/>
                <w14:textFill>
                  <w14:solidFill>
                    <w14:schemeClr w14:val="tx1"/>
                  </w14:solidFill>
                </w14:textFill>
              </w:rPr>
            </w:pPr>
            <w:r>
              <w:rPr>
                <w:rFonts w:hint="eastAsia" w:ascii="Calibri" w:hAnsi="Calibri" w:cs="Times New Roman"/>
                <w:color w:val="000000" w:themeColor="text1"/>
                <w:kern w:val="2"/>
                <w:szCs w:val="22"/>
                <w:highlight w:val="none"/>
                <w14:textFill>
                  <w14:solidFill>
                    <w14:schemeClr w14:val="tx1"/>
                  </w14:solidFill>
                </w14:textFill>
              </w:rPr>
              <w:t>评审指标通过标准：供应商必须通过上述全部指标。</w:t>
            </w:r>
          </w:p>
        </w:tc>
      </w:tr>
    </w:tbl>
    <w:p w14:paraId="6BE8C47D">
      <w:pPr>
        <w:keepNext w:val="0"/>
        <w:keepLines w:val="0"/>
        <w:pageBreakBefore w:val="0"/>
        <w:widowControl w:val="0"/>
        <w:kinsoku/>
        <w:wordWrap/>
        <w:overflowPunct/>
        <w:topLinePunct w:val="0"/>
        <w:autoSpaceDE/>
        <w:autoSpaceDN/>
        <w:bidi w:val="0"/>
        <w:adjustRightInd/>
        <w:snapToGrid/>
        <w:spacing w:line="460" w:lineRule="exact"/>
        <w:ind w:firstLine="482"/>
        <w:textAlignment w:val="auto"/>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b/>
          <w:bCs/>
          <w:color w:val="000000" w:themeColor="text1"/>
          <w:highlight w:val="none"/>
          <w14:textFill>
            <w14:solidFill>
              <w14:schemeClr w14:val="tx1"/>
            </w14:solidFill>
          </w14:textFill>
        </w:rPr>
        <w:t>初审指标通过标准：</w:t>
      </w:r>
      <w:r>
        <w:rPr>
          <w:rFonts w:hint="eastAsia" w:asciiTheme="minorEastAsia" w:hAnsiTheme="minorEastAsia" w:eastAsiaTheme="minorEastAsia"/>
          <w:color w:val="000000" w:themeColor="text1"/>
          <w:highlight w:val="none"/>
          <w14:textFill>
            <w14:solidFill>
              <w14:schemeClr w14:val="tx1"/>
            </w14:solidFill>
          </w14:textFill>
        </w:rPr>
        <w:t>供应商必须通过初审表中的全部评审指标。</w:t>
      </w:r>
    </w:p>
    <w:p w14:paraId="5596FE22">
      <w:pPr>
        <w:spacing w:line="360" w:lineRule="auto"/>
        <w:ind w:firstLine="435"/>
        <w:outlineLvl w:val="2"/>
        <w:rPr>
          <w:rFonts w:hint="eastAsia" w:ascii="宋体" w:hAnsi="宋体" w:eastAsia="宋体" w:cs="宋体"/>
          <w:b/>
          <w:sz w:val="24"/>
        </w:rPr>
      </w:pPr>
      <w:r>
        <w:rPr>
          <w:rFonts w:hint="eastAsia" w:ascii="宋体" w:hAnsi="宋体" w:eastAsia="宋体" w:cs="宋体"/>
          <w:b/>
          <w:sz w:val="24"/>
        </w:rPr>
        <w:t>2.2综合评分</w:t>
      </w:r>
    </w:p>
    <w:p w14:paraId="39BA1FAC">
      <w:pPr>
        <w:spacing w:line="360" w:lineRule="auto"/>
        <w:ind w:firstLine="435"/>
        <w:rPr>
          <w:rFonts w:hint="eastAsia" w:ascii="宋体" w:hAnsi="宋体" w:eastAsia="宋体" w:cs="宋体"/>
          <w:sz w:val="24"/>
        </w:rPr>
      </w:pPr>
      <w:r>
        <w:rPr>
          <w:rFonts w:hint="eastAsia" w:ascii="宋体" w:hAnsi="宋体" w:eastAsia="宋体" w:cs="宋体"/>
          <w:sz w:val="24"/>
        </w:rPr>
        <w:t>2.2.1磋商小组按照下表对进入综合评分的所有供应商的响应文件进行综合评分。</w:t>
      </w:r>
    </w:p>
    <w:p w14:paraId="51B281AA">
      <w:pPr>
        <w:spacing w:line="360" w:lineRule="auto"/>
        <w:ind w:firstLine="435"/>
        <w:rPr>
          <w:rFonts w:asciiTheme="minorEastAsia" w:hAnsiTheme="minorEastAsia" w:eastAsiaTheme="minorEastAsia"/>
          <w:color w:val="000000" w:themeColor="text1"/>
          <w:highlight w:val="none"/>
          <w14:textFill>
            <w14:solidFill>
              <w14:schemeClr w14:val="tx1"/>
            </w14:solidFill>
          </w14:textFill>
        </w:rPr>
      </w:pPr>
      <w:r>
        <w:rPr>
          <w:rFonts w:hint="eastAsia" w:ascii="宋体" w:hAnsi="宋体" w:eastAsia="宋体" w:cs="宋体"/>
          <w:sz w:val="24"/>
        </w:rPr>
        <w:t>2.2.2本项目综合评分满分为100分，其中：技术资信分值占总分值的权重为</w:t>
      </w:r>
      <w:r>
        <w:rPr>
          <w:rFonts w:hint="eastAsia" w:cs="宋体"/>
          <w:sz w:val="24"/>
          <w:u w:val="single"/>
          <w:lang w:val="en-US" w:eastAsia="zh-CN"/>
        </w:rPr>
        <w:t>70</w:t>
      </w:r>
      <w:r>
        <w:rPr>
          <w:rFonts w:hint="eastAsia" w:ascii="宋体" w:hAnsi="宋体" w:eastAsia="宋体" w:cs="宋体"/>
          <w:sz w:val="24"/>
        </w:rPr>
        <w:t>%，价格分值占总分值的权重为</w:t>
      </w:r>
      <w:r>
        <w:rPr>
          <w:rFonts w:hint="eastAsia" w:cs="宋体"/>
          <w:sz w:val="24"/>
          <w:u w:val="single"/>
          <w:lang w:val="en-US" w:eastAsia="zh-CN"/>
        </w:rPr>
        <w:t>30</w:t>
      </w:r>
      <w:r>
        <w:rPr>
          <w:rFonts w:hint="eastAsia" w:ascii="宋体" w:hAnsi="宋体" w:eastAsia="宋体" w:cs="宋体"/>
          <w:sz w:val="24"/>
        </w:rPr>
        <w:t>%。具体评分细则如下：</w:t>
      </w:r>
    </w:p>
    <w:tbl>
      <w:tblPr>
        <w:tblStyle w:val="5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1532"/>
        <w:gridCol w:w="5072"/>
        <w:gridCol w:w="1079"/>
      </w:tblGrid>
      <w:tr w14:paraId="56E0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vAlign w:val="center"/>
          </w:tcPr>
          <w:p w14:paraId="7B2D0A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kern w:val="2"/>
                <w:sz w:val="24"/>
                <w:szCs w:val="24"/>
                <w:vertAlign w:val="baseline"/>
              </w:rPr>
            </w:pPr>
            <w:r>
              <w:rPr>
                <w:rFonts w:hint="eastAsia" w:ascii="宋体" w:hAnsi="宋体" w:eastAsia="宋体" w:cs="宋体"/>
                <w:b/>
                <w:bCs/>
                <w:color w:val="000000"/>
                <w:kern w:val="0"/>
                <w:sz w:val="24"/>
                <w:szCs w:val="24"/>
                <w:lang w:val="en-US" w:eastAsia="zh-CN" w:bidi="ar"/>
              </w:rPr>
              <w:t>类别</w:t>
            </w:r>
          </w:p>
        </w:tc>
        <w:tc>
          <w:tcPr>
            <w:tcW w:w="1532" w:type="dxa"/>
            <w:vAlign w:val="center"/>
          </w:tcPr>
          <w:p w14:paraId="766E5A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kern w:val="2"/>
                <w:sz w:val="24"/>
                <w:szCs w:val="24"/>
                <w:vertAlign w:val="baseline"/>
              </w:rPr>
            </w:pPr>
            <w:r>
              <w:rPr>
                <w:rFonts w:hint="eastAsia" w:ascii="宋体" w:hAnsi="宋体" w:eastAsia="宋体" w:cs="宋体"/>
                <w:b/>
                <w:bCs/>
                <w:color w:val="000000"/>
                <w:kern w:val="0"/>
                <w:sz w:val="24"/>
                <w:szCs w:val="24"/>
                <w:lang w:val="en-US" w:eastAsia="zh-CN" w:bidi="ar"/>
              </w:rPr>
              <w:t>评分内容</w:t>
            </w:r>
          </w:p>
        </w:tc>
        <w:tc>
          <w:tcPr>
            <w:tcW w:w="5072" w:type="dxa"/>
            <w:vAlign w:val="center"/>
          </w:tcPr>
          <w:p w14:paraId="165D3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kern w:val="2"/>
                <w:sz w:val="24"/>
                <w:szCs w:val="24"/>
                <w:vertAlign w:val="baseline"/>
              </w:rPr>
            </w:pPr>
            <w:r>
              <w:rPr>
                <w:rFonts w:hint="eastAsia" w:ascii="宋体" w:hAnsi="宋体" w:eastAsia="宋体" w:cs="宋体"/>
                <w:b/>
                <w:bCs/>
                <w:color w:val="000000"/>
                <w:kern w:val="0"/>
                <w:sz w:val="24"/>
                <w:szCs w:val="24"/>
                <w:lang w:val="en-US" w:eastAsia="zh-CN" w:bidi="ar"/>
              </w:rPr>
              <w:t>评分标准</w:t>
            </w:r>
          </w:p>
        </w:tc>
        <w:tc>
          <w:tcPr>
            <w:tcW w:w="1079" w:type="dxa"/>
            <w:vAlign w:val="center"/>
          </w:tcPr>
          <w:p w14:paraId="761D29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分值</w:t>
            </w:r>
          </w:p>
          <w:p w14:paraId="244585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kern w:val="2"/>
                <w:sz w:val="24"/>
                <w:szCs w:val="24"/>
                <w:vertAlign w:val="baseline"/>
              </w:rPr>
            </w:pPr>
            <w:r>
              <w:rPr>
                <w:rFonts w:hint="eastAsia" w:ascii="宋体" w:hAnsi="宋体" w:eastAsia="宋体" w:cs="宋体"/>
                <w:b/>
                <w:bCs/>
                <w:color w:val="000000"/>
                <w:kern w:val="0"/>
                <w:sz w:val="24"/>
                <w:szCs w:val="24"/>
                <w:lang w:val="en-US" w:eastAsia="zh-CN" w:bidi="ar"/>
              </w:rPr>
              <w:t>范围</w:t>
            </w:r>
          </w:p>
        </w:tc>
      </w:tr>
      <w:tr w14:paraId="4129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vMerge w:val="restart"/>
            <w:vAlign w:val="center"/>
          </w:tcPr>
          <w:p w14:paraId="7B214F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技术资信分</w:t>
            </w:r>
          </w:p>
          <w:p w14:paraId="1C9FEB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（70分）</w:t>
            </w:r>
          </w:p>
          <w:p w14:paraId="6642FB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kern w:val="2"/>
                <w:sz w:val="24"/>
                <w:szCs w:val="24"/>
                <w:vertAlign w:val="baseline"/>
              </w:rPr>
            </w:pPr>
          </w:p>
        </w:tc>
        <w:tc>
          <w:tcPr>
            <w:tcW w:w="1532" w:type="dxa"/>
            <w:vAlign w:val="center"/>
          </w:tcPr>
          <w:p w14:paraId="525905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kern w:val="2"/>
                <w:sz w:val="24"/>
                <w:szCs w:val="24"/>
                <w:vertAlign w:val="baseline"/>
              </w:rPr>
            </w:pPr>
            <w:r>
              <w:rPr>
                <w:rFonts w:hint="eastAsia" w:ascii="宋体" w:hAnsi="宋体" w:eastAsia="宋体" w:cs="宋体"/>
                <w:color w:val="auto"/>
                <w:kern w:val="2"/>
                <w:sz w:val="24"/>
                <w:szCs w:val="24"/>
                <w:lang w:val="en-US" w:eastAsia="zh-CN"/>
              </w:rPr>
              <w:t>技术参数及要求的响应情况</w:t>
            </w:r>
          </w:p>
        </w:tc>
        <w:tc>
          <w:tcPr>
            <w:tcW w:w="5072" w:type="dxa"/>
          </w:tcPr>
          <w:p w14:paraId="1F829D92">
            <w:pPr>
              <w:keepNext w:val="0"/>
              <w:keepLines w:val="0"/>
              <w:pageBreakBefore w:val="0"/>
              <w:widowControl w:val="0"/>
              <w:suppressLineNumbers w:val="0"/>
              <w:kinsoku/>
              <w:wordWrap/>
              <w:overflowPunct/>
              <w:topLinePunct w:val="0"/>
              <w:bidi w:val="0"/>
              <w:adjustRightInd/>
              <w:snapToGrid/>
              <w:spacing w:before="0" w:beforeAutospacing="0" w:after="0" w:afterAutospacing="0" w:line="440" w:lineRule="exact"/>
              <w:ind w:left="0" w:right="0" w:firstLine="0" w:firstLineChars="0"/>
              <w:jc w:val="both"/>
              <w:textAlignment w:val="auto"/>
              <w:rPr>
                <w:rFonts w:hint="eastAsia" w:ascii="宋体" w:hAnsi="宋体" w:eastAsia="宋体" w:cs="宋体"/>
                <w:b/>
                <w:bCs w:val="0"/>
                <w:color w:val="auto"/>
                <w:kern w:val="2"/>
                <w:sz w:val="24"/>
                <w:szCs w:val="24"/>
                <w:highlight w:val="none"/>
              </w:rPr>
            </w:pPr>
            <w:r>
              <w:rPr>
                <w:rFonts w:hint="eastAsia" w:ascii="宋体" w:hAnsi="宋体" w:eastAsia="宋体" w:cs="宋体"/>
                <w:b w:val="0"/>
                <w:bCs/>
                <w:color w:val="auto"/>
                <w:kern w:val="2"/>
                <w:sz w:val="24"/>
                <w:szCs w:val="24"/>
                <w:highlight w:val="none"/>
              </w:rPr>
              <w:t>磋商小组</w:t>
            </w:r>
            <w:r>
              <w:rPr>
                <w:rFonts w:hint="eastAsia" w:ascii="宋体" w:hAnsi="宋体" w:eastAsia="宋体" w:cs="宋体"/>
                <w:b w:val="0"/>
                <w:bCs/>
                <w:color w:val="auto"/>
                <w:kern w:val="2"/>
                <w:sz w:val="24"/>
                <w:szCs w:val="24"/>
                <w:highlight w:val="none"/>
                <w:lang w:val="en-US" w:eastAsia="zh-CN"/>
              </w:rPr>
              <w:t>根据供应商所投产品技术参数及要求的响应情况进行评分：</w:t>
            </w:r>
          </w:p>
          <w:p w14:paraId="48FA6B58">
            <w:pPr>
              <w:keepNext w:val="0"/>
              <w:keepLines w:val="0"/>
              <w:pageBreakBefore w:val="0"/>
              <w:widowControl w:val="0"/>
              <w:suppressLineNumbers w:val="0"/>
              <w:kinsoku/>
              <w:wordWrap/>
              <w:overflowPunct/>
              <w:topLinePunct w:val="0"/>
              <w:bidi w:val="0"/>
              <w:adjustRightInd/>
              <w:snapToGrid/>
              <w:spacing w:before="0" w:beforeAutospacing="0" w:after="0" w:afterAutospacing="0" w:line="440" w:lineRule="exact"/>
              <w:ind w:left="0" w:right="0" w:firstLine="0" w:firstLineChars="0"/>
              <w:jc w:val="both"/>
              <w:textAlignment w:val="auto"/>
              <w:rPr>
                <w:rFonts w:hint="eastAsia" w:ascii="宋体" w:hAnsi="宋体" w:eastAsia="宋体" w:cs="宋体"/>
                <w:b w:val="0"/>
                <w:bCs/>
                <w:color w:val="auto"/>
                <w:kern w:val="2"/>
                <w:sz w:val="24"/>
                <w:szCs w:val="24"/>
                <w:highlight w:val="none"/>
                <w:lang w:val="en-US" w:eastAsia="zh-CN"/>
              </w:rPr>
            </w:pPr>
            <w:bookmarkStart w:id="19" w:name="OLE_LINK13"/>
            <w:r>
              <w:rPr>
                <w:rFonts w:hint="eastAsia" w:ascii="宋体" w:hAnsi="宋体" w:eastAsia="宋体" w:cs="宋体"/>
                <w:b w:val="0"/>
                <w:bCs/>
                <w:color w:val="auto"/>
                <w:kern w:val="2"/>
                <w:sz w:val="24"/>
                <w:szCs w:val="24"/>
                <w:highlight w:val="none"/>
                <w:lang w:val="en-US" w:eastAsia="zh-CN"/>
              </w:rPr>
              <w:t>（1）“★”</w:t>
            </w:r>
            <w:bookmarkEnd w:id="19"/>
            <w:r>
              <w:rPr>
                <w:rFonts w:hint="eastAsia" w:ascii="宋体" w:hAnsi="宋体" w:eastAsia="宋体" w:cs="宋体"/>
                <w:b w:val="0"/>
                <w:bCs/>
                <w:color w:val="auto"/>
                <w:kern w:val="2"/>
                <w:sz w:val="24"/>
                <w:szCs w:val="24"/>
                <w:highlight w:val="none"/>
                <w:lang w:val="en-US" w:eastAsia="zh-CN"/>
              </w:rPr>
              <w:t>标识项的条款：代表重要指标，每满足一项得4分，共6项，共计24分；</w:t>
            </w:r>
          </w:p>
          <w:p w14:paraId="60F8100E">
            <w:pPr>
              <w:keepNext w:val="0"/>
              <w:keepLines w:val="0"/>
              <w:pageBreakBefore w:val="0"/>
              <w:widowControl w:val="0"/>
              <w:suppressLineNumbers w:val="0"/>
              <w:kinsoku/>
              <w:wordWrap/>
              <w:overflowPunct/>
              <w:topLinePunct w:val="0"/>
              <w:bidi w:val="0"/>
              <w:adjustRightInd/>
              <w:snapToGrid/>
              <w:spacing w:before="0" w:beforeAutospacing="0" w:after="0" w:afterAutospacing="0" w:line="440" w:lineRule="exact"/>
              <w:ind w:left="0" w:right="0" w:firstLine="0" w:firstLineChars="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（2）无标识项为基础项，全部满足得2分，否则不得分。</w:t>
            </w:r>
          </w:p>
          <w:p w14:paraId="1BCCE0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kern w:val="2"/>
                <w:sz w:val="24"/>
                <w:szCs w:val="24"/>
                <w:highlight w:val="none"/>
                <w:vertAlign w:val="baseline"/>
              </w:rPr>
            </w:pPr>
            <w:bookmarkStart w:id="20" w:name="OLE_LINK4"/>
            <w:r>
              <w:rPr>
                <w:rFonts w:hint="eastAsia" w:ascii="宋体" w:hAnsi="宋体" w:eastAsia="宋体" w:cs="宋体"/>
                <w:b/>
                <w:color w:val="auto"/>
                <w:kern w:val="2"/>
                <w:sz w:val="24"/>
                <w:szCs w:val="24"/>
                <w:highlight w:val="none"/>
              </w:rPr>
              <w:t>注：</w:t>
            </w:r>
            <w:r>
              <w:rPr>
                <w:rFonts w:hint="eastAsia" w:ascii="宋体" w:hAnsi="宋体" w:eastAsia="宋体" w:cs="宋体"/>
                <w:b/>
                <w:color w:val="auto"/>
                <w:kern w:val="2"/>
                <w:sz w:val="24"/>
                <w:szCs w:val="24"/>
                <w:highlight w:val="none"/>
                <w:lang w:val="en-US" w:eastAsia="zh-CN"/>
              </w:rPr>
              <w:t>以磋商响应表及采购需求中要求提供的证明材料作为评审依据。供应商</w:t>
            </w:r>
            <w:r>
              <w:rPr>
                <w:rFonts w:hint="eastAsia" w:ascii="宋体" w:hAnsi="宋体" w:eastAsia="宋体" w:cs="宋体"/>
                <w:b/>
                <w:color w:val="auto"/>
                <w:kern w:val="2"/>
                <w:sz w:val="24"/>
                <w:szCs w:val="24"/>
                <w:highlight w:val="none"/>
              </w:rPr>
              <w:t>可对证明内容进行逐一标注，以便</w:t>
            </w:r>
            <w:r>
              <w:rPr>
                <w:rFonts w:hint="eastAsia" w:ascii="宋体" w:hAnsi="宋体" w:eastAsia="宋体" w:cs="宋体"/>
                <w:b/>
                <w:color w:val="auto"/>
                <w:kern w:val="2"/>
                <w:sz w:val="24"/>
                <w:szCs w:val="24"/>
                <w:highlight w:val="none"/>
                <w:lang w:val="en-US" w:eastAsia="zh-CN"/>
              </w:rPr>
              <w:t>磋商小组</w:t>
            </w:r>
            <w:r>
              <w:rPr>
                <w:rFonts w:hint="eastAsia" w:ascii="宋体" w:hAnsi="宋体" w:eastAsia="宋体" w:cs="宋体"/>
                <w:b/>
                <w:color w:val="auto"/>
                <w:kern w:val="2"/>
                <w:sz w:val="24"/>
                <w:szCs w:val="24"/>
                <w:highlight w:val="none"/>
              </w:rPr>
              <w:t>评审。</w:t>
            </w:r>
            <w:bookmarkEnd w:id="20"/>
          </w:p>
        </w:tc>
        <w:tc>
          <w:tcPr>
            <w:tcW w:w="1079" w:type="dxa"/>
            <w:vAlign w:val="center"/>
          </w:tcPr>
          <w:p w14:paraId="2F1471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0-26分</w:t>
            </w:r>
          </w:p>
        </w:tc>
      </w:tr>
      <w:tr w14:paraId="7596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vMerge w:val="continue"/>
          </w:tcPr>
          <w:p w14:paraId="2AC232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kern w:val="2"/>
                <w:sz w:val="24"/>
                <w:szCs w:val="24"/>
                <w:vertAlign w:val="baseline"/>
              </w:rPr>
            </w:pPr>
          </w:p>
        </w:tc>
        <w:tc>
          <w:tcPr>
            <w:tcW w:w="1532" w:type="dxa"/>
            <w:vAlign w:val="center"/>
          </w:tcPr>
          <w:p w14:paraId="6B06F5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kern w:val="2"/>
                <w:sz w:val="24"/>
                <w:szCs w:val="24"/>
                <w:vertAlign w:val="baseline"/>
              </w:rPr>
            </w:pPr>
            <w:r>
              <w:rPr>
                <w:rFonts w:hint="eastAsia" w:ascii="宋体" w:hAnsi="宋体" w:eastAsia="宋体" w:cs="宋体"/>
                <w:color w:val="000000"/>
                <w:kern w:val="0"/>
                <w:sz w:val="24"/>
                <w:szCs w:val="24"/>
                <w:lang w:val="en-US" w:eastAsia="zh-CN" w:bidi="ar"/>
              </w:rPr>
              <w:t>供货及配送方案</w:t>
            </w:r>
          </w:p>
        </w:tc>
        <w:tc>
          <w:tcPr>
            <w:tcW w:w="5072" w:type="dxa"/>
          </w:tcPr>
          <w:p w14:paraId="70A4A2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根据响应文件中提供的供货及配送方案进行综合评审：</w:t>
            </w:r>
          </w:p>
          <w:p w14:paraId="22C63F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1、配送方案内容详实，组织安排全面细致，服务措施具有较强可行性的，得 5 分；</w:t>
            </w:r>
          </w:p>
          <w:p w14:paraId="32A94B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2、配送方案内容基本完整，组织安排基本满足项目需求，服务措施具有一定可行性的，得 3 分；</w:t>
            </w:r>
          </w:p>
          <w:p w14:paraId="02A298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3、配送方案细节待完善，安排待优化，服务措施待提升的，得 1 分。</w:t>
            </w:r>
          </w:p>
          <w:p w14:paraId="09A953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kern w:val="2"/>
                <w:sz w:val="24"/>
                <w:szCs w:val="24"/>
                <w:vertAlign w:val="baseline"/>
              </w:rPr>
            </w:pPr>
            <w:r>
              <w:rPr>
                <w:rFonts w:hint="eastAsia" w:ascii="宋体" w:hAnsi="宋体" w:eastAsia="宋体" w:cs="宋体"/>
                <w:b/>
                <w:bCs/>
                <w:color w:val="000000"/>
                <w:kern w:val="0"/>
                <w:sz w:val="24"/>
                <w:szCs w:val="24"/>
                <w:lang w:val="en-US" w:eastAsia="zh-CN" w:bidi="ar"/>
              </w:rPr>
              <w:t>注：未提供的不得分。</w:t>
            </w:r>
          </w:p>
        </w:tc>
        <w:tc>
          <w:tcPr>
            <w:tcW w:w="1079" w:type="dxa"/>
            <w:vAlign w:val="center"/>
          </w:tcPr>
          <w:p w14:paraId="6AD711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kern w:val="2"/>
                <w:sz w:val="24"/>
                <w:szCs w:val="24"/>
                <w:vertAlign w:val="baseline"/>
              </w:rPr>
            </w:pPr>
            <w:r>
              <w:rPr>
                <w:rFonts w:hint="eastAsia" w:ascii="宋体" w:hAnsi="宋体" w:eastAsia="宋体" w:cs="宋体"/>
                <w:color w:val="000000"/>
                <w:kern w:val="0"/>
                <w:sz w:val="24"/>
                <w:szCs w:val="24"/>
                <w:lang w:val="en-US" w:eastAsia="zh-CN" w:bidi="ar"/>
              </w:rPr>
              <w:t>0-5分</w:t>
            </w:r>
          </w:p>
        </w:tc>
      </w:tr>
      <w:tr w14:paraId="0FFB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vMerge w:val="restart"/>
          </w:tcPr>
          <w:p w14:paraId="7408FD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kern w:val="2"/>
                <w:sz w:val="24"/>
                <w:szCs w:val="24"/>
                <w:vertAlign w:val="baseline"/>
              </w:rPr>
            </w:pPr>
          </w:p>
        </w:tc>
        <w:tc>
          <w:tcPr>
            <w:tcW w:w="1532" w:type="dxa"/>
            <w:vAlign w:val="center"/>
          </w:tcPr>
          <w:p w14:paraId="6C3E88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2"/>
                <w:sz w:val="24"/>
                <w:szCs w:val="24"/>
                <w:vertAlign w:val="baseline"/>
              </w:rPr>
            </w:pPr>
            <w:r>
              <w:rPr>
                <w:rFonts w:hint="eastAsia" w:ascii="宋体" w:hAnsi="宋体" w:eastAsia="宋体" w:cs="宋体"/>
                <w:color w:val="auto"/>
                <w:kern w:val="0"/>
                <w:sz w:val="24"/>
                <w:szCs w:val="24"/>
                <w:lang w:val="en-US" w:eastAsia="zh-CN" w:bidi="ar"/>
              </w:rPr>
              <w:t>配送产品综合评价</w:t>
            </w:r>
          </w:p>
        </w:tc>
        <w:tc>
          <w:tcPr>
            <w:tcW w:w="5072" w:type="dxa"/>
          </w:tcPr>
          <w:p w14:paraId="58BF19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0"/>
                <w:sz w:val="24"/>
                <w:szCs w:val="24"/>
                <w:lang w:val="en-US" w:eastAsia="zh-CN" w:bidi="ar"/>
              </w:rPr>
              <w:t>供应商对所配送产品安全性性价比进行阐述，</w:t>
            </w:r>
            <w:r>
              <w:rPr>
                <w:rFonts w:hint="eastAsia" w:ascii="宋体" w:hAnsi="宋体" w:eastAsia="宋体" w:cs="宋体"/>
                <w:b w:val="0"/>
                <w:bCs/>
                <w:color w:val="auto"/>
                <w:kern w:val="2"/>
                <w:sz w:val="24"/>
                <w:szCs w:val="24"/>
                <w:highlight w:val="none"/>
              </w:rPr>
              <w:t>磋商小组</w:t>
            </w:r>
            <w:r>
              <w:rPr>
                <w:rFonts w:hint="eastAsia" w:ascii="宋体" w:hAnsi="宋体" w:eastAsia="宋体" w:cs="宋体"/>
                <w:color w:val="auto"/>
                <w:kern w:val="0"/>
                <w:sz w:val="24"/>
                <w:szCs w:val="24"/>
                <w:lang w:val="en-US" w:eastAsia="zh-CN" w:bidi="ar"/>
              </w:rPr>
              <w:t>进行综合评审：</w:t>
            </w:r>
          </w:p>
          <w:p w14:paraId="0EFF4E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0"/>
                <w:sz w:val="24"/>
                <w:szCs w:val="24"/>
                <w:lang w:val="en-US" w:eastAsia="zh-CN" w:bidi="ar"/>
              </w:rPr>
              <w:t xml:space="preserve">1、所配送产品安全性可靠、供应链稳定、生产工艺精细、耐久性及使用便利性强，有利于项目实施的，得 5 分； </w:t>
            </w:r>
          </w:p>
          <w:p w14:paraId="516AC9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0"/>
                <w:sz w:val="24"/>
                <w:szCs w:val="24"/>
                <w:lang w:val="en-US" w:eastAsia="zh-CN" w:bidi="ar"/>
              </w:rPr>
              <w:t>2、所配送产品安全性稳定、供应链较完善，生产工艺较为稳定，基本满足项目需求的，得 3 分；</w:t>
            </w:r>
          </w:p>
          <w:p w14:paraId="2EB74E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0"/>
                <w:sz w:val="24"/>
                <w:szCs w:val="24"/>
                <w:lang w:val="en-US" w:eastAsia="zh-CN" w:bidi="ar"/>
              </w:rPr>
              <w:t>3、所配送产品安全性有待提升、生产工艺粗糙，与项目需求有偏差的，得 1 分。</w:t>
            </w:r>
          </w:p>
          <w:p w14:paraId="6F095E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0"/>
                <w:sz w:val="24"/>
                <w:szCs w:val="24"/>
                <w:lang w:val="en-US" w:eastAsia="zh-CN" w:bidi="ar"/>
              </w:rPr>
              <w:t>4、未提供的不得分。</w:t>
            </w:r>
          </w:p>
          <w:p w14:paraId="5007B1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color w:val="auto"/>
                <w:kern w:val="2"/>
                <w:sz w:val="24"/>
                <w:szCs w:val="24"/>
                <w:vertAlign w:val="baseline"/>
              </w:rPr>
            </w:pPr>
            <w:r>
              <w:rPr>
                <w:rFonts w:hint="eastAsia" w:ascii="宋体" w:hAnsi="宋体" w:eastAsia="宋体" w:cs="宋体"/>
                <w:b/>
                <w:bCs/>
                <w:color w:val="auto"/>
                <w:kern w:val="0"/>
                <w:sz w:val="24"/>
                <w:szCs w:val="24"/>
                <w:lang w:val="en-US" w:eastAsia="zh-CN" w:bidi="ar"/>
              </w:rPr>
              <w:t>注：响应文件中提供相关证明材料扫描件证明所配送产品综合性能情况，具体形式不限，如产品说明书、技术彩页资料、所获荣誉奖项等，未提供任何材料的不得分。</w:t>
            </w:r>
          </w:p>
        </w:tc>
        <w:tc>
          <w:tcPr>
            <w:tcW w:w="1079" w:type="dxa"/>
            <w:vAlign w:val="center"/>
          </w:tcPr>
          <w:p w14:paraId="64128A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kern w:val="2"/>
                <w:sz w:val="24"/>
                <w:szCs w:val="24"/>
                <w:vertAlign w:val="baseline"/>
              </w:rPr>
            </w:pPr>
            <w:r>
              <w:rPr>
                <w:rFonts w:hint="eastAsia" w:ascii="宋体" w:hAnsi="宋体" w:eastAsia="宋体" w:cs="宋体"/>
                <w:color w:val="000000"/>
                <w:kern w:val="0"/>
                <w:sz w:val="24"/>
                <w:szCs w:val="24"/>
                <w:lang w:val="en-US" w:eastAsia="zh-CN" w:bidi="ar"/>
              </w:rPr>
              <w:t>0-5分</w:t>
            </w:r>
          </w:p>
        </w:tc>
      </w:tr>
      <w:tr w14:paraId="1FAB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vMerge w:val="continue"/>
          </w:tcPr>
          <w:p w14:paraId="338356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kern w:val="2"/>
                <w:sz w:val="24"/>
                <w:szCs w:val="24"/>
                <w:vertAlign w:val="baseline"/>
              </w:rPr>
            </w:pPr>
          </w:p>
        </w:tc>
        <w:tc>
          <w:tcPr>
            <w:tcW w:w="1532" w:type="dxa"/>
            <w:vAlign w:val="center"/>
          </w:tcPr>
          <w:p w14:paraId="7127B8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kern w:val="2"/>
                <w:sz w:val="24"/>
                <w:szCs w:val="24"/>
                <w:vertAlign w:val="baseline"/>
              </w:rPr>
            </w:pPr>
            <w:r>
              <w:rPr>
                <w:rFonts w:hint="eastAsia" w:ascii="宋体" w:hAnsi="宋体" w:eastAsia="宋体" w:cs="宋体"/>
                <w:color w:val="000000"/>
                <w:kern w:val="0"/>
                <w:sz w:val="24"/>
                <w:szCs w:val="24"/>
                <w:lang w:val="en-US" w:eastAsia="zh-CN" w:bidi="ar"/>
              </w:rPr>
              <w:t>售后服务承诺</w:t>
            </w:r>
          </w:p>
        </w:tc>
        <w:tc>
          <w:tcPr>
            <w:tcW w:w="5072" w:type="dxa"/>
          </w:tcPr>
          <w:p w14:paraId="554AF5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根据响应文件中提供的售后服务承诺进行综合评审： </w:t>
            </w:r>
          </w:p>
          <w:p w14:paraId="586811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1、承诺内容全面深入、详尽，覆盖面广的，得 5 分；</w:t>
            </w:r>
          </w:p>
          <w:p w14:paraId="45B110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2、承诺内容较为贴切、符合实际，具有实用性的，得 3 分；</w:t>
            </w:r>
          </w:p>
          <w:p w14:paraId="6E3A58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3、承诺内容基本符合要求的，内容有待完善的，得 1 分。</w:t>
            </w:r>
          </w:p>
          <w:p w14:paraId="002D38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kern w:val="2"/>
                <w:sz w:val="24"/>
                <w:szCs w:val="24"/>
                <w:vertAlign w:val="baseline"/>
              </w:rPr>
            </w:pPr>
            <w:r>
              <w:rPr>
                <w:rFonts w:hint="eastAsia" w:ascii="宋体" w:hAnsi="宋体" w:eastAsia="宋体" w:cs="宋体"/>
                <w:b/>
                <w:bCs/>
                <w:color w:val="000000"/>
                <w:kern w:val="0"/>
                <w:sz w:val="24"/>
                <w:szCs w:val="24"/>
                <w:lang w:val="en-US" w:eastAsia="zh-CN" w:bidi="ar"/>
              </w:rPr>
              <w:t>注：未提供的不得分。</w:t>
            </w:r>
          </w:p>
        </w:tc>
        <w:tc>
          <w:tcPr>
            <w:tcW w:w="1079" w:type="dxa"/>
            <w:vAlign w:val="center"/>
          </w:tcPr>
          <w:p w14:paraId="70F154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kern w:val="2"/>
                <w:sz w:val="24"/>
                <w:szCs w:val="24"/>
                <w:vertAlign w:val="baseline"/>
              </w:rPr>
            </w:pPr>
            <w:r>
              <w:rPr>
                <w:rFonts w:hint="eastAsia" w:ascii="宋体" w:hAnsi="宋体" w:eastAsia="宋体" w:cs="宋体"/>
                <w:color w:val="000000"/>
                <w:kern w:val="0"/>
                <w:sz w:val="24"/>
                <w:szCs w:val="24"/>
                <w:lang w:val="en-US" w:eastAsia="zh-CN" w:bidi="ar"/>
              </w:rPr>
              <w:t>0-5分</w:t>
            </w:r>
          </w:p>
        </w:tc>
      </w:tr>
      <w:tr w14:paraId="7829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tcPr>
          <w:p w14:paraId="63B5E0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kern w:val="2"/>
                <w:sz w:val="24"/>
                <w:szCs w:val="24"/>
                <w:vertAlign w:val="baseline"/>
              </w:rPr>
            </w:pPr>
          </w:p>
        </w:tc>
        <w:tc>
          <w:tcPr>
            <w:tcW w:w="1532" w:type="dxa"/>
            <w:vAlign w:val="center"/>
          </w:tcPr>
          <w:p w14:paraId="60B452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kern w:val="2"/>
                <w:sz w:val="24"/>
                <w:szCs w:val="24"/>
                <w:vertAlign w:val="baseline"/>
              </w:rPr>
            </w:pPr>
            <w:r>
              <w:rPr>
                <w:rFonts w:hint="eastAsia" w:ascii="宋体" w:hAnsi="宋体" w:eastAsia="宋体" w:cs="宋体"/>
                <w:color w:val="000000"/>
                <w:kern w:val="0"/>
                <w:sz w:val="24"/>
                <w:szCs w:val="24"/>
                <w:lang w:val="en-US" w:eastAsia="zh-CN" w:bidi="ar"/>
              </w:rPr>
              <w:t>人员配备方案</w:t>
            </w:r>
          </w:p>
        </w:tc>
        <w:tc>
          <w:tcPr>
            <w:tcW w:w="5072" w:type="dxa"/>
          </w:tcPr>
          <w:p w14:paraId="2638BA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b/>
                <w:bCs/>
                <w:kern w:val="2"/>
                <w:sz w:val="24"/>
                <w:szCs w:val="24"/>
              </w:rPr>
            </w:pPr>
            <w:r>
              <w:rPr>
                <w:rFonts w:hint="eastAsia" w:ascii="宋体" w:hAnsi="宋体" w:eastAsia="宋体" w:cs="宋体"/>
                <w:b/>
                <w:bCs/>
                <w:color w:val="000000"/>
                <w:kern w:val="0"/>
                <w:sz w:val="24"/>
                <w:szCs w:val="24"/>
                <w:lang w:val="en-US" w:eastAsia="zh-CN" w:bidi="ar"/>
              </w:rPr>
              <w:t>根据响应文件中提供的服务人员配备情况进行综合评审：</w:t>
            </w:r>
          </w:p>
          <w:p w14:paraId="0F255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1、方案内容详实、表述清晰，服务人员配备充足的，得 5 分；</w:t>
            </w:r>
          </w:p>
          <w:p w14:paraId="272CD5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2、内容完整、表述较清晰，配备服务人员满足项目需求，得 3 分；</w:t>
            </w:r>
          </w:p>
          <w:p w14:paraId="67BDED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3、内容不完整、表达不清晰，服务人员配备有待完善的，得 1 分； </w:t>
            </w:r>
          </w:p>
          <w:p w14:paraId="1F3203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kern w:val="2"/>
                <w:sz w:val="24"/>
                <w:szCs w:val="24"/>
                <w:vertAlign w:val="baseline"/>
              </w:rPr>
            </w:pPr>
            <w:r>
              <w:rPr>
                <w:rFonts w:hint="eastAsia" w:ascii="宋体" w:hAnsi="宋体" w:eastAsia="宋体" w:cs="宋体"/>
                <w:b/>
                <w:bCs/>
                <w:color w:val="000000"/>
                <w:kern w:val="0"/>
                <w:sz w:val="24"/>
                <w:szCs w:val="24"/>
                <w:lang w:val="en-US" w:eastAsia="zh-CN" w:bidi="ar"/>
              </w:rPr>
              <w:t>注：未提供的不得分。</w:t>
            </w:r>
          </w:p>
        </w:tc>
        <w:tc>
          <w:tcPr>
            <w:tcW w:w="1079" w:type="dxa"/>
            <w:vAlign w:val="center"/>
          </w:tcPr>
          <w:p w14:paraId="74D016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kern w:val="2"/>
                <w:sz w:val="24"/>
                <w:szCs w:val="24"/>
                <w:vertAlign w:val="baseline"/>
              </w:rPr>
            </w:pPr>
            <w:r>
              <w:rPr>
                <w:rFonts w:hint="eastAsia" w:ascii="宋体" w:hAnsi="宋体" w:eastAsia="宋体" w:cs="宋体"/>
                <w:color w:val="000000"/>
                <w:kern w:val="0"/>
                <w:sz w:val="24"/>
                <w:szCs w:val="24"/>
                <w:lang w:val="en-US" w:eastAsia="zh-CN" w:bidi="ar"/>
              </w:rPr>
              <w:t>0-5分</w:t>
            </w:r>
          </w:p>
        </w:tc>
      </w:tr>
      <w:tr w14:paraId="795F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tcPr>
          <w:p w14:paraId="2D0C3A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kern w:val="2"/>
                <w:sz w:val="24"/>
                <w:szCs w:val="24"/>
                <w:vertAlign w:val="baseline"/>
              </w:rPr>
            </w:pPr>
          </w:p>
        </w:tc>
        <w:tc>
          <w:tcPr>
            <w:tcW w:w="1532" w:type="dxa"/>
            <w:vAlign w:val="center"/>
          </w:tcPr>
          <w:p w14:paraId="71E25A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kern w:val="2"/>
                <w:sz w:val="24"/>
                <w:szCs w:val="24"/>
                <w:vertAlign w:val="baseline"/>
              </w:rPr>
            </w:pPr>
            <w:r>
              <w:rPr>
                <w:rFonts w:hint="eastAsia" w:ascii="宋体" w:hAnsi="宋体" w:eastAsia="宋体" w:cs="宋体"/>
                <w:color w:val="000000"/>
                <w:kern w:val="0"/>
                <w:sz w:val="24"/>
                <w:szCs w:val="24"/>
                <w:lang w:val="en-US" w:eastAsia="zh-CN" w:bidi="ar"/>
              </w:rPr>
              <w:t>场所配备及条件</w:t>
            </w:r>
          </w:p>
        </w:tc>
        <w:tc>
          <w:tcPr>
            <w:tcW w:w="5072" w:type="dxa"/>
          </w:tcPr>
          <w:p w14:paraId="566573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1、供应商具有合适的贮存技术条件（仓库）的，得 3分。</w:t>
            </w:r>
          </w:p>
          <w:p w14:paraId="2A9824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kern w:val="2"/>
                <w:sz w:val="24"/>
                <w:szCs w:val="24"/>
              </w:rPr>
            </w:pPr>
            <w:r>
              <w:rPr>
                <w:rFonts w:hint="eastAsia" w:ascii="宋体" w:hAnsi="宋体" w:eastAsia="宋体" w:cs="宋体"/>
                <w:b/>
                <w:bCs/>
                <w:color w:val="000000"/>
                <w:kern w:val="0"/>
                <w:sz w:val="24"/>
                <w:szCs w:val="24"/>
                <w:lang w:val="en-US" w:eastAsia="zh-CN" w:bidi="ar"/>
              </w:rPr>
              <w:t>注：若为自有，响应文件中</w:t>
            </w:r>
            <w:r>
              <w:rPr>
                <w:rFonts w:hint="eastAsia" w:ascii="宋体" w:hAnsi="宋体" w:eastAsia="宋体" w:cs="宋体"/>
                <w:b/>
                <w:bCs/>
                <w:color w:val="auto"/>
                <w:kern w:val="0"/>
                <w:sz w:val="24"/>
                <w:szCs w:val="24"/>
                <w:highlight w:val="none"/>
                <w:lang w:val="en-US" w:eastAsia="zh-CN" w:bidi="ar"/>
              </w:rPr>
              <w:t>提供仓库产权证明和仓库照片，若为租赁，响应文件中提供仓库租赁合同扫描件和仓库照片。上述评审材料须体现关键评审信息，否则不予认可。</w:t>
            </w:r>
          </w:p>
          <w:p w14:paraId="4F7DA0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2、供应商具备冷链运输条件，得 3 分。</w:t>
            </w:r>
          </w:p>
          <w:p w14:paraId="6E7BA9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注：</w:t>
            </w:r>
          </w:p>
          <w:p w14:paraId="28D1CB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（1）冷链运输条件系指冷链设备（如冷链箱、冷藏车、冰箱、冷藏箱、低温冰箱、普通冰箱等），设备包装带有冷冻剂和温控监测设备。</w:t>
            </w:r>
          </w:p>
          <w:p w14:paraId="569C29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kern w:val="2"/>
                <w:sz w:val="24"/>
                <w:szCs w:val="24"/>
              </w:rPr>
            </w:pPr>
            <w:r>
              <w:rPr>
                <w:rFonts w:hint="eastAsia" w:ascii="宋体" w:hAnsi="宋体" w:eastAsia="宋体" w:cs="宋体"/>
                <w:b/>
                <w:bCs/>
                <w:color w:val="000000"/>
                <w:kern w:val="0"/>
                <w:sz w:val="24"/>
                <w:szCs w:val="24"/>
                <w:lang w:val="en-US" w:eastAsia="zh-CN" w:bidi="ar"/>
              </w:rPr>
              <w:t>（2）响应文件中同时提供：①（如为自有）设备购买发票扫描件和设备照片（须体现带有冷冻剂和带温控监测设备等关键评审内容）；②（如为租赁）设备租赁合同扫描件和设备照片（须体现带有冷冻剂和带温控监测设备等关键评审内容）。</w:t>
            </w:r>
          </w:p>
          <w:p w14:paraId="71906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kern w:val="2"/>
                <w:sz w:val="24"/>
                <w:szCs w:val="24"/>
                <w:vertAlign w:val="baseline"/>
              </w:rPr>
            </w:pPr>
            <w:r>
              <w:rPr>
                <w:rFonts w:hint="eastAsia" w:ascii="宋体" w:hAnsi="宋体" w:eastAsia="宋体" w:cs="宋体"/>
                <w:b/>
                <w:bCs/>
                <w:color w:val="000000"/>
                <w:kern w:val="0"/>
                <w:sz w:val="24"/>
                <w:szCs w:val="24"/>
                <w:lang w:val="en-US" w:eastAsia="zh-CN" w:bidi="ar"/>
              </w:rPr>
              <w:t>（3）上述材料须能体现关键评审因素，否则不得分。</w:t>
            </w:r>
          </w:p>
        </w:tc>
        <w:tc>
          <w:tcPr>
            <w:tcW w:w="1079" w:type="dxa"/>
            <w:vAlign w:val="center"/>
          </w:tcPr>
          <w:p w14:paraId="6526BC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kern w:val="2"/>
                <w:sz w:val="24"/>
                <w:szCs w:val="24"/>
                <w:vertAlign w:val="baseline"/>
              </w:rPr>
            </w:pPr>
            <w:r>
              <w:rPr>
                <w:rFonts w:hint="eastAsia" w:ascii="宋体" w:hAnsi="宋体" w:eastAsia="宋体" w:cs="宋体"/>
                <w:color w:val="000000"/>
                <w:kern w:val="0"/>
                <w:sz w:val="24"/>
                <w:szCs w:val="24"/>
                <w:lang w:val="en-US" w:eastAsia="zh-CN" w:bidi="ar"/>
              </w:rPr>
              <w:t>0-6分</w:t>
            </w:r>
          </w:p>
        </w:tc>
      </w:tr>
      <w:tr w14:paraId="0401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tcPr>
          <w:p w14:paraId="4C66EB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kern w:val="2"/>
                <w:sz w:val="24"/>
                <w:szCs w:val="24"/>
                <w:vertAlign w:val="baseline"/>
              </w:rPr>
            </w:pPr>
          </w:p>
        </w:tc>
        <w:tc>
          <w:tcPr>
            <w:tcW w:w="1532" w:type="dxa"/>
            <w:vAlign w:val="center"/>
          </w:tcPr>
          <w:p w14:paraId="418F85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产品业绩</w:t>
            </w:r>
          </w:p>
          <w:p w14:paraId="628627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kern w:val="2"/>
                <w:sz w:val="24"/>
                <w:szCs w:val="24"/>
                <w:vertAlign w:val="baseline"/>
              </w:rPr>
            </w:pPr>
          </w:p>
        </w:tc>
        <w:tc>
          <w:tcPr>
            <w:tcW w:w="5072" w:type="dxa"/>
          </w:tcPr>
          <w:p w14:paraId="460FB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自2023年1月1日以来</w:t>
            </w:r>
            <w:r>
              <w:rPr>
                <w:rFonts w:hint="eastAsia" w:ascii="宋体" w:hAnsi="宋体" w:eastAsia="宋体" w:cs="宋体"/>
                <w:b/>
                <w:bCs/>
                <w:color w:val="000000"/>
                <w:kern w:val="0"/>
                <w:sz w:val="24"/>
                <w:szCs w:val="24"/>
                <w:lang w:val="en-US" w:eastAsia="zh-CN" w:bidi="ar"/>
              </w:rPr>
              <w:t>（以合同签订时间或开票日期为准）</w:t>
            </w:r>
            <w:r>
              <w:rPr>
                <w:rFonts w:hint="eastAsia" w:ascii="宋体" w:hAnsi="宋体" w:eastAsia="宋体" w:cs="宋体"/>
                <w:color w:val="000000"/>
                <w:kern w:val="0"/>
                <w:sz w:val="24"/>
                <w:szCs w:val="24"/>
                <w:lang w:val="en-US" w:eastAsia="zh-CN" w:bidi="ar"/>
              </w:rPr>
              <w:t>，</w:t>
            </w:r>
            <w:r>
              <w:rPr>
                <w:rFonts w:hint="eastAsia" w:ascii="宋体" w:hAnsi="宋体" w:eastAsia="宋体" w:cs="宋体"/>
                <w:b w:val="0"/>
                <w:bCs w:val="0"/>
                <w:color w:val="000000"/>
                <w:kern w:val="0"/>
                <w:sz w:val="24"/>
                <w:szCs w:val="24"/>
                <w:u w:val="single"/>
                <w:lang w:val="en-US" w:eastAsia="zh-CN" w:bidi="ar"/>
              </w:rPr>
              <w:t>所配送任一标注</w:t>
            </w:r>
            <w:r>
              <w:rPr>
                <w:rFonts w:hint="eastAsia" w:ascii="宋体" w:hAnsi="宋体" w:eastAsia="宋体" w:cs="宋体"/>
                <w:b w:val="0"/>
                <w:bCs w:val="0"/>
                <w:color w:val="000000"/>
                <w:kern w:val="0"/>
                <w:sz w:val="24"/>
                <w:szCs w:val="24"/>
                <w:highlight w:val="none"/>
                <w:u w:val="single"/>
                <w:lang w:val="en-US" w:eastAsia="zh-CN" w:bidi="ar"/>
              </w:rPr>
              <w:t>“</w:t>
            </w:r>
            <w:r>
              <w:rPr>
                <w:rFonts w:hint="eastAsia" w:ascii="宋体" w:hAnsi="宋体" w:eastAsia="宋体" w:cs="宋体"/>
                <w:b w:val="0"/>
                <w:bCs w:val="0"/>
                <w:strike w:val="0"/>
                <w:dstrike w:val="0"/>
                <w:color w:val="auto"/>
                <w:kern w:val="0"/>
                <w:sz w:val="24"/>
                <w:szCs w:val="24"/>
                <w:highlight w:val="none"/>
                <w:u w:val="single"/>
                <w:lang w:val="en-US" w:eastAsia="zh-CN" w:bidi="ar"/>
              </w:rPr>
              <w:t>■</w:t>
            </w:r>
            <w:r>
              <w:rPr>
                <w:rFonts w:hint="eastAsia" w:ascii="宋体" w:hAnsi="宋体" w:eastAsia="宋体" w:cs="宋体"/>
                <w:b w:val="0"/>
                <w:bCs w:val="0"/>
                <w:color w:val="000000"/>
                <w:kern w:val="0"/>
                <w:sz w:val="24"/>
                <w:szCs w:val="24"/>
                <w:highlight w:val="none"/>
                <w:u w:val="single"/>
                <w:lang w:val="en-US" w:eastAsia="zh-CN" w:bidi="ar"/>
              </w:rPr>
              <w:t>”</w:t>
            </w:r>
            <w:r>
              <w:rPr>
                <w:rFonts w:hint="eastAsia" w:ascii="宋体" w:hAnsi="宋体" w:eastAsia="宋体" w:cs="宋体"/>
                <w:b w:val="0"/>
                <w:bCs w:val="0"/>
                <w:color w:val="000000"/>
                <w:kern w:val="0"/>
                <w:sz w:val="24"/>
                <w:szCs w:val="24"/>
                <w:u w:val="single"/>
                <w:lang w:val="en-US" w:eastAsia="zh-CN" w:bidi="ar"/>
              </w:rPr>
              <w:t>产品具有供货（或配送）业绩（业绩中供货或配送产品的适配机型须与本次所供货或配送产品的适配机型同品牌同型号）</w:t>
            </w:r>
            <w:r>
              <w:rPr>
                <w:rFonts w:hint="eastAsia" w:ascii="宋体" w:hAnsi="宋体" w:eastAsia="宋体" w:cs="宋体"/>
                <w:color w:val="000000"/>
                <w:kern w:val="0"/>
                <w:sz w:val="24"/>
                <w:szCs w:val="24"/>
                <w:lang w:val="en-US" w:eastAsia="zh-CN" w:bidi="ar"/>
              </w:rPr>
              <w:t>，每提供1个业绩得3分，满分15分。</w:t>
            </w:r>
          </w:p>
          <w:p w14:paraId="5A476C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kern w:val="2"/>
                <w:sz w:val="24"/>
                <w:szCs w:val="24"/>
              </w:rPr>
            </w:pPr>
            <w:r>
              <w:rPr>
                <w:rFonts w:hint="eastAsia" w:ascii="宋体" w:hAnsi="宋体" w:eastAsia="宋体" w:cs="宋体"/>
                <w:b/>
                <w:bCs/>
                <w:color w:val="000000"/>
                <w:kern w:val="0"/>
                <w:sz w:val="24"/>
                <w:szCs w:val="24"/>
                <w:lang w:val="en-US" w:eastAsia="zh-CN" w:bidi="ar"/>
              </w:rPr>
              <w:t>注：（1）此处业绩系指产品业绩，不限合同签订主体；</w:t>
            </w:r>
          </w:p>
          <w:p w14:paraId="3E67F8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kern w:val="2"/>
                <w:sz w:val="24"/>
                <w:szCs w:val="24"/>
              </w:rPr>
            </w:pPr>
            <w:r>
              <w:rPr>
                <w:rFonts w:hint="eastAsia" w:ascii="宋体" w:hAnsi="宋体" w:eastAsia="宋体" w:cs="宋体"/>
                <w:b/>
                <w:bCs/>
                <w:color w:val="000000"/>
                <w:kern w:val="0"/>
                <w:sz w:val="24"/>
                <w:szCs w:val="24"/>
                <w:lang w:val="en-US" w:eastAsia="zh-CN" w:bidi="ar"/>
              </w:rPr>
              <w:t>（2）响应文件中提供合同扫描件</w:t>
            </w:r>
            <w:r>
              <w:rPr>
                <w:rFonts w:hint="eastAsia" w:ascii="宋体" w:hAnsi="宋体" w:eastAsia="宋体" w:cs="宋体"/>
                <w:b/>
                <w:bCs/>
                <w:color w:val="auto"/>
                <w:kern w:val="0"/>
                <w:sz w:val="24"/>
                <w:szCs w:val="24"/>
                <w:lang w:val="en-US" w:eastAsia="zh-CN" w:bidi="ar"/>
              </w:rPr>
              <w:t>和</w:t>
            </w:r>
            <w:r>
              <w:rPr>
                <w:rFonts w:hint="eastAsia" w:ascii="宋体" w:hAnsi="宋体" w:eastAsia="宋体" w:cs="宋体"/>
                <w:b/>
                <w:bCs/>
                <w:color w:val="000000"/>
                <w:kern w:val="0"/>
                <w:sz w:val="24"/>
                <w:szCs w:val="24"/>
                <w:lang w:val="en-US" w:eastAsia="zh-CN" w:bidi="ar"/>
              </w:rPr>
              <w:t>产品发票扫描件。如上述材料中无法体现签订时间（或开票日期）、适配机型的品牌型号等关键评审因素的，须同时提供业主单位加盖公章证明材料扫描件加以明确说明，否则不得分；</w:t>
            </w:r>
          </w:p>
          <w:p w14:paraId="101523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kern w:val="2"/>
                <w:sz w:val="24"/>
                <w:szCs w:val="24"/>
              </w:rPr>
            </w:pPr>
            <w:r>
              <w:rPr>
                <w:rFonts w:hint="eastAsia" w:ascii="宋体" w:hAnsi="宋体" w:eastAsia="宋体" w:cs="宋体"/>
                <w:b/>
                <w:bCs/>
                <w:color w:val="000000"/>
                <w:kern w:val="0"/>
                <w:sz w:val="24"/>
                <w:szCs w:val="24"/>
                <w:lang w:val="en-US" w:eastAsia="zh-CN" w:bidi="ar"/>
              </w:rPr>
              <w:t>（3）同一</w:t>
            </w:r>
            <w:r>
              <w:rPr>
                <w:rFonts w:hint="eastAsia" w:ascii="宋体" w:hAnsi="宋体" w:eastAsia="宋体" w:cs="宋体"/>
                <w:b/>
                <w:bCs/>
                <w:color w:val="auto"/>
                <w:kern w:val="0"/>
                <w:sz w:val="24"/>
                <w:szCs w:val="24"/>
                <w:highlight w:val="none"/>
                <w:lang w:val="en-US" w:eastAsia="zh-CN" w:bidi="ar"/>
              </w:rPr>
              <w:t>合同甲方</w:t>
            </w:r>
            <w:r>
              <w:rPr>
                <w:rFonts w:hint="eastAsia" w:ascii="宋体" w:hAnsi="宋体" w:eastAsia="宋体" w:cs="宋体"/>
                <w:b/>
                <w:bCs/>
                <w:color w:val="auto"/>
                <w:kern w:val="0"/>
                <w:sz w:val="24"/>
                <w:szCs w:val="24"/>
                <w:lang w:val="en-US" w:eastAsia="zh-CN" w:bidi="ar"/>
              </w:rPr>
              <w:t>的合同和发</w:t>
            </w:r>
            <w:r>
              <w:rPr>
                <w:rFonts w:hint="eastAsia" w:ascii="宋体" w:hAnsi="宋体" w:eastAsia="宋体" w:cs="宋体"/>
                <w:b/>
                <w:bCs/>
                <w:color w:val="000000"/>
                <w:kern w:val="0"/>
                <w:sz w:val="24"/>
                <w:szCs w:val="24"/>
                <w:lang w:val="en-US" w:eastAsia="zh-CN" w:bidi="ar"/>
              </w:rPr>
              <w:t>票均按一个业绩认定，只计一次分；同一业绩包含多个符合要求的产品业绩不累计计分，仅计一次分；</w:t>
            </w:r>
          </w:p>
          <w:p w14:paraId="02B067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kern w:val="2"/>
                <w:sz w:val="24"/>
                <w:szCs w:val="24"/>
                <w:vertAlign w:val="baseline"/>
              </w:rPr>
            </w:pPr>
            <w:r>
              <w:rPr>
                <w:rFonts w:hint="eastAsia" w:ascii="宋体" w:hAnsi="宋体" w:eastAsia="宋体" w:cs="宋体"/>
                <w:b/>
                <w:bCs/>
                <w:color w:val="000000"/>
                <w:kern w:val="0"/>
                <w:sz w:val="24"/>
                <w:szCs w:val="24"/>
                <w:lang w:val="en-US" w:eastAsia="zh-CN" w:bidi="ar"/>
              </w:rPr>
              <w:t>（4）已完成业绩和正在履约业绩均予以认可。</w:t>
            </w:r>
          </w:p>
        </w:tc>
        <w:tc>
          <w:tcPr>
            <w:tcW w:w="1079" w:type="dxa"/>
            <w:vAlign w:val="center"/>
          </w:tcPr>
          <w:p w14:paraId="62E3F2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kern w:val="2"/>
                <w:sz w:val="24"/>
                <w:szCs w:val="24"/>
                <w:vertAlign w:val="baseline"/>
              </w:rPr>
            </w:pPr>
            <w:r>
              <w:rPr>
                <w:rFonts w:hint="eastAsia" w:ascii="宋体" w:hAnsi="宋体" w:eastAsia="宋体" w:cs="宋体"/>
                <w:color w:val="000000"/>
                <w:kern w:val="0"/>
                <w:sz w:val="24"/>
                <w:szCs w:val="24"/>
                <w:lang w:val="en-US" w:eastAsia="zh-CN" w:bidi="ar"/>
              </w:rPr>
              <w:t>0-15分</w:t>
            </w:r>
          </w:p>
        </w:tc>
      </w:tr>
      <w:tr w14:paraId="6853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tcPr>
          <w:p w14:paraId="4B2DE6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kern w:val="2"/>
                <w:sz w:val="24"/>
                <w:szCs w:val="24"/>
                <w:vertAlign w:val="baseline"/>
              </w:rPr>
            </w:pPr>
          </w:p>
        </w:tc>
        <w:tc>
          <w:tcPr>
            <w:tcW w:w="1532" w:type="dxa"/>
            <w:vAlign w:val="center"/>
          </w:tcPr>
          <w:p w14:paraId="63E568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kern w:val="2"/>
                <w:sz w:val="24"/>
                <w:szCs w:val="24"/>
                <w:vertAlign w:val="baseline"/>
              </w:rPr>
            </w:pPr>
            <w:r>
              <w:rPr>
                <w:rFonts w:hint="eastAsia" w:ascii="宋体" w:hAnsi="宋体" w:eastAsia="宋体" w:cs="宋体"/>
                <w:color w:val="000000"/>
                <w:kern w:val="0"/>
                <w:sz w:val="24"/>
                <w:szCs w:val="24"/>
                <w:lang w:val="en-US" w:eastAsia="zh-CN" w:bidi="ar"/>
              </w:rPr>
              <w:t>产品追溯</w:t>
            </w:r>
          </w:p>
        </w:tc>
        <w:tc>
          <w:tcPr>
            <w:tcW w:w="5072" w:type="dxa"/>
          </w:tcPr>
          <w:p w14:paraId="76A836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default" w:ascii="Times New Roman" w:hAnsi="Times New Roman" w:eastAsia="宋体" w:cs="Times New Roman"/>
                <w:kern w:val="2"/>
                <w:sz w:val="24"/>
                <w:szCs w:val="24"/>
              </w:rPr>
            </w:pPr>
            <w:r>
              <w:rPr>
                <w:rFonts w:hint="eastAsia" w:ascii="宋体" w:hAnsi="宋体" w:eastAsia="宋体" w:cs="宋体"/>
                <w:color w:val="000000"/>
                <w:kern w:val="0"/>
                <w:sz w:val="24"/>
                <w:szCs w:val="24"/>
                <w:lang w:val="en-US" w:eastAsia="zh-CN" w:bidi="ar"/>
              </w:rPr>
              <w:t>供应商所投包别范围内配送的所有产品具有所投产品生产厂家针对本项目的授权委托书的，得 3 分。</w:t>
            </w:r>
          </w:p>
          <w:p w14:paraId="4C8617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default" w:ascii="Times New Roman" w:hAnsi="Times New Roman" w:eastAsia="宋体" w:cs="Times New Roman"/>
                <w:kern w:val="2"/>
                <w:sz w:val="24"/>
                <w:szCs w:val="24"/>
              </w:rPr>
            </w:pPr>
            <w:r>
              <w:rPr>
                <w:rFonts w:hint="eastAsia" w:ascii="宋体" w:hAnsi="宋体" w:eastAsia="宋体" w:cs="宋体"/>
                <w:b/>
                <w:bCs/>
                <w:color w:val="000000"/>
                <w:kern w:val="0"/>
                <w:sz w:val="24"/>
                <w:szCs w:val="24"/>
                <w:lang w:val="en-US" w:eastAsia="zh-CN" w:bidi="ar"/>
              </w:rPr>
              <w:t xml:space="preserve">注：（1）响应文件中提供生产厂家授权书扫描件。如所配送上述产品为同一厂家生产，提供该厂家授权；如所配送上述产品非同一厂家生产，分别提供各产品生产厂家授权。 </w:t>
            </w:r>
          </w:p>
          <w:p w14:paraId="401840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kern w:val="2"/>
                <w:sz w:val="24"/>
                <w:szCs w:val="24"/>
                <w:vertAlign w:val="baseline"/>
              </w:rPr>
            </w:pPr>
            <w:r>
              <w:rPr>
                <w:rFonts w:hint="eastAsia" w:ascii="宋体" w:hAnsi="宋体" w:eastAsia="宋体" w:cs="宋体"/>
                <w:b/>
                <w:bCs/>
                <w:color w:val="000000"/>
                <w:kern w:val="0"/>
                <w:sz w:val="24"/>
                <w:szCs w:val="24"/>
                <w:lang w:val="en-US" w:eastAsia="zh-CN" w:bidi="ar"/>
              </w:rPr>
              <w:t>（2）若授权链条涉及多个层级（生产厂家－总代理商－投标公司）的情况下，认可总代理商转授权给投标公司的授权书作为满足生产厂家授权书要求的有效文件，需要提供生产厂家授权总代理商及总代理商授权投标公司的完整授权链条。</w:t>
            </w:r>
          </w:p>
        </w:tc>
        <w:tc>
          <w:tcPr>
            <w:tcW w:w="1079" w:type="dxa"/>
            <w:vAlign w:val="center"/>
          </w:tcPr>
          <w:p w14:paraId="490EAE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0-3分</w:t>
            </w:r>
          </w:p>
        </w:tc>
      </w:tr>
      <w:tr w14:paraId="58F2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vAlign w:val="center"/>
          </w:tcPr>
          <w:p w14:paraId="7D73A618">
            <w:pPr>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kern w:val="2"/>
                <w:sz w:val="24"/>
                <w:szCs w:val="24"/>
                <w:vertAlign w:val="baseline"/>
              </w:rPr>
            </w:pPr>
            <w:r>
              <w:rPr>
                <w:rFonts w:hint="eastAsia" w:cs="Times New Roman" w:asciiTheme="minorEastAsia" w:hAnsiTheme="minorEastAsia" w:eastAsiaTheme="minorEastAsia"/>
                <w:kern w:val="2"/>
                <w:sz w:val="24"/>
                <w:szCs w:val="20"/>
                <w:highlight w:val="none"/>
              </w:rPr>
              <w:t>价格分</w:t>
            </w:r>
            <w:r>
              <w:rPr>
                <w:rFonts w:hint="eastAsia" w:cs="Times New Roman" w:asciiTheme="minorEastAsia" w:hAnsiTheme="minorEastAsia" w:eastAsiaTheme="minorEastAsia"/>
                <w:kern w:val="2"/>
                <w:sz w:val="24"/>
                <w:szCs w:val="20"/>
                <w:highlight w:val="none"/>
                <w:u w:val="single"/>
              </w:rPr>
              <w:t xml:space="preserve"> </w:t>
            </w:r>
            <w:r>
              <w:rPr>
                <w:rFonts w:hint="eastAsia" w:cs="Times New Roman" w:asciiTheme="minorEastAsia" w:hAnsiTheme="minorEastAsia" w:eastAsiaTheme="minorEastAsia"/>
                <w:kern w:val="2"/>
                <w:sz w:val="24"/>
                <w:szCs w:val="20"/>
                <w:highlight w:val="none"/>
                <w:u w:val="single"/>
                <w:lang w:val="en-US" w:eastAsia="zh-CN"/>
              </w:rPr>
              <w:t>30</w:t>
            </w:r>
            <w:r>
              <w:rPr>
                <w:rFonts w:hint="eastAsia" w:cs="Times New Roman" w:asciiTheme="minorEastAsia" w:hAnsiTheme="minorEastAsia" w:eastAsiaTheme="minorEastAsia"/>
                <w:kern w:val="2"/>
                <w:sz w:val="24"/>
                <w:szCs w:val="20"/>
                <w:highlight w:val="none"/>
                <w:u w:val="single"/>
              </w:rPr>
              <w:t xml:space="preserve"> </w:t>
            </w:r>
            <w:r>
              <w:rPr>
                <w:rFonts w:hint="eastAsia" w:cs="Times New Roman" w:asciiTheme="minorEastAsia" w:hAnsiTheme="minorEastAsia" w:eastAsiaTheme="minorEastAsia"/>
                <w:kern w:val="2"/>
                <w:sz w:val="24"/>
                <w:szCs w:val="20"/>
                <w:highlight w:val="none"/>
              </w:rPr>
              <w:t>分）</w:t>
            </w:r>
          </w:p>
        </w:tc>
        <w:tc>
          <w:tcPr>
            <w:tcW w:w="7683" w:type="dxa"/>
            <w:gridSpan w:val="3"/>
            <w:vAlign w:val="center"/>
          </w:tcPr>
          <w:p w14:paraId="41DA68CF">
            <w:pPr>
              <w:keepNext w:val="0"/>
              <w:keepLines w:val="0"/>
              <w:suppressLineNumbers w:val="0"/>
              <w:spacing w:before="0" w:beforeAutospacing="0" w:after="0" w:afterAutospacing="0" w:line="360" w:lineRule="auto"/>
              <w:ind w:left="0" w:right="0" w:firstLine="0" w:firstLineChars="0"/>
              <w:rPr>
                <w:rFonts w:hint="default" w:cs="Times New Roman" w:asciiTheme="minorEastAsia" w:hAnsiTheme="minorEastAsia" w:eastAsiaTheme="minorEastAsia"/>
                <w:kern w:val="2"/>
                <w:sz w:val="24"/>
                <w:szCs w:val="20"/>
                <w:highlight w:val="none"/>
              </w:rPr>
            </w:pPr>
            <w:r>
              <w:rPr>
                <w:rFonts w:hint="eastAsia" w:cs="Times New Roman" w:asciiTheme="minorEastAsia" w:hAnsiTheme="minorEastAsia" w:eastAsiaTheme="minorEastAsia"/>
                <w:kern w:val="2"/>
                <w:sz w:val="24"/>
                <w:szCs w:val="20"/>
                <w:highlight w:val="none"/>
              </w:rPr>
              <w:t>价格分统一采用低价优先法，即满足磋商文件要求且最后报价最低的供应商的价格为磋商基准价，其价格分为满分</w:t>
            </w:r>
            <w:r>
              <w:rPr>
                <w:rFonts w:hint="eastAsia" w:cs="Times New Roman" w:asciiTheme="minorEastAsia" w:hAnsiTheme="minorEastAsia" w:eastAsiaTheme="minorEastAsia"/>
                <w:kern w:val="2"/>
                <w:sz w:val="24"/>
                <w:szCs w:val="20"/>
                <w:highlight w:val="none"/>
                <w:u w:val="single"/>
              </w:rPr>
              <w:t xml:space="preserve"> </w:t>
            </w:r>
            <w:r>
              <w:rPr>
                <w:rFonts w:hint="eastAsia" w:cs="Times New Roman" w:asciiTheme="minorEastAsia" w:hAnsiTheme="minorEastAsia" w:eastAsiaTheme="minorEastAsia"/>
                <w:kern w:val="2"/>
                <w:sz w:val="24"/>
                <w:szCs w:val="20"/>
                <w:highlight w:val="none"/>
                <w:u w:val="single"/>
                <w:lang w:val="en-US" w:eastAsia="zh-CN"/>
              </w:rPr>
              <w:t>30</w:t>
            </w:r>
            <w:r>
              <w:rPr>
                <w:rFonts w:hint="eastAsia" w:cs="Times New Roman" w:asciiTheme="minorEastAsia" w:hAnsiTheme="minorEastAsia" w:eastAsiaTheme="minorEastAsia"/>
                <w:kern w:val="2"/>
                <w:sz w:val="24"/>
                <w:szCs w:val="20"/>
                <w:highlight w:val="none"/>
                <w:u w:val="single"/>
              </w:rPr>
              <w:t xml:space="preserve"> </w:t>
            </w:r>
            <w:r>
              <w:rPr>
                <w:rFonts w:hint="eastAsia" w:cs="Times New Roman" w:asciiTheme="minorEastAsia" w:hAnsiTheme="minorEastAsia" w:eastAsiaTheme="minorEastAsia"/>
                <w:kern w:val="2"/>
                <w:sz w:val="24"/>
                <w:szCs w:val="20"/>
                <w:highlight w:val="none"/>
              </w:rPr>
              <w:t>分。其他供应商的价格分统一按照下列公式计算：</w:t>
            </w:r>
          </w:p>
          <w:p w14:paraId="66F712C6">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kern w:val="2"/>
                <w:sz w:val="24"/>
                <w:szCs w:val="24"/>
                <w:vertAlign w:val="baseline"/>
              </w:rPr>
            </w:pPr>
            <w:r>
              <w:rPr>
                <w:rFonts w:hint="eastAsia" w:cs="Times New Roman" w:asciiTheme="minorEastAsia" w:hAnsiTheme="minorEastAsia" w:eastAsiaTheme="minorEastAsia"/>
                <w:kern w:val="2"/>
                <w:sz w:val="24"/>
                <w:szCs w:val="20"/>
                <w:highlight w:val="none"/>
              </w:rPr>
              <w:t>磋商报价得分＝（磋商基准价/</w:t>
            </w:r>
            <w:r>
              <w:rPr>
                <w:rFonts w:hint="eastAsia" w:ascii="宋体" w:hAnsi="宋体" w:eastAsia="宋体" w:cs="Times New Roman"/>
                <w:kern w:val="2"/>
                <w:sz w:val="24"/>
                <w:szCs w:val="20"/>
                <w:highlight w:val="none"/>
              </w:rPr>
              <w:t>最后磋商</w:t>
            </w:r>
            <w:r>
              <w:rPr>
                <w:rFonts w:hint="eastAsia" w:cs="Times New Roman" w:asciiTheme="minorEastAsia" w:hAnsiTheme="minorEastAsia" w:eastAsiaTheme="minorEastAsia"/>
                <w:kern w:val="2"/>
                <w:sz w:val="24"/>
                <w:szCs w:val="20"/>
                <w:highlight w:val="none"/>
              </w:rPr>
              <w:t>报价）×</w:t>
            </w:r>
            <w:r>
              <w:rPr>
                <w:rFonts w:hint="eastAsia" w:cs="Times New Roman" w:asciiTheme="minorEastAsia" w:hAnsiTheme="minorEastAsia" w:eastAsiaTheme="minorEastAsia"/>
                <w:kern w:val="2"/>
                <w:sz w:val="24"/>
                <w:szCs w:val="20"/>
                <w:highlight w:val="none"/>
                <w:u w:val="single"/>
              </w:rPr>
              <w:t xml:space="preserve"> </w:t>
            </w:r>
            <w:r>
              <w:rPr>
                <w:rFonts w:hint="eastAsia" w:cs="Times New Roman" w:asciiTheme="minorEastAsia" w:hAnsiTheme="minorEastAsia" w:eastAsiaTheme="minorEastAsia"/>
                <w:kern w:val="2"/>
                <w:sz w:val="24"/>
                <w:szCs w:val="20"/>
                <w:highlight w:val="none"/>
                <w:u w:val="single"/>
                <w:lang w:val="en-US" w:eastAsia="zh-CN"/>
              </w:rPr>
              <w:t>30</w:t>
            </w:r>
            <w:r>
              <w:rPr>
                <w:rFonts w:hint="eastAsia" w:cs="Times New Roman" w:asciiTheme="minorEastAsia" w:hAnsiTheme="minorEastAsia" w:eastAsiaTheme="minorEastAsia"/>
                <w:kern w:val="2"/>
                <w:sz w:val="24"/>
                <w:szCs w:val="20"/>
                <w:highlight w:val="none"/>
                <w:u w:val="single"/>
              </w:rPr>
              <w:t xml:space="preserve"> </w:t>
            </w:r>
            <w:r>
              <w:rPr>
                <w:rFonts w:hint="eastAsia" w:cs="Times New Roman" w:asciiTheme="minorEastAsia" w:hAnsiTheme="minorEastAsia" w:eastAsiaTheme="minorEastAsia"/>
                <w:kern w:val="2"/>
                <w:sz w:val="24"/>
                <w:szCs w:val="20"/>
                <w:highlight w:val="none"/>
              </w:rPr>
              <w:t>％×100</w:t>
            </w:r>
          </w:p>
        </w:tc>
      </w:tr>
    </w:tbl>
    <w:p w14:paraId="24B9B95F">
      <w:pPr>
        <w:spacing w:line="360" w:lineRule="auto"/>
        <w:ind w:firstLine="480" w:firstLineChars="200"/>
        <w:rPr>
          <w:rFonts w:hint="eastAsia" w:ascii="宋体" w:hAnsi="宋体" w:eastAsia="宋体" w:cs="宋体"/>
          <w:sz w:val="24"/>
        </w:rPr>
      </w:pPr>
    </w:p>
    <w:p w14:paraId="0075A154">
      <w:pPr>
        <w:spacing w:line="360" w:lineRule="auto"/>
        <w:ind w:firstLine="480" w:firstLineChars="200"/>
        <w:rPr>
          <w:rFonts w:hint="eastAsia" w:ascii="宋体" w:hAnsi="宋体" w:eastAsia="宋体" w:cs="宋体"/>
          <w:sz w:val="24"/>
        </w:rPr>
      </w:pPr>
      <w:r>
        <w:rPr>
          <w:rFonts w:hint="eastAsia" w:ascii="宋体" w:hAnsi="宋体" w:eastAsia="宋体" w:cs="宋体"/>
          <w:sz w:val="24"/>
        </w:rPr>
        <w:t>2.2.3分值汇总</w:t>
      </w:r>
    </w:p>
    <w:p w14:paraId="53B62381">
      <w:pPr>
        <w:spacing w:line="360" w:lineRule="auto"/>
        <w:ind w:firstLine="435"/>
        <w:rPr>
          <w:rFonts w:hint="eastAsia" w:ascii="宋体" w:hAnsi="宋体" w:eastAsia="宋体" w:cs="宋体"/>
          <w:sz w:val="24"/>
        </w:rPr>
      </w:pPr>
      <w:r>
        <w:rPr>
          <w:rFonts w:hint="eastAsia" w:ascii="宋体" w:hAnsi="宋体" w:eastAsia="宋体" w:cs="宋体"/>
          <w:sz w:val="24"/>
        </w:rPr>
        <w:t>（1）磋商小组各成员应当独立对每个有效响应的文件进行评价、打分，然后汇总每个供应商每项评分因素的得分，再取各位评委评分之平均值，四舍五入保留至小数点后两位数，得到该供应商的技术资信分。</w:t>
      </w:r>
    </w:p>
    <w:p w14:paraId="0EF2BF50">
      <w:pPr>
        <w:spacing w:line="360" w:lineRule="auto"/>
        <w:ind w:firstLine="435"/>
        <w:rPr>
          <w:rFonts w:hint="eastAsia" w:ascii="宋体" w:hAnsi="宋体" w:eastAsia="宋体" w:cs="宋体"/>
          <w:sz w:val="24"/>
        </w:rPr>
      </w:pPr>
      <w:r>
        <w:rPr>
          <w:rFonts w:hint="eastAsia" w:ascii="宋体" w:hAnsi="宋体" w:eastAsia="宋体" w:cs="宋体"/>
          <w:sz w:val="24"/>
        </w:rPr>
        <w:t>（2）将每个供应商的技术资信分加上根据上述标准计算出的价格分，即为该供应商的综合总得分。</w:t>
      </w:r>
    </w:p>
    <w:p w14:paraId="73FAB1CA">
      <w:pPr>
        <w:ind w:firstLine="480"/>
        <w:rPr>
          <w:rFonts w:asciiTheme="minorEastAsia" w:hAnsiTheme="minorEastAsia" w:eastAsiaTheme="minorEastAsia"/>
          <w:color w:val="000000" w:themeColor="text1"/>
          <w:highlight w:val="none"/>
          <w14:textFill>
            <w14:solidFill>
              <w14:schemeClr w14:val="tx1"/>
            </w14:solidFill>
          </w14:textFill>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）除评审总得分外，不公布其他评分明细。</w:t>
      </w:r>
      <w:r>
        <w:rPr>
          <w:rFonts w:hint="eastAsia" w:ascii="宋体" w:hAnsi="宋体" w:eastAsia="宋体" w:cs="宋体"/>
          <w:sz w:val="24"/>
          <w:lang w:eastAsia="zh-CN"/>
        </w:rPr>
        <w:t>肥西县公共资源交易有限责任公司</w:t>
      </w:r>
      <w:r>
        <w:rPr>
          <w:rFonts w:hint="eastAsia" w:ascii="宋体" w:hAnsi="宋体" w:eastAsia="宋体" w:cs="宋体"/>
          <w:sz w:val="24"/>
        </w:rPr>
        <w:t>对投标供应商得分情况不做任何解释。</w:t>
      </w:r>
    </w:p>
    <w:p w14:paraId="005CCD23">
      <w:pPr>
        <w:widowControl/>
        <w:ind w:firstLine="480"/>
        <w:jc w:val="left"/>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br w:type="page"/>
      </w:r>
    </w:p>
    <w:p w14:paraId="2DF4D798">
      <w:pPr>
        <w:keepNext w:val="0"/>
        <w:keepLines w:val="0"/>
        <w:pageBreakBefore w:val="0"/>
        <w:widowControl w:val="0"/>
        <w:numPr>
          <w:ilvl w:val="0"/>
          <w:numId w:val="0"/>
        </w:numPr>
        <w:kinsoku/>
        <w:wordWrap/>
        <w:overflowPunct/>
        <w:topLinePunct w:val="0"/>
        <w:autoSpaceDE/>
        <w:autoSpaceDN/>
        <w:bidi w:val="0"/>
        <w:adjustRightInd/>
        <w:snapToGrid/>
        <w:ind w:firstLine="3092" w:firstLineChars="1100"/>
        <w:jc w:val="both"/>
        <w:textAlignment w:val="auto"/>
        <w:outlineLvl w:val="1"/>
        <w:rPr>
          <w:rFonts w:hint="eastAsia" w:asciiTheme="minorEastAsia" w:hAnsiTheme="minorEastAsia" w:eastAsiaTheme="minorEastAsia"/>
          <w:b/>
          <w:color w:val="auto"/>
          <w:sz w:val="28"/>
          <w:highlight w:val="none"/>
        </w:rPr>
      </w:pPr>
      <w:bookmarkStart w:id="21" w:name="_Toc192058174"/>
      <w:r>
        <w:rPr>
          <w:rFonts w:hint="eastAsia" w:asciiTheme="minorEastAsia" w:hAnsiTheme="minorEastAsia" w:eastAsiaTheme="minorEastAsia"/>
          <w:b/>
          <w:color w:val="auto"/>
          <w:sz w:val="28"/>
          <w:highlight w:val="none"/>
        </w:rPr>
        <w:t>第五章  合同</w:t>
      </w:r>
      <w:bookmarkEnd w:id="21"/>
    </w:p>
    <w:p w14:paraId="33E01CB4">
      <w:pPr>
        <w:ind w:firstLine="2880" w:firstLineChars="1200"/>
        <w:rPr>
          <w:rFonts w:hint="eastAsia" w:asciiTheme="minorEastAsia" w:hAnsiTheme="minorEastAsia" w:eastAsiaTheme="minorEastAsia"/>
          <w:color w:val="000000" w:themeColor="text1"/>
          <w:highlight w:val="none"/>
          <w14:textFill>
            <w14:solidFill>
              <w14:schemeClr w14:val="tx1"/>
            </w14:solidFill>
          </w14:textFill>
        </w:rPr>
      </w:pPr>
      <w:bookmarkStart w:id="22" w:name="_Toc26882"/>
      <w:bookmarkStart w:id="23" w:name="OLE_LINK3"/>
      <w:r>
        <w:rPr>
          <w:rFonts w:hint="eastAsia" w:asciiTheme="minorEastAsia" w:hAnsiTheme="minorEastAsia" w:eastAsiaTheme="minorEastAsia"/>
          <w:color w:val="000000" w:themeColor="text1"/>
          <w:highlight w:val="none"/>
          <w14:textFill>
            <w14:solidFill>
              <w14:schemeClr w14:val="tx1"/>
            </w14:solidFill>
          </w14:textFill>
        </w:rPr>
        <w:t>（</w:t>
      </w:r>
      <w:r>
        <w:rPr>
          <w:rFonts w:hint="eastAsia" w:asciiTheme="minorEastAsia" w:hAnsiTheme="minorEastAsia" w:eastAsiaTheme="minorEastAsia"/>
          <w:color w:val="000000" w:themeColor="text1"/>
          <w:highlight w:val="none"/>
          <w:lang w:val="en-US" w:eastAsia="zh-CN"/>
          <w14:textFill>
            <w14:solidFill>
              <w14:schemeClr w14:val="tx1"/>
            </w14:solidFill>
          </w14:textFill>
        </w:rPr>
        <w:t>双方自行签订</w:t>
      </w:r>
      <w:r>
        <w:rPr>
          <w:rFonts w:hint="eastAsia" w:asciiTheme="minorEastAsia" w:hAnsiTheme="minorEastAsia" w:eastAsiaTheme="minorEastAsia"/>
          <w:color w:val="000000" w:themeColor="text1"/>
          <w:highlight w:val="none"/>
          <w14:textFill>
            <w14:solidFill>
              <w14:schemeClr w14:val="tx1"/>
            </w14:solidFill>
          </w14:textFill>
        </w:rPr>
        <w:t>）</w:t>
      </w:r>
      <w:bookmarkEnd w:id="22"/>
    </w:p>
    <w:p w14:paraId="4818126E">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cs="宋体"/>
          <w:b/>
          <w:bCs/>
          <w:color w:val="000000" w:themeColor="text1"/>
          <w:kern w:val="2"/>
          <w:sz w:val="32"/>
          <w:szCs w:val="40"/>
          <w:highlight w:val="none"/>
          <w14:textFill>
            <w14:solidFill>
              <w14:schemeClr w14:val="tx1"/>
            </w14:solidFill>
          </w14:textFill>
        </w:rPr>
      </w:pPr>
    </w:p>
    <w:p w14:paraId="477A4B9D">
      <w:pPr>
        <w:widowControl/>
        <w:spacing w:line="240" w:lineRule="auto"/>
        <w:ind w:firstLine="0" w:firstLineChars="0"/>
        <w:jc w:val="left"/>
        <w:rPr>
          <w:rFonts w:cs="宋体"/>
          <w:b/>
          <w:bCs/>
          <w:color w:val="000000" w:themeColor="text1"/>
          <w:kern w:val="2"/>
          <w:sz w:val="32"/>
          <w:szCs w:val="40"/>
          <w:highlight w:val="none"/>
          <w14:textFill>
            <w14:solidFill>
              <w14:schemeClr w14:val="tx1"/>
            </w14:solidFill>
          </w14:textFill>
        </w:rPr>
      </w:pPr>
    </w:p>
    <w:p w14:paraId="5D0F3ACC">
      <w:pPr>
        <w:widowControl/>
        <w:spacing w:line="240" w:lineRule="auto"/>
        <w:ind w:firstLine="0" w:firstLineChars="0"/>
        <w:jc w:val="left"/>
        <w:rPr>
          <w:rFonts w:cs="宋体"/>
          <w:b/>
          <w:bCs/>
          <w:color w:val="000000" w:themeColor="text1"/>
          <w:kern w:val="2"/>
          <w:sz w:val="32"/>
          <w:szCs w:val="40"/>
          <w:highlight w:val="none"/>
          <w14:textFill>
            <w14:solidFill>
              <w14:schemeClr w14:val="tx1"/>
            </w14:solidFill>
          </w14:textFill>
        </w:rPr>
      </w:pPr>
      <w:r>
        <w:rPr>
          <w:rFonts w:hint="eastAsia" w:cs="宋体"/>
          <w:b/>
          <w:bCs/>
          <w:color w:val="000000" w:themeColor="text1"/>
          <w:kern w:val="2"/>
          <w:sz w:val="32"/>
          <w:szCs w:val="40"/>
          <w:highlight w:val="none"/>
          <w14:textFill>
            <w14:solidFill>
              <w14:schemeClr w14:val="tx1"/>
            </w14:solidFill>
          </w14:textFill>
        </w:rPr>
        <w:br w:type="page"/>
      </w:r>
    </w:p>
    <w:bookmarkEnd w:id="23"/>
    <w:p w14:paraId="001AFFAD">
      <w:pPr>
        <w:numPr>
          <w:ilvl w:val="0"/>
          <w:numId w:val="0"/>
        </w:numPr>
        <w:ind w:firstLine="562" w:firstLineChars="200"/>
        <w:jc w:val="center"/>
        <w:outlineLvl w:val="1"/>
        <w:rPr>
          <w:rFonts w:hint="eastAsia" w:asciiTheme="minorEastAsia" w:hAnsiTheme="minorEastAsia" w:eastAsiaTheme="minorEastAsia"/>
          <w:b/>
          <w:color w:val="auto"/>
          <w:sz w:val="28"/>
          <w:highlight w:val="none"/>
        </w:rPr>
      </w:pPr>
      <w:bookmarkStart w:id="24" w:name="_Toc192058175"/>
      <w:r>
        <w:rPr>
          <w:rFonts w:hint="eastAsia" w:asciiTheme="minorEastAsia" w:hAnsiTheme="minorEastAsia" w:eastAsiaTheme="minorEastAsia"/>
          <w:b/>
          <w:color w:val="auto"/>
          <w:sz w:val="28"/>
          <w:highlight w:val="none"/>
        </w:rPr>
        <w:t>第六章  响应文件格式</w:t>
      </w:r>
      <w:bookmarkEnd w:id="24"/>
    </w:p>
    <w:p w14:paraId="68C0D73D">
      <w:pPr>
        <w:spacing w:line="900" w:lineRule="exact"/>
        <w:ind w:firstLine="1446"/>
        <w:jc w:val="center"/>
        <w:rPr>
          <w:rFonts w:asciiTheme="minorEastAsia" w:hAnsiTheme="minorEastAsia" w:eastAsiaTheme="minorEastAsia"/>
          <w:b/>
          <w:color w:val="000000" w:themeColor="text1"/>
          <w:sz w:val="96"/>
          <w:szCs w:val="21"/>
          <w:highlight w:val="none"/>
          <w14:textFill>
            <w14:solidFill>
              <w14:schemeClr w14:val="tx1"/>
            </w14:solidFill>
          </w14:textFill>
        </w:rPr>
      </w:pPr>
      <w:r>
        <w:rPr>
          <w:rFonts w:hint="eastAsia"/>
          <w:b/>
          <w:color w:val="000000" w:themeColor="text1"/>
          <w:spacing w:val="20"/>
          <w:sz w:val="36"/>
          <w:szCs w:val="36"/>
          <w:highlight w:val="none"/>
          <w:lang w:val="en-US" w:eastAsia="zh-CN"/>
          <w14:textFill>
            <w14:solidFill>
              <w14:schemeClr w14:val="tx1"/>
            </w14:solidFill>
          </w14:textFill>
        </w:rPr>
        <w:t>肥西县中医院尿沉渣等项目试剂配送服务</w:t>
      </w:r>
    </w:p>
    <w:p w14:paraId="0F795FE4">
      <w:pPr>
        <w:spacing w:line="900" w:lineRule="exact"/>
        <w:ind w:firstLine="3614" w:firstLineChars="500"/>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响</w:t>
      </w:r>
    </w:p>
    <w:p w14:paraId="27730240">
      <w:pPr>
        <w:spacing w:line="900" w:lineRule="exact"/>
        <w:ind w:firstLine="1446"/>
        <w:jc w:val="center"/>
        <w:rPr>
          <w:rFonts w:asciiTheme="minorEastAsia" w:hAnsiTheme="minorEastAsia" w:eastAsiaTheme="minorEastAsia"/>
          <w:b/>
          <w:color w:val="000000" w:themeColor="text1"/>
          <w:sz w:val="72"/>
          <w:highlight w:val="none"/>
          <w14:textFill>
            <w14:solidFill>
              <w14:schemeClr w14:val="tx1"/>
            </w14:solidFill>
          </w14:textFill>
        </w:rPr>
      </w:pPr>
    </w:p>
    <w:p w14:paraId="6BEC3ABF">
      <w:pPr>
        <w:spacing w:line="900" w:lineRule="exact"/>
        <w:ind w:firstLine="3614" w:firstLineChars="500"/>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应</w:t>
      </w:r>
    </w:p>
    <w:p w14:paraId="6EAB4050">
      <w:pPr>
        <w:spacing w:line="900" w:lineRule="exact"/>
        <w:ind w:firstLine="1446"/>
        <w:jc w:val="center"/>
        <w:rPr>
          <w:rFonts w:asciiTheme="minorEastAsia" w:hAnsiTheme="minorEastAsia" w:eastAsiaTheme="minorEastAsia"/>
          <w:b/>
          <w:color w:val="000000" w:themeColor="text1"/>
          <w:sz w:val="72"/>
          <w:highlight w:val="none"/>
          <w14:textFill>
            <w14:solidFill>
              <w14:schemeClr w14:val="tx1"/>
            </w14:solidFill>
          </w14:textFill>
        </w:rPr>
      </w:pPr>
    </w:p>
    <w:p w14:paraId="0B35789A">
      <w:pPr>
        <w:spacing w:line="900" w:lineRule="exact"/>
        <w:ind w:firstLine="3614" w:firstLineChars="500"/>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文</w:t>
      </w:r>
    </w:p>
    <w:p w14:paraId="64CA251A">
      <w:pPr>
        <w:spacing w:line="900" w:lineRule="exact"/>
        <w:ind w:firstLine="1446"/>
        <w:jc w:val="center"/>
        <w:rPr>
          <w:rFonts w:asciiTheme="minorEastAsia" w:hAnsiTheme="minorEastAsia" w:eastAsiaTheme="minorEastAsia"/>
          <w:b/>
          <w:color w:val="000000" w:themeColor="text1"/>
          <w:sz w:val="72"/>
          <w:highlight w:val="none"/>
          <w14:textFill>
            <w14:solidFill>
              <w14:schemeClr w14:val="tx1"/>
            </w14:solidFill>
          </w14:textFill>
        </w:rPr>
      </w:pPr>
    </w:p>
    <w:p w14:paraId="6A21E96D">
      <w:pPr>
        <w:ind w:firstLine="3614" w:firstLineChars="500"/>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件</w:t>
      </w:r>
    </w:p>
    <w:p w14:paraId="18A8895A">
      <w:pPr>
        <w:spacing w:after="156" w:afterLines="50"/>
        <w:ind w:firstLine="1446"/>
        <w:jc w:val="center"/>
        <w:rPr>
          <w:rFonts w:asciiTheme="minorEastAsia" w:hAnsiTheme="minorEastAsia" w:eastAsiaTheme="minorEastAsia"/>
          <w:b/>
          <w:color w:val="000000" w:themeColor="text1"/>
          <w:sz w:val="72"/>
          <w:highlight w:val="none"/>
          <w14:textFill>
            <w14:solidFill>
              <w14:schemeClr w14:val="tx1"/>
            </w14:solidFill>
          </w14:textFill>
        </w:rPr>
      </w:pPr>
    </w:p>
    <w:p w14:paraId="15F38DD9">
      <w:pPr>
        <w:spacing w:after="156" w:afterLines="50" w:line="500" w:lineRule="exact"/>
        <w:ind w:firstLine="3213" w:firstLineChars="1000"/>
        <w:jc w:val="both"/>
        <w:rPr>
          <w:rFonts w:asciiTheme="minorEastAsia" w:hAnsiTheme="minorEastAsia" w:eastAsiaTheme="minorEastAsia"/>
          <w:b/>
          <w:sz w:val="72"/>
          <w:highlight w:val="none"/>
        </w:rPr>
      </w:pPr>
      <w:r>
        <w:rPr>
          <w:rFonts w:hint="eastAsia" w:ascii="宋体" w:hAnsi="宋体" w:eastAsia="宋体"/>
          <w:b/>
          <w:sz w:val="32"/>
          <w:szCs w:val="32"/>
        </w:rPr>
        <w:t>【第</w:t>
      </w:r>
      <w:r>
        <w:rPr>
          <w:rFonts w:hint="eastAsia" w:ascii="宋体" w:hAnsi="宋体" w:eastAsia="宋体"/>
          <w:b/>
          <w:sz w:val="32"/>
          <w:szCs w:val="32"/>
          <w:u w:val="single"/>
        </w:rPr>
        <w:t xml:space="preserve">   </w:t>
      </w:r>
      <w:r>
        <w:rPr>
          <w:rFonts w:hint="eastAsia" w:ascii="宋体" w:hAnsi="宋体" w:eastAsia="宋体"/>
          <w:b/>
          <w:sz w:val="32"/>
          <w:szCs w:val="32"/>
        </w:rPr>
        <w:t>包】</w:t>
      </w:r>
    </w:p>
    <w:p w14:paraId="1EA35594">
      <w:pPr>
        <w:spacing w:after="156" w:afterLines="50" w:line="500" w:lineRule="exact"/>
        <w:ind w:firstLine="562"/>
        <w:jc w:val="center"/>
        <w:rPr>
          <w:rFonts w:asciiTheme="minorEastAsia" w:hAnsiTheme="minorEastAsia" w:eastAsiaTheme="minorEastAsia"/>
          <w:b/>
          <w:color w:val="000000" w:themeColor="text1"/>
          <w:sz w:val="28"/>
          <w:szCs w:val="28"/>
          <w:highlight w:val="none"/>
          <w14:textFill>
            <w14:solidFill>
              <w14:schemeClr w14:val="tx1"/>
            </w14:solidFill>
          </w14:textFill>
        </w:rPr>
      </w:pPr>
    </w:p>
    <w:p w14:paraId="7FEC7C0C">
      <w:pPr>
        <w:spacing w:after="156" w:afterLines="50" w:line="500" w:lineRule="exact"/>
        <w:ind w:firstLine="1446"/>
        <w:jc w:val="center"/>
        <w:rPr>
          <w:rFonts w:asciiTheme="minorEastAsia" w:hAnsiTheme="minorEastAsia" w:eastAsiaTheme="minorEastAsia"/>
          <w:b/>
          <w:color w:val="000000" w:themeColor="text1"/>
          <w:sz w:val="72"/>
          <w:highlight w:val="none"/>
          <w14:textFill>
            <w14:solidFill>
              <w14:schemeClr w14:val="tx1"/>
            </w14:solidFill>
          </w14:textFill>
        </w:rPr>
      </w:pPr>
    </w:p>
    <w:p w14:paraId="7C0E4A27">
      <w:pPr>
        <w:spacing w:after="156" w:afterLines="50" w:line="500" w:lineRule="exact"/>
        <w:ind w:firstLine="2522" w:firstLineChars="785"/>
        <w:rPr>
          <w:rFonts w:asciiTheme="minorEastAsia" w:hAnsiTheme="minorEastAsia" w:eastAsiaTheme="minorEastAsia"/>
          <w:b/>
          <w:color w:val="000000" w:themeColor="text1"/>
          <w:sz w:val="32"/>
          <w:highlight w:val="none"/>
          <w:u w:val="singl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供应商：</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14:paraId="71683F64">
      <w:pPr>
        <w:spacing w:after="156" w:afterLines="50" w:line="500" w:lineRule="exact"/>
        <w:ind w:firstLine="643"/>
        <w:jc w:val="center"/>
        <w:rPr>
          <w:rFonts w:asciiTheme="minorEastAsia" w:hAnsiTheme="minorEastAsia" w:eastAsiaTheme="minorEastAsia"/>
          <w:b/>
          <w:color w:val="000000" w:themeColor="text1"/>
          <w:sz w:val="32"/>
          <w:highlight w:val="none"/>
          <w14:textFill>
            <w14:solidFill>
              <w14:schemeClr w14:val="tx1"/>
            </w14:solidFill>
          </w14:textFill>
        </w:rPr>
      </w:pP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年</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月</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日</w:t>
      </w:r>
    </w:p>
    <w:p w14:paraId="3179E594">
      <w:pPr>
        <w:widowControl/>
        <w:ind w:firstLine="562"/>
        <w:jc w:val="left"/>
        <w:rPr>
          <w:rFonts w:asciiTheme="minorEastAsia" w:hAnsiTheme="minorEastAsia" w:eastAsiaTheme="minorEastAsia"/>
          <w:b/>
          <w:color w:val="000000" w:themeColor="text1"/>
          <w:sz w:val="28"/>
          <w:highlight w:val="none"/>
          <w14:textFill>
            <w14:solidFill>
              <w14:schemeClr w14:val="tx1"/>
            </w14:solidFill>
          </w14:textFill>
        </w:rPr>
      </w:pPr>
      <w:r>
        <w:rPr>
          <w:rFonts w:asciiTheme="minorEastAsia" w:hAnsiTheme="minorEastAsia" w:eastAsiaTheme="minorEastAsia"/>
          <w:b/>
          <w:color w:val="000000" w:themeColor="text1"/>
          <w:sz w:val="28"/>
          <w:highlight w:val="none"/>
          <w14:textFill>
            <w14:solidFill>
              <w14:schemeClr w14:val="tx1"/>
            </w14:solidFill>
          </w14:textFill>
        </w:rPr>
        <w:br w:type="page"/>
      </w:r>
    </w:p>
    <w:p w14:paraId="00C5FBB6">
      <w:pPr>
        <w:ind w:firstLine="482"/>
        <w:jc w:val="center"/>
        <w:outlineLvl w:val="2"/>
        <w:rPr>
          <w:rFonts w:asciiTheme="minorEastAsia" w:hAnsiTheme="minorEastAsia" w:eastAsiaTheme="minorEastAsia"/>
          <w:b/>
          <w:color w:val="000000" w:themeColor="text1"/>
          <w:highlight w:val="none"/>
          <w14:textFill>
            <w14:solidFill>
              <w14:schemeClr w14:val="tx1"/>
            </w14:solidFill>
          </w14:textFill>
        </w:rPr>
      </w:pPr>
      <w:bookmarkStart w:id="25" w:name="_Toc461053086"/>
      <w:bookmarkStart w:id="26" w:name="_Toc461056631"/>
      <w:bookmarkStart w:id="27" w:name="_Toc520983587"/>
      <w:r>
        <w:rPr>
          <w:rFonts w:hint="eastAsia" w:asciiTheme="minorEastAsia" w:hAnsiTheme="minorEastAsia" w:eastAsiaTheme="minorEastAsia"/>
          <w:b/>
          <w:color w:val="000000" w:themeColor="text1"/>
          <w:highlight w:val="none"/>
          <w14:textFill>
            <w14:solidFill>
              <w14:schemeClr w14:val="tx1"/>
            </w14:solidFill>
          </w14:textFill>
        </w:rPr>
        <w:t>一</w:t>
      </w:r>
      <w:bookmarkEnd w:id="25"/>
      <w:bookmarkEnd w:id="26"/>
      <w:r>
        <w:rPr>
          <w:rFonts w:hint="eastAsia" w:asciiTheme="minorEastAsia" w:hAnsiTheme="minorEastAsia" w:eastAsiaTheme="minorEastAsia"/>
          <w:b/>
          <w:color w:val="000000" w:themeColor="text1"/>
          <w:highlight w:val="none"/>
          <w14:textFill>
            <w14:solidFill>
              <w14:schemeClr w14:val="tx1"/>
            </w14:solidFill>
          </w14:textFill>
        </w:rPr>
        <w:t>、报价表格式</w:t>
      </w:r>
      <w:bookmarkEnd w:id="27"/>
    </w:p>
    <w:p w14:paraId="26E1F0FB">
      <w:pPr>
        <w:spacing w:before="156" w:beforeLines="50" w:after="156" w:afterLines="50"/>
        <w:ind w:firstLine="482"/>
        <w:jc w:val="left"/>
        <w:rPr>
          <w:rFonts w:cs="@仿宋_GB2312" w:asciiTheme="minorEastAsia" w:hAnsiTheme="minorEastAsia" w:eastAsiaTheme="minorEastAsia"/>
          <w:b/>
          <w:color w:val="000000" w:themeColor="text1"/>
          <w:kern w:val="2"/>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kern w:val="2"/>
          <w:szCs w:val="24"/>
          <w:highlight w:val="none"/>
          <w14:textFill>
            <w14:solidFill>
              <w14:schemeClr w14:val="tx1"/>
            </w14:solidFill>
          </w14:textFill>
        </w:rPr>
        <w:t>1-1 报价表</w:t>
      </w:r>
    </w:p>
    <w:p w14:paraId="0F7CCFEF">
      <w:pPr>
        <w:snapToGrid w:val="0"/>
        <w:ind w:firstLine="482"/>
        <w:jc w:val="left"/>
        <w:rPr>
          <w:rFonts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项目名称：</w:t>
      </w: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 xml:space="preserve"> </w:t>
      </w:r>
      <w:r>
        <w:rPr>
          <w:rFonts w:hint="eastAsia" w:cs="宋体" w:asciiTheme="minorEastAsia" w:hAnsiTheme="minorEastAsia" w:eastAsiaTheme="minorEastAsia"/>
          <w:b/>
          <w:color w:val="000000" w:themeColor="text1"/>
          <w:kern w:val="2"/>
          <w:szCs w:val="24"/>
          <w:highlight w:val="none"/>
          <w:u w:val="single"/>
          <w:lang w:eastAsia="zh-CN"/>
          <w14:textFill>
            <w14:solidFill>
              <w14:schemeClr w14:val="tx1"/>
            </w14:solidFill>
          </w14:textFill>
        </w:rPr>
        <w:t>肥西县中医院尿沉渣等项目试剂配送服务</w:t>
      </w: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 xml:space="preserve">    </w:t>
      </w:r>
    </w:p>
    <w:p w14:paraId="668B710C">
      <w:pPr>
        <w:snapToGrid w:val="0"/>
        <w:spacing w:after="156" w:afterLines="50"/>
        <w:ind w:firstLine="482"/>
        <w:jc w:val="left"/>
        <w:rPr>
          <w:rFonts w:cs="宋体" w:asciiTheme="minorEastAsia" w:hAnsiTheme="minorEastAsia" w:eastAsiaTheme="minorEastAsia"/>
          <w:b/>
          <w:bCs/>
          <w:color w:val="000000" w:themeColor="text1"/>
          <w:kern w:val="2"/>
          <w:szCs w:val="24"/>
          <w:highlight w:val="none"/>
          <w:u w:val="singl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项目编号：</w:t>
      </w: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 xml:space="preserve"> </w:t>
      </w:r>
      <w:r>
        <w:rPr>
          <w:rFonts w:hint="eastAsia" w:cs="宋体" w:asciiTheme="minorEastAsia" w:hAnsiTheme="minorEastAsia" w:eastAsiaTheme="minorEastAsia"/>
          <w:b/>
          <w:color w:val="000000" w:themeColor="text1"/>
          <w:kern w:val="2"/>
          <w:szCs w:val="24"/>
          <w:highlight w:val="none"/>
          <w:u w:val="single"/>
          <w:lang w:eastAsia="zh-CN"/>
          <w14:textFill>
            <w14:solidFill>
              <w14:schemeClr w14:val="tx1"/>
            </w14:solidFill>
          </w14:textFill>
        </w:rPr>
        <w:t>2026PHBN302</w:t>
      </w: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022B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352840E9">
            <w:pPr>
              <w:keepNext w:val="0"/>
              <w:keepLines w:val="0"/>
              <w:suppressLineNumbers w:val="0"/>
              <w:spacing w:before="0" w:beforeAutospacing="0" w:after="0" w:afterAutospacing="0"/>
              <w:ind w:left="0" w:right="0" w:firstLine="482"/>
              <w:jc w:val="center"/>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供应商名称</w:t>
            </w:r>
          </w:p>
        </w:tc>
        <w:tc>
          <w:tcPr>
            <w:tcW w:w="3558" w:type="pct"/>
            <w:tcBorders>
              <w:left w:val="single" w:color="auto" w:sz="4" w:space="0"/>
            </w:tcBorders>
          </w:tcPr>
          <w:p w14:paraId="70562B04">
            <w:pPr>
              <w:keepNext w:val="0"/>
              <w:keepLines w:val="0"/>
              <w:suppressLineNumbers w:val="0"/>
              <w:spacing w:before="0" w:beforeAutospacing="0" w:after="0" w:afterAutospacing="0"/>
              <w:ind w:left="0" w:right="0" w:firstLine="482"/>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r>
      <w:tr w14:paraId="2FB8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6F01B56D">
            <w:pPr>
              <w:keepNext w:val="0"/>
              <w:keepLines w:val="0"/>
              <w:suppressLineNumbers w:val="0"/>
              <w:spacing w:before="0" w:beforeAutospacing="0" w:after="0" w:afterAutospacing="0"/>
              <w:ind w:left="0" w:right="0" w:firstLine="482"/>
              <w:jc w:val="center"/>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磋商</w:t>
            </w: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范围</w:t>
            </w:r>
          </w:p>
        </w:tc>
        <w:tc>
          <w:tcPr>
            <w:tcW w:w="3558" w:type="pct"/>
            <w:tcBorders>
              <w:left w:val="single" w:color="auto" w:sz="4" w:space="0"/>
            </w:tcBorders>
            <w:vAlign w:val="center"/>
          </w:tcPr>
          <w:p w14:paraId="7832AB2A">
            <w:pPr>
              <w:keepNext w:val="0"/>
              <w:keepLines w:val="0"/>
              <w:widowControl/>
              <w:suppressLineNumbers w:val="0"/>
              <w:spacing w:before="0" w:beforeAutospacing="0" w:after="0" w:afterAutospacing="0"/>
              <w:ind w:left="0" w:leftChars="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ascii="宋体" w:hAnsi="宋体" w:eastAsia="宋体" w:cs="宋体"/>
                <w:sz w:val="24"/>
                <w:szCs w:val="28"/>
                <w:lang w:eastAsia="zh-CN"/>
              </w:rPr>
              <w:t>第</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包</w:t>
            </w:r>
          </w:p>
        </w:tc>
      </w:tr>
      <w:tr w14:paraId="1447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79955042">
            <w:pPr>
              <w:keepNext w:val="0"/>
              <w:keepLines w:val="0"/>
              <w:suppressLineNumbers w:val="0"/>
              <w:spacing w:before="0" w:beforeAutospacing="0" w:after="0" w:afterAutospacing="0"/>
              <w:ind w:left="0" w:right="0" w:firstLine="482"/>
              <w:jc w:val="center"/>
              <w:rPr>
                <w:rFonts w:hint="default" w:cs="@仿宋_GB2312"/>
                <w:b/>
                <w:color w:val="000000" w:themeColor="text1"/>
                <w:kern w:val="2"/>
                <w:szCs w:val="20"/>
                <w:highlight w:val="none"/>
                <w14:textFill>
                  <w14:solidFill>
                    <w14:schemeClr w14:val="tx1"/>
                  </w14:solidFill>
                </w14:textFill>
              </w:rPr>
            </w:pPr>
            <w:r>
              <w:rPr>
                <w:rFonts w:hint="eastAsia" w:cs="@仿宋_GB2312"/>
                <w:b/>
                <w:color w:val="000000" w:themeColor="text1"/>
                <w:kern w:val="2"/>
                <w:szCs w:val="20"/>
                <w:highlight w:val="none"/>
                <w14:textFill>
                  <w14:solidFill>
                    <w14:schemeClr w14:val="tx1"/>
                  </w14:solidFill>
                </w14:textFill>
              </w:rPr>
              <w:t>报价</w:t>
            </w:r>
          </w:p>
          <w:p w14:paraId="67C09E8E">
            <w:pPr>
              <w:keepNext w:val="0"/>
              <w:keepLines w:val="0"/>
              <w:suppressLineNumbers w:val="0"/>
              <w:spacing w:before="0" w:beforeAutospacing="0" w:after="0" w:afterAutospacing="0"/>
              <w:ind w:left="0" w:leftChars="0" w:right="0" w:firstLine="0" w:firstLineChars="0"/>
              <w:jc w:val="center"/>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（详见备注说明）</w:t>
            </w:r>
          </w:p>
        </w:tc>
        <w:tc>
          <w:tcPr>
            <w:tcW w:w="3558" w:type="pct"/>
            <w:vAlign w:val="center"/>
          </w:tcPr>
          <w:p w14:paraId="2F9B1991">
            <w:pPr>
              <w:pStyle w:val="67"/>
              <w:keepNext w:val="0"/>
              <w:keepLines w:val="0"/>
              <w:suppressLineNumbers w:val="0"/>
              <w:spacing w:before="0" w:beforeAutospacing="0" w:after="0" w:afterAutospacing="0"/>
              <w:ind w:left="0" w:leftChars="0" w:right="0" w:firstLine="0" w:firstLineChars="0"/>
              <w:rPr>
                <w:rFonts w:hint="default" w:cs="宋体" w:asciiTheme="minorEastAsia" w:hAnsiTheme="minorEastAsia" w:eastAsiaTheme="minorEastAsia"/>
                <w:b/>
                <w:color w:val="000000" w:themeColor="text1"/>
                <w:kern w:val="2"/>
                <w:highlight w:val="none"/>
                <w:lang w:val="en-US" w:eastAsia="zh-CN"/>
                <w14:textFill>
                  <w14:solidFill>
                    <w14:schemeClr w14:val="tx1"/>
                  </w14:solidFill>
                </w14:textFill>
              </w:rPr>
            </w:pPr>
            <w:r>
              <w:rPr>
                <w:rFonts w:hint="eastAsia" w:cs="宋体" w:eastAsiaTheme="minorEastAsia"/>
                <w:color w:val="000000" w:themeColor="text1"/>
                <w:kern w:val="2"/>
                <w:szCs w:val="24"/>
                <w:highlight w:val="none"/>
                <w:lang w:eastAsia="zh-CN"/>
                <w14:textFill>
                  <w14:solidFill>
                    <w14:schemeClr w14:val="tx1"/>
                  </w14:solidFill>
                </w14:textFill>
              </w:rPr>
              <w:t>费率：</w:t>
            </w:r>
            <w:r>
              <w:rPr>
                <w:rFonts w:hint="eastAsia" w:cs="宋体" w:eastAsiaTheme="minorEastAsia"/>
                <w:color w:val="000000" w:themeColor="text1"/>
                <w:kern w:val="2"/>
                <w:szCs w:val="24"/>
                <w:highlight w:val="none"/>
                <w:u w:val="single"/>
                <w:lang w:val="en-US" w:eastAsia="zh-CN"/>
                <w14:textFill>
                  <w14:solidFill>
                    <w14:schemeClr w14:val="tx1"/>
                  </w14:solidFill>
                </w14:textFill>
              </w:rPr>
              <w:t xml:space="preserve">   </w:t>
            </w:r>
            <w:r>
              <w:rPr>
                <w:rFonts w:hint="eastAsia" w:cs="宋体" w:eastAsiaTheme="minorEastAsia"/>
                <w:color w:val="000000" w:themeColor="text1"/>
                <w:kern w:val="2"/>
                <w:szCs w:val="24"/>
                <w:highlight w:val="none"/>
                <w:lang w:val="en-US" w:eastAsia="zh-CN"/>
                <w14:textFill>
                  <w14:solidFill>
                    <w14:schemeClr w14:val="tx1"/>
                  </w14:solidFill>
                </w14:textFill>
              </w:rPr>
              <w:t>%</w:t>
            </w:r>
          </w:p>
        </w:tc>
      </w:tr>
      <w:tr w14:paraId="5F88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3F7C2372">
            <w:pPr>
              <w:keepNext w:val="0"/>
              <w:keepLines w:val="0"/>
              <w:suppressLineNumbers w:val="0"/>
              <w:snapToGrid w:val="0"/>
              <w:spacing w:before="0" w:beforeAutospacing="0" w:after="0" w:afterAutospacing="0"/>
              <w:ind w:left="0" w:right="0" w:firstLine="482"/>
              <w:jc w:val="center"/>
              <w:rPr>
                <w:rFonts w:hint="default" w:cs="宋体" w:asciiTheme="minorEastAsia" w:hAnsiTheme="minorEastAsia" w:eastAsiaTheme="minorEastAsia"/>
                <w:b/>
                <w:strike/>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服务期限</w:t>
            </w:r>
          </w:p>
        </w:tc>
        <w:tc>
          <w:tcPr>
            <w:tcW w:w="3558" w:type="pct"/>
            <w:vAlign w:val="center"/>
          </w:tcPr>
          <w:p w14:paraId="2EF9AF6A">
            <w:pPr>
              <w:keepNext w:val="0"/>
              <w:keepLines w:val="0"/>
              <w:suppressLineNumbers w:val="0"/>
              <w:snapToGrid w:val="0"/>
              <w:spacing w:before="0" w:beforeAutospacing="0" w:after="0" w:afterAutospacing="0"/>
              <w:ind w:left="0" w:right="0" w:firstLine="482"/>
              <w:rPr>
                <w:rFonts w:hint="default" w:cs="宋体" w:asciiTheme="minorEastAsia" w:hAnsiTheme="minorEastAsia" w:eastAsiaTheme="minorEastAsia"/>
                <w:b/>
                <w:strike/>
                <w:color w:val="000000" w:themeColor="text1"/>
                <w:kern w:val="2"/>
                <w:szCs w:val="24"/>
                <w:highlight w:val="none"/>
                <w14:textFill>
                  <w14:solidFill>
                    <w14:schemeClr w14:val="tx1"/>
                  </w14:solidFill>
                </w14:textFill>
              </w:rPr>
            </w:pPr>
          </w:p>
        </w:tc>
      </w:tr>
      <w:tr w14:paraId="7CF8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1442" w:type="pct"/>
            <w:vAlign w:val="center"/>
          </w:tcPr>
          <w:p w14:paraId="0C5537ED">
            <w:pPr>
              <w:keepNext w:val="0"/>
              <w:keepLines w:val="0"/>
              <w:suppressLineNumbers w:val="0"/>
              <w:spacing w:before="0" w:beforeAutospacing="0" w:after="0" w:afterAutospacing="0"/>
              <w:ind w:left="0" w:right="0" w:firstLine="482"/>
              <w:jc w:val="center"/>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备注说明</w:t>
            </w:r>
          </w:p>
        </w:tc>
        <w:tc>
          <w:tcPr>
            <w:tcW w:w="3558" w:type="pct"/>
            <w:vAlign w:val="center"/>
          </w:tcPr>
          <w:p w14:paraId="6394C822">
            <w:pPr>
              <w:keepNext w:val="0"/>
              <w:keepLines w:val="0"/>
              <w:suppressLineNumbers w:val="0"/>
              <w:spacing w:before="0" w:beforeAutospacing="0" w:after="0" w:afterAutospacing="0"/>
              <w:ind w:left="0" w:leftChars="0" w:right="0" w:firstLine="0" w:firstLineChars="0"/>
              <w:jc w:val="both"/>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r>
    </w:tbl>
    <w:p w14:paraId="35CCB858">
      <w:pPr>
        <w:spacing w:line="440" w:lineRule="exact"/>
        <w:ind w:firstLine="4800" w:firstLineChars="2000"/>
        <w:rPr>
          <w:rFonts w:cs="@仿宋_GB2312"/>
          <w:color w:val="000000" w:themeColor="text1"/>
          <w:kern w:val="2"/>
          <w:szCs w:val="24"/>
          <w:highlight w:val="none"/>
          <w:u w:val="singl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供应商电子签章或公章：</w:t>
      </w:r>
      <w:r>
        <w:rPr>
          <w:rFonts w:hint="eastAsia" w:cs="@仿宋_GB2312"/>
          <w:color w:val="000000" w:themeColor="text1"/>
          <w:kern w:val="2"/>
          <w:szCs w:val="24"/>
          <w:highlight w:val="none"/>
          <w:u w:val="single"/>
          <w14:textFill>
            <w14:solidFill>
              <w14:schemeClr w14:val="tx1"/>
            </w14:solidFill>
          </w14:textFill>
        </w:rPr>
        <w:t xml:space="preserve">     </w:t>
      </w:r>
      <w:r>
        <w:rPr>
          <w:rFonts w:cs="@仿宋_GB2312"/>
          <w:color w:val="000000" w:themeColor="text1"/>
          <w:kern w:val="2"/>
          <w:szCs w:val="24"/>
          <w:highlight w:val="none"/>
          <w:u w:val="single"/>
          <w14:textFill>
            <w14:solidFill>
              <w14:schemeClr w14:val="tx1"/>
            </w14:solidFill>
          </w14:textFill>
        </w:rPr>
        <w:t xml:space="preserve">    </w:t>
      </w:r>
      <w:r>
        <w:rPr>
          <w:rFonts w:hint="eastAsia" w:cs="@仿宋_GB2312"/>
          <w:color w:val="000000" w:themeColor="text1"/>
          <w:kern w:val="2"/>
          <w:szCs w:val="24"/>
          <w:highlight w:val="none"/>
          <w:u w:val="single"/>
          <w14:textFill>
            <w14:solidFill>
              <w14:schemeClr w14:val="tx1"/>
            </w14:solidFill>
          </w14:textFill>
        </w:rPr>
        <w:t xml:space="preserve">    </w:t>
      </w:r>
    </w:p>
    <w:p w14:paraId="3BAC1402">
      <w:pPr>
        <w:spacing w:line="440" w:lineRule="exact"/>
        <w:ind w:firstLine="4800" w:firstLineChars="2000"/>
        <w:rPr>
          <w:rFonts w:cs="@仿宋_GB2312"/>
          <w:color w:val="000000" w:themeColor="text1"/>
          <w:kern w:val="2"/>
          <w:szCs w:val="24"/>
          <w:highlight w:val="none"/>
          <w:u w:val="singl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 xml:space="preserve">日     </w:t>
      </w:r>
      <w:r>
        <w:rPr>
          <w:rFonts w:cs="@仿宋_GB2312"/>
          <w:color w:val="000000" w:themeColor="text1"/>
          <w:kern w:val="2"/>
          <w:szCs w:val="24"/>
          <w:highlight w:val="none"/>
          <w14:textFill>
            <w14:solidFill>
              <w14:schemeClr w14:val="tx1"/>
            </w14:solidFill>
          </w14:textFill>
        </w:rPr>
        <w:t xml:space="preserve">    </w:t>
      </w:r>
      <w:r>
        <w:rPr>
          <w:rFonts w:hint="eastAsia" w:cs="@仿宋_GB2312"/>
          <w:color w:val="000000" w:themeColor="text1"/>
          <w:kern w:val="2"/>
          <w:szCs w:val="24"/>
          <w:highlight w:val="none"/>
          <w14:textFill>
            <w14:solidFill>
              <w14:schemeClr w14:val="tx1"/>
            </w14:solidFill>
          </w14:textFill>
        </w:rPr>
        <w:t xml:space="preserve"> 期：</w:t>
      </w:r>
      <w:r>
        <w:rPr>
          <w:rFonts w:hint="eastAsia" w:cs="@仿宋_GB2312"/>
          <w:color w:val="000000" w:themeColor="text1"/>
          <w:kern w:val="2"/>
          <w:szCs w:val="24"/>
          <w:highlight w:val="none"/>
          <w:u w:val="single"/>
          <w14:textFill>
            <w14:solidFill>
              <w14:schemeClr w14:val="tx1"/>
            </w14:solidFill>
          </w14:textFill>
        </w:rPr>
        <w:t xml:space="preserve">             </w:t>
      </w:r>
    </w:p>
    <w:p w14:paraId="31313A5C">
      <w:pPr>
        <w:adjustRightInd w:val="0"/>
        <w:snapToGrid w:val="0"/>
        <w:ind w:firstLine="482"/>
        <w:rPr>
          <w:rFonts w:cs="宋体"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注：</w:t>
      </w:r>
    </w:p>
    <w:p w14:paraId="5BE4C77E">
      <w:pPr>
        <w:adjustRightInd w:val="0"/>
        <w:snapToGrid w:val="0"/>
        <w:ind w:firstLine="482"/>
        <w:rPr>
          <w:rFonts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1.本表内容根据磋商文件要求包括了磋商文件要求提供的全部内容的所有费用。</w:t>
      </w:r>
    </w:p>
    <w:p w14:paraId="4071D9ED">
      <w:pPr>
        <w:adjustRightInd w:val="0"/>
        <w:snapToGrid w:val="0"/>
        <w:ind w:firstLine="482"/>
        <w:rPr>
          <w:rFonts w:cs="宋体"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2.特殊事项在备注</w:t>
      </w: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说明</w:t>
      </w: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中注明。</w:t>
      </w:r>
    </w:p>
    <w:p w14:paraId="633B535E">
      <w:pPr>
        <w:adjustRightInd w:val="0"/>
        <w:snapToGrid w:val="0"/>
        <w:ind w:firstLine="482"/>
        <w:rPr>
          <w:rFonts w:cs="宋体" w:asciiTheme="minorEastAsia" w:hAnsiTheme="minorEastAsia" w:eastAsiaTheme="minorEastAsia"/>
          <w:b/>
          <w:bCs/>
          <w:color w:val="000000" w:themeColor="text1"/>
          <w:kern w:val="2"/>
          <w:szCs w:val="24"/>
          <w:highlight w:val="none"/>
          <w14:textFill>
            <w14:solidFill>
              <w14:schemeClr w14:val="tx1"/>
            </w14:solidFill>
          </w14:textFill>
        </w:rPr>
      </w:pPr>
      <w:r>
        <w:rPr>
          <w:rFonts w:cs="宋体" w:asciiTheme="minorEastAsia" w:hAnsiTheme="minorEastAsia" w:eastAsiaTheme="minorEastAsia"/>
          <w:b/>
          <w:bCs/>
          <w:color w:val="000000" w:themeColor="text1"/>
          <w:kern w:val="2"/>
          <w:szCs w:val="24"/>
          <w:highlight w:val="none"/>
          <w14:textFill>
            <w14:solidFill>
              <w14:schemeClr w14:val="tx1"/>
            </w14:solidFill>
          </w14:textFill>
        </w:rPr>
        <w:br w:type="page"/>
      </w:r>
    </w:p>
    <w:p w14:paraId="40AF7A67">
      <w:pPr>
        <w:spacing w:line="360" w:lineRule="auto"/>
        <w:jc w:val="center"/>
        <w:outlineLvl w:val="1"/>
        <w:rPr>
          <w:rFonts w:hint="eastAsia" w:ascii="宋体" w:hAnsi="宋体" w:eastAsia="宋体" w:cs="宋体"/>
          <w:b/>
          <w:sz w:val="24"/>
        </w:rPr>
      </w:pPr>
      <w:bookmarkStart w:id="28" w:name="_Toc461053087"/>
      <w:bookmarkStart w:id="29" w:name="_Toc461056632"/>
      <w:bookmarkStart w:id="30" w:name="_Toc520983588"/>
      <w:r>
        <w:rPr>
          <w:rFonts w:hint="eastAsia" w:ascii="宋体" w:hAnsi="宋体" w:eastAsia="宋体" w:cs="宋体"/>
          <w:b/>
          <w:sz w:val="24"/>
        </w:rPr>
        <w:t>二</w:t>
      </w:r>
      <w:bookmarkEnd w:id="28"/>
      <w:bookmarkEnd w:id="29"/>
      <w:r>
        <w:rPr>
          <w:rFonts w:hint="eastAsia" w:ascii="宋体" w:hAnsi="宋体" w:eastAsia="宋体" w:cs="宋体"/>
          <w:b/>
          <w:sz w:val="24"/>
        </w:rPr>
        <w:t>、最后承诺报价表</w:t>
      </w:r>
      <w:bookmarkEnd w:id="30"/>
    </w:p>
    <w:p w14:paraId="50E8CE12">
      <w:pPr>
        <w:spacing w:before="156" w:beforeLines="50" w:after="156" w:afterLines="50" w:line="360" w:lineRule="auto"/>
        <w:ind w:firstLine="236" w:firstLineChars="98"/>
        <w:jc w:val="center"/>
        <w:rPr>
          <w:rFonts w:hint="eastAsia" w:ascii="宋体" w:hAnsi="宋体" w:eastAsia="宋体" w:cs="宋体"/>
          <w:b/>
          <w:sz w:val="24"/>
          <w:szCs w:val="28"/>
        </w:rPr>
      </w:pPr>
      <w:r>
        <w:rPr>
          <w:rFonts w:hint="eastAsia" w:ascii="宋体" w:hAnsi="宋体" w:eastAsia="宋体" w:cs="宋体"/>
          <w:b/>
          <w:sz w:val="24"/>
          <w:szCs w:val="28"/>
        </w:rPr>
        <w:t>（</w:t>
      </w:r>
      <w:r>
        <w:rPr>
          <w:rFonts w:hint="eastAsia" w:ascii="宋体" w:hAnsi="宋体" w:eastAsia="宋体" w:cs="宋体"/>
          <w:b/>
          <w:sz w:val="24"/>
          <w:szCs w:val="28"/>
          <w:lang w:eastAsia="zh-CN"/>
        </w:rPr>
        <w:t>肥西县中医院尿沉渣等项目试剂配送服务</w:t>
      </w:r>
      <w:r>
        <w:rPr>
          <w:rFonts w:hint="eastAsia" w:ascii="宋体" w:hAnsi="宋体" w:eastAsia="宋体" w:cs="宋体"/>
          <w:b/>
          <w:sz w:val="24"/>
          <w:szCs w:val="28"/>
        </w:rPr>
        <w:t>第</w:t>
      </w:r>
      <w:r>
        <w:rPr>
          <w:rFonts w:hint="eastAsia" w:ascii="宋体" w:hAnsi="宋体" w:eastAsia="宋体" w:cs="宋体"/>
          <w:b/>
          <w:sz w:val="24"/>
          <w:szCs w:val="28"/>
          <w:u w:val="single"/>
        </w:rPr>
        <w:t xml:space="preserve">   </w:t>
      </w:r>
      <w:r>
        <w:rPr>
          <w:rFonts w:hint="eastAsia" w:ascii="宋体" w:hAnsi="宋体" w:eastAsia="宋体" w:cs="宋体"/>
          <w:b/>
          <w:sz w:val="24"/>
          <w:szCs w:val="28"/>
        </w:rPr>
        <w:t>次报价书）</w:t>
      </w:r>
    </w:p>
    <w:p w14:paraId="2BCD6AD6">
      <w:pPr>
        <w:snapToGrid w:val="0"/>
        <w:spacing w:line="360" w:lineRule="auto"/>
        <w:jc w:val="left"/>
        <w:rPr>
          <w:rFonts w:hint="eastAsia" w:ascii="宋体" w:hAnsi="宋体" w:eastAsia="宋体" w:cs="宋体"/>
          <w:b/>
          <w:sz w:val="24"/>
          <w:szCs w:val="28"/>
        </w:rPr>
      </w:pPr>
      <w:r>
        <w:rPr>
          <w:rFonts w:hint="eastAsia" w:ascii="宋体" w:hAnsi="宋体" w:eastAsia="宋体" w:cs="宋体"/>
          <w:b/>
          <w:sz w:val="24"/>
          <w:szCs w:val="28"/>
        </w:rPr>
        <w:t>项目名称：</w:t>
      </w:r>
      <w:r>
        <w:rPr>
          <w:rFonts w:hint="eastAsia" w:ascii="宋体" w:hAnsi="宋体" w:eastAsia="宋体" w:cs="宋体"/>
          <w:b/>
          <w:sz w:val="24"/>
          <w:szCs w:val="28"/>
          <w:u w:val="single"/>
        </w:rPr>
        <w:t xml:space="preserve">  </w:t>
      </w:r>
      <w:r>
        <w:rPr>
          <w:rFonts w:hint="eastAsia" w:ascii="宋体" w:hAnsi="宋体" w:eastAsia="宋体" w:cs="宋体"/>
          <w:b/>
          <w:sz w:val="24"/>
          <w:szCs w:val="28"/>
          <w:u w:val="single"/>
          <w:lang w:eastAsia="zh-CN"/>
        </w:rPr>
        <w:t>肥西县中医院尿沉渣等项目试剂配送服务</w:t>
      </w:r>
      <w:r>
        <w:rPr>
          <w:rFonts w:hint="eastAsia" w:ascii="宋体" w:hAnsi="宋体" w:eastAsia="宋体" w:cs="宋体"/>
          <w:b/>
          <w:sz w:val="24"/>
          <w:szCs w:val="28"/>
          <w:u w:val="single"/>
        </w:rPr>
        <w:t xml:space="preserve">     </w:t>
      </w:r>
    </w:p>
    <w:p w14:paraId="4C85DCCC">
      <w:pPr>
        <w:snapToGrid w:val="0"/>
        <w:spacing w:after="156" w:afterLines="50" w:line="360" w:lineRule="auto"/>
        <w:jc w:val="left"/>
        <w:rPr>
          <w:rFonts w:hint="eastAsia" w:ascii="宋体" w:hAnsi="宋体" w:eastAsia="宋体" w:cs="宋体"/>
          <w:b/>
          <w:bCs/>
          <w:sz w:val="24"/>
          <w:szCs w:val="28"/>
        </w:rPr>
      </w:pPr>
      <w:r>
        <w:rPr>
          <w:rFonts w:hint="eastAsia" w:ascii="宋体" w:hAnsi="宋体" w:eastAsia="宋体" w:cs="宋体"/>
          <w:b/>
          <w:sz w:val="24"/>
          <w:szCs w:val="28"/>
        </w:rPr>
        <w:t>项目编号：</w:t>
      </w:r>
      <w:r>
        <w:rPr>
          <w:rFonts w:hint="eastAsia" w:ascii="宋体" w:hAnsi="宋体" w:eastAsia="宋体" w:cs="宋体"/>
          <w:b/>
          <w:sz w:val="24"/>
          <w:szCs w:val="28"/>
          <w:u w:val="single"/>
        </w:rPr>
        <w:t xml:space="preserve">  </w:t>
      </w:r>
      <w:r>
        <w:rPr>
          <w:rFonts w:hint="eastAsia" w:cs="宋体"/>
          <w:b/>
          <w:sz w:val="24"/>
          <w:szCs w:val="28"/>
          <w:u w:val="single"/>
          <w:lang w:eastAsia="zh-CN"/>
        </w:rPr>
        <w:t>2026PHBN302</w:t>
      </w:r>
      <w:r>
        <w:rPr>
          <w:rFonts w:hint="eastAsia" w:ascii="宋体" w:hAnsi="宋体" w:eastAsia="宋体" w:cs="宋体"/>
          <w:b/>
          <w:sz w:val="24"/>
          <w:szCs w:val="28"/>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2A79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noWrap w:val="0"/>
            <w:vAlign w:val="center"/>
          </w:tcPr>
          <w:p w14:paraId="5BC74B4C">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0"/>
              </w:rPr>
            </w:pPr>
            <w:r>
              <w:rPr>
                <w:rFonts w:hint="eastAsia" w:ascii="宋体" w:hAnsi="宋体" w:eastAsia="宋体" w:cs="宋体"/>
                <w:b/>
                <w:sz w:val="24"/>
                <w:szCs w:val="20"/>
              </w:rPr>
              <w:t>供应商名称</w:t>
            </w:r>
          </w:p>
        </w:tc>
        <w:tc>
          <w:tcPr>
            <w:tcW w:w="3557" w:type="pct"/>
            <w:tcBorders>
              <w:left w:val="single" w:color="auto" w:sz="4" w:space="0"/>
            </w:tcBorders>
            <w:noWrap w:val="0"/>
            <w:vAlign w:val="top"/>
          </w:tcPr>
          <w:p w14:paraId="535C87F8">
            <w:pPr>
              <w:keepNext w:val="0"/>
              <w:keepLines w:val="0"/>
              <w:suppressLineNumbers w:val="0"/>
              <w:spacing w:before="0" w:beforeAutospacing="0" w:after="0" w:afterAutospacing="0" w:line="360" w:lineRule="auto"/>
              <w:ind w:left="0" w:right="0"/>
              <w:rPr>
                <w:rFonts w:hint="eastAsia" w:ascii="宋体" w:hAnsi="宋体" w:eastAsia="宋体" w:cs="宋体"/>
                <w:b/>
                <w:sz w:val="24"/>
                <w:szCs w:val="20"/>
              </w:rPr>
            </w:pPr>
          </w:p>
        </w:tc>
      </w:tr>
      <w:tr w14:paraId="601F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noWrap w:val="0"/>
            <w:vAlign w:val="center"/>
          </w:tcPr>
          <w:p w14:paraId="5591A398">
            <w:pPr>
              <w:keepNext w:val="0"/>
              <w:keepLines w:val="0"/>
              <w:suppressLineNumbers w:val="0"/>
              <w:spacing w:before="0" w:beforeAutospacing="0" w:after="0" w:afterAutospacing="0" w:line="360" w:lineRule="exact"/>
              <w:ind w:left="0" w:right="0"/>
              <w:jc w:val="center"/>
              <w:rPr>
                <w:rFonts w:hint="eastAsia" w:ascii="宋体" w:hAnsi="宋体" w:eastAsia="宋体" w:cs="宋体"/>
                <w:b/>
                <w:sz w:val="24"/>
                <w:szCs w:val="20"/>
              </w:rPr>
            </w:pPr>
            <w:r>
              <w:rPr>
                <w:rFonts w:hint="eastAsia" w:ascii="宋体" w:hAnsi="宋体" w:eastAsia="宋体" w:cs="宋体"/>
                <w:b/>
                <w:bCs/>
                <w:sz w:val="24"/>
                <w:szCs w:val="28"/>
              </w:rPr>
              <w:t>磋商</w:t>
            </w:r>
            <w:r>
              <w:rPr>
                <w:rFonts w:hint="eastAsia" w:ascii="宋体" w:hAnsi="宋体" w:eastAsia="宋体" w:cs="宋体"/>
                <w:b/>
                <w:sz w:val="24"/>
                <w:szCs w:val="20"/>
              </w:rPr>
              <w:t>范围</w:t>
            </w:r>
          </w:p>
        </w:tc>
        <w:tc>
          <w:tcPr>
            <w:tcW w:w="6063" w:type="dxa"/>
            <w:tcBorders>
              <w:left w:val="single" w:color="auto" w:sz="4" w:space="0"/>
            </w:tcBorders>
            <w:noWrap w:val="0"/>
            <w:vAlign w:val="center"/>
          </w:tcPr>
          <w:p w14:paraId="019F3C42">
            <w:pPr>
              <w:keepNext w:val="0"/>
              <w:keepLines w:val="0"/>
              <w:widowControl/>
              <w:suppressLineNumbers w:val="0"/>
              <w:spacing w:before="0" w:beforeAutospacing="0" w:after="0" w:afterAutospacing="0"/>
              <w:ind w:left="0" w:leftChars="0" w:right="0" w:rightChars="0" w:firstLine="0" w:firstLineChars="0"/>
              <w:rPr>
                <w:rFonts w:hint="eastAsia" w:ascii="宋体" w:hAnsi="宋体" w:eastAsia="宋体" w:cs="宋体"/>
                <w:b/>
                <w:sz w:val="24"/>
                <w:szCs w:val="20"/>
              </w:rPr>
            </w:pPr>
            <w:r>
              <w:rPr>
                <w:rFonts w:hint="eastAsia" w:ascii="宋体" w:hAnsi="宋体" w:eastAsia="宋体" w:cs="宋体"/>
                <w:sz w:val="24"/>
                <w:szCs w:val="28"/>
                <w:lang w:eastAsia="zh-CN"/>
              </w:rPr>
              <w:t>第</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包</w:t>
            </w:r>
          </w:p>
        </w:tc>
      </w:tr>
      <w:tr w14:paraId="41E8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1443" w:type="pct"/>
            <w:tcBorders>
              <w:top w:val="single" w:color="auto" w:sz="4" w:space="0"/>
            </w:tcBorders>
            <w:noWrap w:val="0"/>
            <w:vAlign w:val="center"/>
          </w:tcPr>
          <w:p w14:paraId="3AF852A3">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0"/>
              </w:rPr>
            </w:pPr>
            <w:r>
              <w:rPr>
                <w:rFonts w:hint="eastAsia" w:ascii="宋体" w:hAnsi="宋体" w:eastAsia="宋体" w:cs="宋体"/>
                <w:b/>
                <w:bCs/>
                <w:sz w:val="24"/>
                <w:szCs w:val="28"/>
              </w:rPr>
              <w:t>最后报价</w:t>
            </w:r>
          </w:p>
          <w:p w14:paraId="7E76602E">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0"/>
              </w:rPr>
            </w:pPr>
            <w:r>
              <w:rPr>
                <w:rFonts w:hint="eastAsia" w:ascii="宋体" w:hAnsi="宋体" w:eastAsia="宋体" w:cs="宋体"/>
                <w:b/>
                <w:sz w:val="24"/>
                <w:szCs w:val="20"/>
              </w:rPr>
              <w:t>（详见备注说明）</w:t>
            </w:r>
          </w:p>
        </w:tc>
        <w:tc>
          <w:tcPr>
            <w:tcW w:w="6063" w:type="dxa"/>
            <w:noWrap w:val="0"/>
            <w:vAlign w:val="center"/>
          </w:tcPr>
          <w:p w14:paraId="1115E7F7">
            <w:pPr>
              <w:pStyle w:val="67"/>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sz w:val="24"/>
              </w:rPr>
            </w:pPr>
            <w:r>
              <w:rPr>
                <w:rFonts w:hint="eastAsia" w:cs="宋体" w:eastAsiaTheme="minorEastAsia"/>
                <w:color w:val="000000" w:themeColor="text1"/>
                <w:kern w:val="2"/>
                <w:szCs w:val="24"/>
                <w:highlight w:val="none"/>
                <w:lang w:eastAsia="zh-CN"/>
                <w14:textFill>
                  <w14:solidFill>
                    <w14:schemeClr w14:val="tx1"/>
                  </w14:solidFill>
                </w14:textFill>
              </w:rPr>
              <w:t>费率：</w:t>
            </w:r>
            <w:r>
              <w:rPr>
                <w:rFonts w:hint="eastAsia" w:cs="宋体" w:eastAsiaTheme="minorEastAsia"/>
                <w:color w:val="000000" w:themeColor="text1"/>
                <w:kern w:val="2"/>
                <w:szCs w:val="24"/>
                <w:highlight w:val="none"/>
                <w:u w:val="single"/>
                <w:lang w:val="en-US" w:eastAsia="zh-CN"/>
                <w14:textFill>
                  <w14:solidFill>
                    <w14:schemeClr w14:val="tx1"/>
                  </w14:solidFill>
                </w14:textFill>
              </w:rPr>
              <w:t xml:space="preserve">   </w:t>
            </w:r>
            <w:r>
              <w:rPr>
                <w:rFonts w:hint="eastAsia" w:cs="宋体" w:eastAsiaTheme="minorEastAsia"/>
                <w:color w:val="000000" w:themeColor="text1"/>
                <w:kern w:val="2"/>
                <w:szCs w:val="24"/>
                <w:highlight w:val="none"/>
                <w:lang w:val="en-US" w:eastAsia="zh-CN"/>
                <w14:textFill>
                  <w14:solidFill>
                    <w14:schemeClr w14:val="tx1"/>
                  </w14:solidFill>
                </w14:textFill>
              </w:rPr>
              <w:t>%</w:t>
            </w:r>
          </w:p>
        </w:tc>
      </w:tr>
      <w:tr w14:paraId="3702C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1443" w:type="pct"/>
            <w:noWrap w:val="0"/>
            <w:vAlign w:val="center"/>
          </w:tcPr>
          <w:p w14:paraId="14C7D839">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0"/>
              </w:rPr>
            </w:pPr>
            <w:r>
              <w:rPr>
                <w:rFonts w:hint="eastAsia" w:ascii="宋体" w:hAnsi="宋体" w:eastAsia="宋体" w:cs="宋体"/>
                <w:b/>
                <w:sz w:val="24"/>
                <w:szCs w:val="20"/>
              </w:rPr>
              <w:t>备注说明</w:t>
            </w:r>
          </w:p>
        </w:tc>
        <w:tc>
          <w:tcPr>
            <w:tcW w:w="3557" w:type="pct"/>
            <w:noWrap w:val="0"/>
            <w:vAlign w:val="top"/>
          </w:tcPr>
          <w:p w14:paraId="192C0339">
            <w:pPr>
              <w:keepNext w:val="0"/>
              <w:keepLines w:val="0"/>
              <w:suppressLineNumbers w:val="0"/>
              <w:spacing w:before="0" w:beforeAutospacing="0" w:after="0" w:afterAutospacing="0" w:line="360" w:lineRule="auto"/>
              <w:ind w:left="0" w:right="0"/>
              <w:rPr>
                <w:rFonts w:hint="eastAsia" w:ascii="宋体" w:hAnsi="宋体" w:eastAsia="宋体" w:cs="宋体"/>
                <w:b/>
                <w:sz w:val="24"/>
                <w:szCs w:val="20"/>
              </w:rPr>
            </w:pPr>
          </w:p>
        </w:tc>
      </w:tr>
      <w:tr w14:paraId="2526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noWrap w:val="0"/>
            <w:vAlign w:val="center"/>
          </w:tcPr>
          <w:p w14:paraId="540D54AD">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0"/>
              </w:rPr>
            </w:pPr>
            <w:r>
              <w:rPr>
                <w:rFonts w:hint="eastAsia" w:ascii="宋体" w:hAnsi="宋体" w:eastAsia="宋体" w:cs="宋体"/>
                <w:b/>
                <w:bCs/>
                <w:sz w:val="24"/>
                <w:szCs w:val="28"/>
              </w:rPr>
              <w:t>磋商小组签字</w:t>
            </w:r>
          </w:p>
        </w:tc>
        <w:tc>
          <w:tcPr>
            <w:tcW w:w="3557" w:type="pct"/>
            <w:noWrap w:val="0"/>
            <w:vAlign w:val="top"/>
          </w:tcPr>
          <w:p w14:paraId="4271BE2F">
            <w:pPr>
              <w:keepNext w:val="0"/>
              <w:keepLines w:val="0"/>
              <w:suppressLineNumbers w:val="0"/>
              <w:spacing w:before="0" w:beforeAutospacing="0" w:after="0" w:afterAutospacing="0" w:line="360" w:lineRule="auto"/>
              <w:ind w:left="0" w:right="0"/>
              <w:rPr>
                <w:rFonts w:hint="eastAsia" w:ascii="宋体" w:hAnsi="宋体" w:eastAsia="宋体" w:cs="宋体"/>
                <w:b/>
                <w:sz w:val="24"/>
                <w:szCs w:val="20"/>
              </w:rPr>
            </w:pPr>
          </w:p>
        </w:tc>
      </w:tr>
    </w:tbl>
    <w:p w14:paraId="72F415DD">
      <w:pPr>
        <w:spacing w:line="360" w:lineRule="auto"/>
        <w:ind w:firstLine="1680" w:firstLineChars="700"/>
        <w:jc w:val="left"/>
        <w:rPr>
          <w:rFonts w:hint="eastAsia" w:ascii="宋体" w:hAnsi="宋体" w:eastAsia="宋体" w:cs="宋体"/>
          <w:sz w:val="24"/>
        </w:rPr>
      </w:pPr>
      <w:r>
        <w:rPr>
          <w:rFonts w:hint="eastAsia" w:ascii="宋体" w:hAnsi="宋体" w:eastAsia="宋体" w:cs="宋体"/>
          <w:sz w:val="24"/>
        </w:rPr>
        <w:t xml:space="preserve">                            供应商公章或授权代表签字：</w:t>
      </w:r>
    </w:p>
    <w:p w14:paraId="6D25CB41">
      <w:pPr>
        <w:spacing w:line="360" w:lineRule="auto"/>
        <w:ind w:firstLine="5040" w:firstLineChars="2100"/>
        <w:jc w:val="left"/>
        <w:rPr>
          <w:rFonts w:hint="eastAsia" w:ascii="宋体" w:hAnsi="宋体" w:eastAsia="宋体" w:cs="宋体"/>
          <w:sz w:val="24"/>
          <w:u w:val="single"/>
        </w:rPr>
      </w:pPr>
      <w:r>
        <w:rPr>
          <w:rFonts w:hint="eastAsia" w:ascii="宋体" w:hAnsi="宋体" w:eastAsia="宋体" w:cs="宋体"/>
          <w:sz w:val="24"/>
        </w:rPr>
        <w:t xml:space="preserve">日      期：                    </w:t>
      </w:r>
    </w:p>
    <w:p w14:paraId="69FE301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4"/>
        </w:rPr>
      </w:pPr>
      <w:r>
        <w:rPr>
          <w:rFonts w:hint="eastAsia" w:ascii="宋体" w:hAnsi="宋体" w:eastAsia="宋体" w:cs="宋体"/>
          <w:b/>
          <w:bCs/>
          <w:sz w:val="24"/>
        </w:rPr>
        <w:t>注：</w:t>
      </w:r>
    </w:p>
    <w:p w14:paraId="35CA9B3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rPr>
      </w:pPr>
      <w:r>
        <w:rPr>
          <w:rFonts w:hint="eastAsia" w:ascii="宋体" w:hAnsi="宋体" w:eastAsia="宋体" w:cs="宋体"/>
          <w:b/>
          <w:bCs/>
          <w:sz w:val="24"/>
        </w:rPr>
        <w:t>1.本页《报价表》由供应商在接到报价通知后依据磋商情况填写</w:t>
      </w:r>
      <w:r>
        <w:rPr>
          <w:rFonts w:hint="eastAsia" w:ascii="宋体" w:hAnsi="宋体" w:eastAsia="宋体" w:cs="宋体"/>
          <w:b/>
          <w:bCs/>
          <w:sz w:val="24"/>
          <w:lang w:eastAsia="zh-CN"/>
        </w:rPr>
        <w:t>，</w:t>
      </w:r>
      <w:r>
        <w:rPr>
          <w:rFonts w:hint="eastAsia" w:ascii="宋体" w:hAnsi="宋体" w:eastAsia="宋体" w:cs="宋体"/>
          <w:b/>
          <w:bCs/>
          <w:sz w:val="24"/>
        </w:rPr>
        <w:t>并在规定时间内上传。</w:t>
      </w:r>
      <w:r>
        <w:rPr>
          <w:rFonts w:hint="eastAsia" w:ascii="宋体" w:hAnsi="宋体" w:eastAsia="宋体" w:cs="宋体"/>
          <w:sz w:val="24"/>
        </w:rPr>
        <w:t>考虑磋商报价的方便，供应商在填写最后承诺报价后，（第一次报价</w:t>
      </w:r>
      <w:r>
        <w:rPr>
          <w:rFonts w:hint="eastAsia" w:ascii="宋体" w:hAnsi="宋体" w:eastAsia="宋体" w:cs="宋体"/>
          <w:sz w:val="24"/>
          <w:lang w:eastAsia="zh-CN"/>
        </w:rPr>
        <w:t>－</w:t>
      </w:r>
      <w:r>
        <w:rPr>
          <w:rFonts w:hint="eastAsia" w:ascii="宋体" w:hAnsi="宋体" w:eastAsia="宋体" w:cs="宋体"/>
          <w:sz w:val="24"/>
        </w:rPr>
        <w:t>最后承诺报价）除以第一次报价后得出的优惠率视同为需求表中全部分项设备、工程量或服务的优惠浮动值（特定分项优惠除外），而不考虑措施项目清单和规费税金清单的金额改变。此优惠率调整原则适用于合同内价格的计算及项目增减、变更时价格的计算。</w:t>
      </w:r>
    </w:p>
    <w:p w14:paraId="09BA5A5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rPr>
      </w:pPr>
      <w:r>
        <w:rPr>
          <w:rFonts w:hint="eastAsia" w:ascii="宋体" w:hAnsi="宋体" w:eastAsia="宋体" w:cs="宋体"/>
          <w:sz w:val="24"/>
        </w:rPr>
        <w:t>2.报价表中大写金额与小写金额不一致的，以大写金额为准。</w:t>
      </w:r>
    </w:p>
    <w:p w14:paraId="00B7238E">
      <w:pPr>
        <w:rPr>
          <w:b/>
          <w:color w:val="000000" w:themeColor="text1"/>
          <w:szCs w:val="28"/>
          <w:highlight w:val="none"/>
          <w14:textFill>
            <w14:solidFill>
              <w14:schemeClr w14:val="tx1"/>
            </w14:solidFill>
          </w14:textFill>
        </w:rPr>
      </w:pPr>
      <w:r>
        <w:rPr>
          <w:b/>
          <w:color w:val="000000" w:themeColor="text1"/>
          <w:szCs w:val="28"/>
          <w:highlight w:val="none"/>
          <w14:textFill>
            <w14:solidFill>
              <w14:schemeClr w14:val="tx1"/>
            </w14:solidFill>
          </w14:textFill>
        </w:rPr>
        <w:br w:type="page"/>
      </w:r>
    </w:p>
    <w:p w14:paraId="62909D1C">
      <w:pPr>
        <w:ind w:firstLine="482"/>
        <w:rPr>
          <w:b/>
          <w:color w:val="000000" w:themeColor="text1"/>
          <w:szCs w:val="28"/>
          <w:highlight w:val="none"/>
          <w14:textFill>
            <w14:solidFill>
              <w14:schemeClr w14:val="tx1"/>
            </w14:solidFill>
          </w14:textFill>
        </w:rPr>
      </w:pPr>
    </w:p>
    <w:p w14:paraId="16070183">
      <w:pPr>
        <w:ind w:firstLine="482"/>
        <w:jc w:val="center"/>
        <w:outlineLvl w:val="2"/>
        <w:rPr>
          <w:rFonts w:hint="eastAsia" w:cs="宋体" w:eastAsiaTheme="minorEastAsia"/>
          <w:color w:val="000000" w:themeColor="text1"/>
          <w:sz w:val="32"/>
          <w:szCs w:val="32"/>
          <w:highlight w:val="none"/>
          <w:lang w:eastAsia="zh-CN"/>
          <w14:textFill>
            <w14:solidFill>
              <w14:schemeClr w14:val="tx1"/>
            </w14:solidFill>
          </w14:textFill>
        </w:rPr>
      </w:pPr>
      <w:bookmarkStart w:id="31" w:name="_Toc520983591"/>
      <w:r>
        <w:rPr>
          <w:rFonts w:hint="eastAsia" w:asciiTheme="minorEastAsia" w:hAnsiTheme="minorEastAsia" w:eastAsiaTheme="minorEastAsia"/>
          <w:b/>
          <w:color w:val="000000" w:themeColor="text1"/>
          <w:highlight w:val="none"/>
          <w:lang w:eastAsia="zh-CN"/>
          <w14:textFill>
            <w14:solidFill>
              <w14:schemeClr w14:val="tx1"/>
            </w14:solidFill>
          </w14:textFill>
        </w:rPr>
        <w:t>三</w:t>
      </w:r>
      <w:r>
        <w:rPr>
          <w:rFonts w:hint="eastAsia" w:asciiTheme="minorEastAsia" w:hAnsiTheme="minorEastAsia" w:eastAsiaTheme="minorEastAsia"/>
          <w:b/>
          <w:color w:val="000000" w:themeColor="text1"/>
          <w:highlight w:val="none"/>
          <w14:textFill>
            <w14:solidFill>
              <w14:schemeClr w14:val="tx1"/>
            </w14:solidFill>
          </w14:textFill>
        </w:rPr>
        <w:t>、</w:t>
      </w:r>
      <w:r>
        <w:rPr>
          <w:rFonts w:hint="eastAsia" w:asciiTheme="minorEastAsia" w:hAnsiTheme="minorEastAsia" w:eastAsiaTheme="minorEastAsia"/>
          <w:b/>
          <w:color w:val="000000" w:themeColor="text1"/>
          <w:highlight w:val="none"/>
          <w:lang w:eastAsia="zh-CN"/>
          <w14:textFill>
            <w14:solidFill>
              <w14:schemeClr w14:val="tx1"/>
            </w14:solidFill>
          </w14:textFill>
        </w:rPr>
        <w:t>技术响应表</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7812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0964C5B5">
            <w:pPr>
              <w:keepNext w:val="0"/>
              <w:keepLines w:val="0"/>
              <w:widowControl w:val="0"/>
              <w:suppressLineNumbers w:val="0"/>
              <w:spacing w:before="0" w:beforeAutospacing="0" w:after="0" w:afterAutospacing="0"/>
              <w:ind w:left="0" w:leftChars="0" w:right="0" w:firstLine="0" w:firstLineChars="0"/>
              <w:jc w:val="cente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序号</w:t>
            </w:r>
          </w:p>
        </w:tc>
        <w:tc>
          <w:tcPr>
            <w:tcW w:w="915" w:type="pct"/>
            <w:vAlign w:val="center"/>
          </w:tcPr>
          <w:p w14:paraId="05C4DB9E">
            <w:pPr>
              <w:keepNext w:val="0"/>
              <w:keepLines w:val="0"/>
              <w:widowControl w:val="0"/>
              <w:suppressLineNumbers w:val="0"/>
              <w:spacing w:before="0" w:beforeAutospacing="0" w:after="0" w:afterAutospacing="0"/>
              <w:ind w:left="0" w:leftChars="0" w:right="0" w:firstLine="0" w:firstLineChars="0"/>
              <w:jc w:val="center"/>
              <w:rPr>
                <w:rFonts w:hint="eastAsia" w:ascii="宋体" w:hAnsi="宋体" w:eastAsia="宋体" w:cs="宋体"/>
                <w:b/>
                <w:kern w:val="2"/>
                <w:sz w:val="24"/>
                <w:szCs w:val="24"/>
                <w:lang w:val="en-US" w:eastAsia="zh-CN" w:bidi="ar-SA"/>
              </w:rPr>
            </w:pPr>
            <w:r>
              <w:rPr>
                <w:rFonts w:hint="eastAsia" w:ascii="宋体" w:hAnsi="宋体" w:eastAsia="宋体" w:cs="宋体"/>
                <w:b/>
                <w:bCs/>
                <w:kern w:val="2"/>
                <w:sz w:val="24"/>
                <w:szCs w:val="24"/>
                <w:lang w:val="en-US" w:eastAsia="zh-CN" w:bidi="ar-SA"/>
              </w:rPr>
              <w:t>货物名称</w:t>
            </w:r>
          </w:p>
        </w:tc>
        <w:tc>
          <w:tcPr>
            <w:tcW w:w="1680" w:type="pct"/>
            <w:vAlign w:val="center"/>
          </w:tcPr>
          <w:p w14:paraId="0A4104D1">
            <w:pPr>
              <w:keepNext w:val="0"/>
              <w:keepLines w:val="0"/>
              <w:widowControl w:val="0"/>
              <w:suppressLineNumbers w:val="0"/>
              <w:spacing w:before="0" w:beforeAutospacing="0" w:after="0" w:afterAutospacing="0"/>
              <w:ind w:left="0" w:leftChars="0" w:right="0" w:firstLine="0" w:firstLineChars="0"/>
              <w:jc w:val="cente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磋商文件规定的技术参数要求</w:t>
            </w:r>
          </w:p>
        </w:tc>
        <w:tc>
          <w:tcPr>
            <w:tcW w:w="1456" w:type="pct"/>
            <w:vAlign w:val="center"/>
          </w:tcPr>
          <w:p w14:paraId="310273DE">
            <w:pPr>
              <w:keepNext w:val="0"/>
              <w:keepLines w:val="0"/>
              <w:widowControl w:val="0"/>
              <w:suppressLineNumbers w:val="0"/>
              <w:spacing w:before="0" w:beforeAutospacing="0" w:after="0" w:afterAutospacing="0"/>
              <w:ind w:left="0" w:leftChars="0" w:right="0" w:firstLine="0" w:firstLineChars="0"/>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所投产品的品牌、产品规格（或型号）及技术参数</w:t>
            </w:r>
          </w:p>
        </w:tc>
        <w:tc>
          <w:tcPr>
            <w:tcW w:w="502" w:type="pct"/>
            <w:vAlign w:val="center"/>
          </w:tcPr>
          <w:p w14:paraId="46AE9419">
            <w:pPr>
              <w:keepNext w:val="0"/>
              <w:keepLines w:val="0"/>
              <w:widowControl w:val="0"/>
              <w:suppressLineNumbers w:val="0"/>
              <w:spacing w:before="0" w:beforeAutospacing="0" w:after="0" w:afterAutospacing="0"/>
              <w:ind w:left="0" w:leftChars="0" w:right="0" w:firstLine="0" w:firstLineChars="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偏离</w:t>
            </w:r>
            <w:bookmarkStart w:id="40" w:name="_GoBack"/>
            <w:bookmarkEnd w:id="40"/>
            <w:r>
              <w:rPr>
                <w:rFonts w:hint="eastAsia" w:ascii="宋体" w:hAnsi="宋体" w:eastAsia="宋体" w:cs="宋体"/>
                <w:b/>
                <w:bCs/>
                <w:kern w:val="2"/>
                <w:sz w:val="24"/>
                <w:szCs w:val="24"/>
                <w:lang w:val="en-US" w:eastAsia="zh-CN" w:bidi="ar-SA"/>
              </w:rPr>
              <w:t>说明</w:t>
            </w:r>
          </w:p>
        </w:tc>
      </w:tr>
      <w:tr w14:paraId="4EF5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CE93E5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915" w:type="pct"/>
            <w:vAlign w:val="center"/>
          </w:tcPr>
          <w:p w14:paraId="30E6CE9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4"/>
              </w:rPr>
            </w:pPr>
          </w:p>
        </w:tc>
        <w:tc>
          <w:tcPr>
            <w:tcW w:w="1680" w:type="pct"/>
            <w:vAlign w:val="center"/>
          </w:tcPr>
          <w:p w14:paraId="447F7E3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4"/>
              </w:rPr>
            </w:pPr>
          </w:p>
        </w:tc>
        <w:tc>
          <w:tcPr>
            <w:tcW w:w="1456" w:type="pct"/>
            <w:vAlign w:val="center"/>
          </w:tcPr>
          <w:p w14:paraId="467095B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4"/>
              </w:rPr>
            </w:pPr>
          </w:p>
        </w:tc>
        <w:tc>
          <w:tcPr>
            <w:tcW w:w="502" w:type="pct"/>
            <w:vAlign w:val="center"/>
          </w:tcPr>
          <w:p w14:paraId="0F94089D">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4"/>
              </w:rPr>
            </w:pPr>
          </w:p>
        </w:tc>
      </w:tr>
      <w:tr w14:paraId="4C30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3C429F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2</w:t>
            </w:r>
          </w:p>
        </w:tc>
        <w:tc>
          <w:tcPr>
            <w:tcW w:w="915" w:type="pct"/>
            <w:vAlign w:val="center"/>
          </w:tcPr>
          <w:p w14:paraId="68F3D95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4"/>
              </w:rPr>
            </w:pPr>
          </w:p>
        </w:tc>
        <w:tc>
          <w:tcPr>
            <w:tcW w:w="1680" w:type="pct"/>
            <w:vAlign w:val="center"/>
          </w:tcPr>
          <w:p w14:paraId="4603BAD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4"/>
              </w:rPr>
            </w:pPr>
          </w:p>
        </w:tc>
        <w:tc>
          <w:tcPr>
            <w:tcW w:w="1456" w:type="pct"/>
            <w:vAlign w:val="center"/>
          </w:tcPr>
          <w:p w14:paraId="3BA8905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4"/>
              </w:rPr>
            </w:pPr>
          </w:p>
        </w:tc>
        <w:tc>
          <w:tcPr>
            <w:tcW w:w="502" w:type="pct"/>
            <w:vAlign w:val="center"/>
          </w:tcPr>
          <w:p w14:paraId="27BDAD3D">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4"/>
              </w:rPr>
            </w:pPr>
          </w:p>
        </w:tc>
      </w:tr>
      <w:tr w14:paraId="21A5C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5BF1C04">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3</w:t>
            </w:r>
          </w:p>
        </w:tc>
        <w:tc>
          <w:tcPr>
            <w:tcW w:w="915" w:type="pct"/>
            <w:vAlign w:val="center"/>
          </w:tcPr>
          <w:p w14:paraId="0C85A0E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4"/>
              </w:rPr>
            </w:pPr>
          </w:p>
        </w:tc>
        <w:tc>
          <w:tcPr>
            <w:tcW w:w="1680" w:type="pct"/>
            <w:vAlign w:val="center"/>
          </w:tcPr>
          <w:p w14:paraId="23A43EF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4"/>
              </w:rPr>
            </w:pPr>
          </w:p>
        </w:tc>
        <w:tc>
          <w:tcPr>
            <w:tcW w:w="1456" w:type="pct"/>
            <w:vAlign w:val="center"/>
          </w:tcPr>
          <w:p w14:paraId="35C2E097">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SA"/>
              </w:rPr>
            </w:pPr>
          </w:p>
        </w:tc>
        <w:tc>
          <w:tcPr>
            <w:tcW w:w="502" w:type="pct"/>
            <w:vAlign w:val="center"/>
          </w:tcPr>
          <w:p w14:paraId="14A1980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4"/>
              </w:rPr>
            </w:pPr>
          </w:p>
        </w:tc>
      </w:tr>
      <w:tr w14:paraId="06F35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0927F8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4</w:t>
            </w:r>
          </w:p>
        </w:tc>
        <w:tc>
          <w:tcPr>
            <w:tcW w:w="915" w:type="pct"/>
            <w:vAlign w:val="center"/>
          </w:tcPr>
          <w:p w14:paraId="0D7BD9D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4"/>
              </w:rPr>
            </w:pPr>
          </w:p>
        </w:tc>
        <w:tc>
          <w:tcPr>
            <w:tcW w:w="1680" w:type="pct"/>
            <w:vAlign w:val="center"/>
          </w:tcPr>
          <w:p w14:paraId="70EEC33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4"/>
              </w:rPr>
            </w:pPr>
          </w:p>
        </w:tc>
        <w:tc>
          <w:tcPr>
            <w:tcW w:w="1456" w:type="pct"/>
            <w:vAlign w:val="center"/>
          </w:tcPr>
          <w:p w14:paraId="56667346">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SA"/>
              </w:rPr>
            </w:pPr>
          </w:p>
        </w:tc>
        <w:tc>
          <w:tcPr>
            <w:tcW w:w="502" w:type="pct"/>
            <w:vAlign w:val="center"/>
          </w:tcPr>
          <w:p w14:paraId="6B6B0687">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4"/>
              </w:rPr>
            </w:pPr>
          </w:p>
        </w:tc>
      </w:tr>
      <w:tr w14:paraId="2AB2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DE573B7">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w:t>
            </w:r>
          </w:p>
        </w:tc>
        <w:tc>
          <w:tcPr>
            <w:tcW w:w="915" w:type="pct"/>
            <w:vAlign w:val="center"/>
          </w:tcPr>
          <w:p w14:paraId="1D55314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4"/>
              </w:rPr>
            </w:pPr>
          </w:p>
        </w:tc>
        <w:tc>
          <w:tcPr>
            <w:tcW w:w="1680" w:type="pct"/>
            <w:vAlign w:val="center"/>
          </w:tcPr>
          <w:p w14:paraId="0614AFD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4"/>
              </w:rPr>
            </w:pPr>
          </w:p>
        </w:tc>
        <w:tc>
          <w:tcPr>
            <w:tcW w:w="1456" w:type="pct"/>
            <w:vAlign w:val="center"/>
          </w:tcPr>
          <w:p w14:paraId="7D752314">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4"/>
              </w:rPr>
            </w:pPr>
          </w:p>
        </w:tc>
        <w:tc>
          <w:tcPr>
            <w:tcW w:w="502" w:type="pct"/>
            <w:vAlign w:val="center"/>
          </w:tcPr>
          <w:p w14:paraId="34E5DD9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4"/>
                <w:szCs w:val="24"/>
              </w:rPr>
            </w:pPr>
          </w:p>
        </w:tc>
      </w:tr>
    </w:tbl>
    <w:p w14:paraId="05C502B4">
      <w:pPr>
        <w:widowControl/>
        <w:ind w:firstLine="482"/>
        <w:jc w:val="left"/>
        <w:rPr>
          <w:rFonts w:asciiTheme="minorEastAsia" w:hAnsiTheme="minorEastAsia" w:eastAsiaTheme="minorEastAsia"/>
          <w:b/>
          <w:color w:val="000000" w:themeColor="text1"/>
          <w:highlight w:val="none"/>
          <w14:textFill>
            <w14:solidFill>
              <w14:schemeClr w14:val="tx1"/>
            </w14:solidFill>
          </w14:textFill>
        </w:rPr>
      </w:pPr>
    </w:p>
    <w:p w14:paraId="5C5F0753">
      <w:pPr>
        <w:widowControl/>
        <w:ind w:firstLine="482"/>
        <w:jc w:val="left"/>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br w:type="page"/>
      </w:r>
    </w:p>
    <w:p w14:paraId="13A6622F">
      <w:pPr>
        <w:ind w:firstLine="482"/>
        <w:jc w:val="center"/>
        <w:outlineLvl w:val="2"/>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lang w:eastAsia="zh-CN"/>
          <w14:textFill>
            <w14:solidFill>
              <w14:schemeClr w14:val="tx1"/>
            </w14:solidFill>
          </w14:textFill>
        </w:rPr>
        <w:t>四</w:t>
      </w:r>
      <w:r>
        <w:rPr>
          <w:rFonts w:hint="eastAsia" w:asciiTheme="minorEastAsia" w:hAnsiTheme="minorEastAsia" w:eastAsiaTheme="minorEastAsia"/>
          <w:b/>
          <w:color w:val="000000" w:themeColor="text1"/>
          <w:highlight w:val="none"/>
          <w14:textFill>
            <w14:solidFill>
              <w14:schemeClr w14:val="tx1"/>
            </w14:solidFill>
          </w14:textFill>
        </w:rPr>
        <w:t>、磋商响应函</w:t>
      </w:r>
    </w:p>
    <w:p w14:paraId="6EEA2D89">
      <w:pPr>
        <w:ind w:firstLine="482"/>
        <w:rPr>
          <w:rFonts w:hint="eastAsia" w:cs="宋体" w:asciiTheme="minorEastAsia" w:hAnsiTheme="minorEastAsia" w:eastAsiaTheme="minorEastAsia"/>
          <w:b/>
          <w:color w:val="000000" w:themeColor="text1"/>
          <w:kern w:val="2"/>
          <w:szCs w:val="24"/>
          <w:highlight w:val="none"/>
          <w:u w:val="single"/>
          <w:lang w:eastAsia="zh-CN"/>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致：</w:t>
      </w:r>
      <w:r>
        <w:rPr>
          <w:rFonts w:hint="eastAsia" w:cs="宋体" w:asciiTheme="minorEastAsia" w:hAnsiTheme="minorEastAsia" w:eastAsiaTheme="minorEastAsia"/>
          <w:b/>
          <w:color w:val="000000" w:themeColor="text1"/>
          <w:kern w:val="2"/>
          <w:szCs w:val="24"/>
          <w:highlight w:val="none"/>
          <w:u w:val="single"/>
          <w:lang w:eastAsia="zh-CN"/>
          <w14:textFill>
            <w14:solidFill>
              <w14:schemeClr w14:val="tx1"/>
            </w14:solidFill>
          </w14:textFill>
        </w:rPr>
        <w:t>肥西县中医院</w:t>
      </w:r>
    </w:p>
    <w:p w14:paraId="71D0641C">
      <w:pPr>
        <w:ind w:firstLine="482"/>
        <w:rPr>
          <w:rFonts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肥西县公共资源交易有限责任公司</w:t>
      </w:r>
    </w:p>
    <w:p w14:paraId="7E0F6737">
      <w:pPr>
        <w:ind w:firstLine="480"/>
        <w:rPr>
          <w:rFonts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根据贵方的磋商文件，我方承诺如下：</w:t>
      </w:r>
    </w:p>
    <w:p w14:paraId="140F55FE">
      <w:pPr>
        <w:ind w:firstLine="480"/>
        <w:rPr>
          <w:rFonts w:cs="宋体" w:asciiTheme="minorEastAsia" w:hAnsiTheme="minorEastAsia" w:eastAsiaTheme="minorEastAsia"/>
          <w:color w:val="000000" w:themeColor="text1"/>
          <w:kern w:val="2"/>
          <w:szCs w:val="24"/>
          <w:highlight w:val="none"/>
          <w:u w:val="singl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1.经踏勘项目现场和研究上述磋商文件的磋商须知、合同条款、业主单位要求及其他有关文件后，我方接受上述文件要求。我方</w:t>
      </w: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承诺按本磋商文件、合同条款和业主单位要求承担上述项目的全部内容。</w:t>
      </w:r>
    </w:p>
    <w:p w14:paraId="3F1AFD16">
      <w:pPr>
        <w:ind w:firstLine="480"/>
        <w:rPr>
          <w:rFonts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2.我方已详细审核全部磋商文件，包括磋商文件的补疑、澄清、变更或补充（如有），参考资料及有关附件，我方正式认可并遵守本次磋商文件，并对磋商文件各项条款（包括磋商时间）、规定及要求均无异议。且我方自愿放弃针对上述各项条款提出异议的权利。</w:t>
      </w:r>
    </w:p>
    <w:p w14:paraId="60077DAD">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3.如我方成交，我方承诺愿意按磋商文件规定缴纳履约保证金和代理费用。按本次磋商文件规定及</w:t>
      </w:r>
      <w:r>
        <w:rPr>
          <w:rFonts w:cs="宋体"/>
          <w:color w:val="000000" w:themeColor="text1"/>
          <w:szCs w:val="24"/>
          <w:highlight w:val="none"/>
          <w14:textFill>
            <w14:solidFill>
              <w14:schemeClr w14:val="tx1"/>
            </w14:solidFill>
          </w14:textFill>
        </w:rPr>
        <w:t>最终报价</w:t>
      </w:r>
      <w:r>
        <w:rPr>
          <w:rFonts w:hint="eastAsia"/>
          <w:color w:val="000000" w:themeColor="text1"/>
          <w:highlight w:val="none"/>
          <w14:textFill>
            <w14:solidFill>
              <w14:schemeClr w14:val="tx1"/>
            </w14:solidFill>
          </w14:textFill>
        </w:rPr>
        <w:t>承诺提供服务。</w:t>
      </w:r>
    </w:p>
    <w:p w14:paraId="03333524">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4.我方根据本次磋商文件的规定，严格履行合同的责任和义务</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并保证于你方要求的日期内完成合同规定的全部义务。</w:t>
      </w:r>
    </w:p>
    <w:p w14:paraId="10600BFB">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5.我方同意按你方要求在磋商规定时间内向你方提供与其磋商有关的任何证据或补充资料，否则，我方的响应文件可被你方拒绝。</w:t>
      </w:r>
    </w:p>
    <w:p w14:paraId="6DF4F5ED">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6.我方完全理解你方不一定接受最低报价的磋商。</w:t>
      </w:r>
    </w:p>
    <w:p w14:paraId="1E70191E">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7.我方同意磋商文件规定的付款方式、服务期限。</w:t>
      </w:r>
    </w:p>
    <w:p w14:paraId="7AF22B04">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8.我方对响应文件中所提供资料、文件、证书及证件的真实性和有效性负责。</w:t>
      </w:r>
    </w:p>
    <w:p w14:paraId="46474ED0">
      <w:pPr>
        <w:ind w:firstLine="480"/>
        <w:rPr>
          <w:rFonts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9.我方同意所提交的响应文件在磋商文件规定的磋商有效期内有效，在此期间内如果成交，我方将受此约束。</w:t>
      </w:r>
    </w:p>
    <w:p w14:paraId="3671DC5D">
      <w:pPr>
        <w:ind w:firstLine="480"/>
        <w:rPr>
          <w:rFonts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10.除非另外达成协议并生效，你方的成交通知书和本响应文件以及磋商文件、磋商文件澄清、修改、补充将成为约束双方的合同文件的组成部分。</w:t>
      </w:r>
    </w:p>
    <w:p w14:paraId="6C733EAD">
      <w:pPr>
        <w:ind w:firstLine="480"/>
        <w:rPr>
          <w:rFonts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11.我方不存在磋商公告中“供应商资格要求”的“不良信用记录情形”规定的任何一种情形。</w:t>
      </w:r>
    </w:p>
    <w:p w14:paraId="67CC4976">
      <w:pPr>
        <w:ind w:firstLine="482"/>
        <w:rPr>
          <w:rFonts w:cs="宋体"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12.我方声明下述内容真实有效，如有虚假，将依法承担相应责任：</w:t>
      </w:r>
    </w:p>
    <w:p w14:paraId="5ED13016">
      <w:pPr>
        <w:ind w:firstLine="482"/>
        <w:rPr>
          <w:rFonts w:cs="宋体"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与我单位存在单位负责人为同一人或者存在直接控股、管理关系的其他法人单位信息如下：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71F3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5303658">
            <w:pPr>
              <w:keepNext w:val="0"/>
              <w:keepLines w:val="0"/>
              <w:widowControl/>
              <w:suppressLineNumbers w:val="0"/>
              <w:spacing w:before="156" w:beforeLines="50" w:beforeAutospacing="0" w:after="10" w:afterAutospacing="0"/>
              <w:ind w:left="0" w:right="0" w:firstLine="480"/>
              <w:jc w:val="center"/>
              <w:rPr>
                <w:rFonts w:hint="default"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序号</w:t>
            </w:r>
          </w:p>
        </w:tc>
        <w:tc>
          <w:tcPr>
            <w:tcW w:w="2841" w:type="dxa"/>
          </w:tcPr>
          <w:p w14:paraId="092BBE1A">
            <w:pPr>
              <w:pStyle w:val="19"/>
              <w:keepNext w:val="0"/>
              <w:keepLines w:val="0"/>
              <w:suppressLineNumbers w:val="0"/>
              <w:spacing w:before="156" w:beforeLines="50" w:beforeAutospacing="0" w:after="10" w:afterAutospacing="0"/>
              <w:ind w:left="300" w:right="0" w:firstLine="480"/>
              <w:jc w:val="center"/>
              <w:rPr>
                <w:rFonts w:hint="default" w:ascii="宋体" w:hAnsi="宋体" w:eastAsia="宋体" w:cs="宋体"/>
                <w:color w:val="000000" w:themeColor="text1"/>
                <w:highlight w:val="none"/>
                <w:lang w:val="en-US" w:bidi="ar"/>
                <w14:textFill>
                  <w14:solidFill>
                    <w14:schemeClr w14:val="tx1"/>
                  </w14:solidFill>
                </w14:textFill>
              </w:rPr>
            </w:pPr>
            <w:r>
              <w:rPr>
                <w:rFonts w:hint="eastAsia" w:ascii="宋体" w:hAnsi="宋体" w:eastAsia="宋体" w:cs="宋体"/>
                <w:color w:val="000000" w:themeColor="text1"/>
                <w:highlight w:val="none"/>
                <w:lang w:val="en-US" w:bidi="ar"/>
                <w14:textFill>
                  <w14:solidFill>
                    <w14:schemeClr w14:val="tx1"/>
                  </w14:solidFill>
                </w14:textFill>
              </w:rPr>
              <w:t>单位名称</w:t>
            </w:r>
          </w:p>
        </w:tc>
        <w:tc>
          <w:tcPr>
            <w:tcW w:w="2841" w:type="dxa"/>
          </w:tcPr>
          <w:p w14:paraId="11731215">
            <w:pPr>
              <w:pStyle w:val="19"/>
              <w:keepNext w:val="0"/>
              <w:keepLines w:val="0"/>
              <w:suppressLineNumbers w:val="0"/>
              <w:spacing w:before="156" w:beforeLines="50" w:beforeAutospacing="0" w:after="10" w:afterAutospacing="0"/>
              <w:ind w:left="300" w:right="0" w:firstLine="480"/>
              <w:jc w:val="center"/>
              <w:rPr>
                <w:rFonts w:hint="default" w:ascii="宋体" w:hAnsi="宋体" w:eastAsia="宋体" w:cs="宋体"/>
                <w:color w:val="000000" w:themeColor="text1"/>
                <w:highlight w:val="none"/>
                <w:lang w:val="en-US" w:bidi="ar"/>
                <w14:textFill>
                  <w14:solidFill>
                    <w14:schemeClr w14:val="tx1"/>
                  </w14:solidFill>
                </w14:textFill>
              </w:rPr>
            </w:pPr>
            <w:r>
              <w:rPr>
                <w:rFonts w:hint="eastAsia" w:ascii="宋体" w:hAnsi="宋体" w:eastAsia="宋体" w:cs="宋体"/>
                <w:color w:val="000000" w:themeColor="text1"/>
                <w:highlight w:val="none"/>
                <w:lang w:val="en-US" w:bidi="ar"/>
                <w14:textFill>
                  <w14:solidFill>
                    <w14:schemeClr w14:val="tx1"/>
                  </w14:solidFill>
                </w14:textFill>
              </w:rPr>
              <w:t>相互关系</w:t>
            </w:r>
          </w:p>
        </w:tc>
      </w:tr>
      <w:tr w14:paraId="2B82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31F372E">
            <w:pPr>
              <w:pStyle w:val="19"/>
              <w:keepNext w:val="0"/>
              <w:keepLines w:val="0"/>
              <w:suppressLineNumbers w:val="0"/>
              <w:spacing w:before="156" w:beforeLines="50" w:beforeAutospacing="0" w:after="10" w:afterAutospacing="0"/>
              <w:ind w:left="300" w:right="0" w:firstLine="480"/>
              <w:jc w:val="center"/>
              <w:rPr>
                <w:rFonts w:hint="default" w:ascii="宋体" w:hAnsi="宋体" w:eastAsia="宋体" w:cs="宋体"/>
                <w:color w:val="000000" w:themeColor="text1"/>
                <w:highlight w:val="none"/>
                <w:lang w:val="en-US" w:bidi="ar"/>
                <w14:textFill>
                  <w14:solidFill>
                    <w14:schemeClr w14:val="tx1"/>
                  </w14:solidFill>
                </w14:textFill>
              </w:rPr>
            </w:pPr>
            <w:r>
              <w:rPr>
                <w:rFonts w:hint="eastAsia" w:ascii="宋体" w:hAnsi="宋体" w:eastAsia="宋体" w:cs="宋体"/>
                <w:color w:val="000000" w:themeColor="text1"/>
                <w:highlight w:val="none"/>
                <w:lang w:val="en-US" w:bidi="ar"/>
                <w14:textFill>
                  <w14:solidFill>
                    <w14:schemeClr w14:val="tx1"/>
                  </w14:solidFill>
                </w14:textFill>
              </w:rPr>
              <w:t>1</w:t>
            </w:r>
          </w:p>
        </w:tc>
        <w:tc>
          <w:tcPr>
            <w:tcW w:w="2841" w:type="dxa"/>
          </w:tcPr>
          <w:p w14:paraId="53577B0E">
            <w:pPr>
              <w:pStyle w:val="19"/>
              <w:keepNext w:val="0"/>
              <w:keepLines w:val="0"/>
              <w:suppressLineNumbers w:val="0"/>
              <w:spacing w:before="156" w:beforeLines="50" w:beforeAutospacing="0" w:after="10" w:afterAutospacing="0"/>
              <w:ind w:left="300" w:right="0" w:firstLine="480"/>
              <w:jc w:val="center"/>
              <w:rPr>
                <w:rFonts w:hint="default" w:ascii="宋体" w:hAnsi="宋体" w:eastAsia="宋体" w:cs="宋体"/>
                <w:color w:val="000000" w:themeColor="text1"/>
                <w:highlight w:val="none"/>
                <w:lang w:val="en-US" w:bidi="ar"/>
                <w14:textFill>
                  <w14:solidFill>
                    <w14:schemeClr w14:val="tx1"/>
                  </w14:solidFill>
                </w14:textFill>
              </w:rPr>
            </w:pPr>
          </w:p>
        </w:tc>
        <w:tc>
          <w:tcPr>
            <w:tcW w:w="2841" w:type="dxa"/>
          </w:tcPr>
          <w:p w14:paraId="3D1554C2">
            <w:pPr>
              <w:pStyle w:val="19"/>
              <w:keepNext w:val="0"/>
              <w:keepLines w:val="0"/>
              <w:suppressLineNumbers w:val="0"/>
              <w:spacing w:before="156" w:beforeLines="50" w:beforeAutospacing="0" w:after="10" w:afterAutospacing="0"/>
              <w:ind w:left="300" w:right="0" w:firstLine="480"/>
              <w:jc w:val="center"/>
              <w:rPr>
                <w:rFonts w:hint="default" w:ascii="宋体" w:hAnsi="宋体" w:eastAsia="宋体" w:cs="宋体"/>
                <w:color w:val="000000" w:themeColor="text1"/>
                <w:highlight w:val="none"/>
                <w:lang w:val="en-US" w:bidi="ar"/>
                <w14:textFill>
                  <w14:solidFill>
                    <w14:schemeClr w14:val="tx1"/>
                  </w14:solidFill>
                </w14:textFill>
              </w:rPr>
            </w:pPr>
          </w:p>
        </w:tc>
      </w:tr>
      <w:tr w14:paraId="6E2C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EEF9C38">
            <w:pPr>
              <w:pStyle w:val="19"/>
              <w:keepNext w:val="0"/>
              <w:keepLines w:val="0"/>
              <w:suppressLineNumbers w:val="0"/>
              <w:spacing w:before="156" w:beforeLines="50" w:beforeAutospacing="0" w:after="10" w:afterAutospacing="0"/>
              <w:ind w:left="300" w:right="0" w:firstLine="480"/>
              <w:jc w:val="center"/>
              <w:rPr>
                <w:rFonts w:hint="default" w:ascii="宋体" w:hAnsi="宋体" w:eastAsia="宋体" w:cs="宋体"/>
                <w:color w:val="000000" w:themeColor="text1"/>
                <w:highlight w:val="none"/>
                <w:lang w:val="en-US" w:bidi="ar"/>
                <w14:textFill>
                  <w14:solidFill>
                    <w14:schemeClr w14:val="tx1"/>
                  </w14:solidFill>
                </w14:textFill>
              </w:rPr>
            </w:pPr>
            <w:r>
              <w:rPr>
                <w:rFonts w:hint="eastAsia" w:ascii="宋体" w:hAnsi="宋体" w:eastAsia="宋体" w:cs="宋体"/>
                <w:color w:val="000000" w:themeColor="text1"/>
                <w:highlight w:val="none"/>
                <w:lang w:val="en-US" w:bidi="ar"/>
                <w14:textFill>
                  <w14:solidFill>
                    <w14:schemeClr w14:val="tx1"/>
                  </w14:solidFill>
                </w14:textFill>
              </w:rPr>
              <w:t>2</w:t>
            </w:r>
          </w:p>
        </w:tc>
        <w:tc>
          <w:tcPr>
            <w:tcW w:w="2841" w:type="dxa"/>
          </w:tcPr>
          <w:p w14:paraId="53B00F8A">
            <w:pPr>
              <w:pStyle w:val="19"/>
              <w:keepNext w:val="0"/>
              <w:keepLines w:val="0"/>
              <w:suppressLineNumbers w:val="0"/>
              <w:spacing w:before="156" w:beforeLines="50" w:beforeAutospacing="0" w:after="10" w:afterAutospacing="0"/>
              <w:ind w:left="300" w:right="0" w:firstLine="480"/>
              <w:jc w:val="center"/>
              <w:rPr>
                <w:rFonts w:hint="default" w:ascii="宋体" w:hAnsi="宋体" w:eastAsia="宋体" w:cs="宋体"/>
                <w:color w:val="000000" w:themeColor="text1"/>
                <w:highlight w:val="none"/>
                <w:lang w:val="en-US" w:bidi="ar"/>
                <w14:textFill>
                  <w14:solidFill>
                    <w14:schemeClr w14:val="tx1"/>
                  </w14:solidFill>
                </w14:textFill>
              </w:rPr>
            </w:pPr>
          </w:p>
        </w:tc>
        <w:tc>
          <w:tcPr>
            <w:tcW w:w="2841" w:type="dxa"/>
          </w:tcPr>
          <w:p w14:paraId="3F1DF55F">
            <w:pPr>
              <w:pStyle w:val="19"/>
              <w:keepNext w:val="0"/>
              <w:keepLines w:val="0"/>
              <w:suppressLineNumbers w:val="0"/>
              <w:spacing w:before="156" w:beforeLines="50" w:beforeAutospacing="0" w:after="10" w:afterAutospacing="0"/>
              <w:ind w:left="300" w:right="0" w:firstLine="480"/>
              <w:jc w:val="center"/>
              <w:rPr>
                <w:rFonts w:hint="default" w:ascii="宋体" w:hAnsi="宋体" w:eastAsia="宋体" w:cs="宋体"/>
                <w:color w:val="000000" w:themeColor="text1"/>
                <w:highlight w:val="none"/>
                <w:lang w:val="en-US" w:bidi="ar"/>
                <w14:textFill>
                  <w14:solidFill>
                    <w14:schemeClr w14:val="tx1"/>
                  </w14:solidFill>
                </w14:textFill>
              </w:rPr>
            </w:pPr>
          </w:p>
        </w:tc>
      </w:tr>
      <w:tr w14:paraId="759A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AC3086D">
            <w:pPr>
              <w:pStyle w:val="19"/>
              <w:keepNext w:val="0"/>
              <w:keepLines w:val="0"/>
              <w:suppressLineNumbers w:val="0"/>
              <w:spacing w:before="156" w:beforeLines="50" w:beforeAutospacing="0" w:after="10" w:afterAutospacing="0"/>
              <w:ind w:left="300" w:right="0" w:firstLine="480"/>
              <w:jc w:val="center"/>
              <w:rPr>
                <w:rFonts w:hint="default" w:ascii="宋体" w:hAnsi="宋体" w:eastAsia="宋体" w:cs="宋体"/>
                <w:color w:val="000000" w:themeColor="text1"/>
                <w:highlight w:val="none"/>
                <w:lang w:val="en-US" w:bidi="ar"/>
                <w14:textFill>
                  <w14:solidFill>
                    <w14:schemeClr w14:val="tx1"/>
                  </w14:solidFill>
                </w14:textFill>
              </w:rPr>
            </w:pPr>
          </w:p>
        </w:tc>
        <w:tc>
          <w:tcPr>
            <w:tcW w:w="2841" w:type="dxa"/>
          </w:tcPr>
          <w:p w14:paraId="1FA7B442">
            <w:pPr>
              <w:pStyle w:val="19"/>
              <w:keepNext w:val="0"/>
              <w:keepLines w:val="0"/>
              <w:suppressLineNumbers w:val="0"/>
              <w:spacing w:before="156" w:beforeLines="50" w:beforeAutospacing="0" w:after="10" w:afterAutospacing="0"/>
              <w:ind w:left="300" w:right="0" w:firstLine="480"/>
              <w:jc w:val="center"/>
              <w:rPr>
                <w:rFonts w:hint="default" w:ascii="宋体" w:hAnsi="宋体" w:eastAsia="宋体" w:cs="宋体"/>
                <w:color w:val="000000" w:themeColor="text1"/>
                <w:highlight w:val="none"/>
                <w:lang w:val="en-US" w:bidi="ar"/>
                <w14:textFill>
                  <w14:solidFill>
                    <w14:schemeClr w14:val="tx1"/>
                  </w14:solidFill>
                </w14:textFill>
              </w:rPr>
            </w:pPr>
          </w:p>
        </w:tc>
        <w:tc>
          <w:tcPr>
            <w:tcW w:w="2841" w:type="dxa"/>
          </w:tcPr>
          <w:p w14:paraId="31BE78C4">
            <w:pPr>
              <w:pStyle w:val="19"/>
              <w:keepNext w:val="0"/>
              <w:keepLines w:val="0"/>
              <w:suppressLineNumbers w:val="0"/>
              <w:spacing w:before="156" w:beforeLines="50" w:beforeAutospacing="0" w:after="10" w:afterAutospacing="0"/>
              <w:ind w:left="300" w:right="0" w:firstLine="480"/>
              <w:jc w:val="center"/>
              <w:rPr>
                <w:rFonts w:hint="default" w:ascii="宋体" w:hAnsi="宋体" w:eastAsia="宋体" w:cs="宋体"/>
                <w:color w:val="000000" w:themeColor="text1"/>
                <w:highlight w:val="none"/>
                <w:lang w:val="en-US" w:bidi="ar"/>
                <w14:textFill>
                  <w14:solidFill>
                    <w14:schemeClr w14:val="tx1"/>
                  </w14:solidFill>
                </w14:textFill>
              </w:rPr>
            </w:pPr>
          </w:p>
        </w:tc>
      </w:tr>
    </w:tbl>
    <w:p w14:paraId="26B3819B">
      <w:pPr>
        <w:ind w:firstLine="480"/>
        <w:rPr>
          <w:rFonts w:cs="宋体" w:asciiTheme="minorEastAsia" w:hAnsiTheme="minorEastAsia" w:eastAsiaTheme="minorEastAsia"/>
          <w:color w:val="000000" w:themeColor="text1"/>
          <w:kern w:val="2"/>
          <w:szCs w:val="24"/>
          <w:highlight w:val="none"/>
          <w14:textFill>
            <w14:solidFill>
              <w14:schemeClr w14:val="tx1"/>
            </w14:solidFill>
          </w14:textFill>
        </w:rPr>
      </w:pPr>
    </w:p>
    <w:p w14:paraId="1192C05A">
      <w:pPr>
        <w:ind w:firstLine="480"/>
        <w:rPr>
          <w:color w:val="000000" w:themeColor="text1"/>
          <w:highlight w:val="none"/>
          <w14:textFill>
            <w14:solidFill>
              <w14:schemeClr w14:val="tx1"/>
            </w14:solidFill>
          </w14:textFill>
        </w:rPr>
      </w:pPr>
      <w:r>
        <w:rPr>
          <w:rFonts w:cs="宋体" w:asciiTheme="minorEastAsia" w:hAnsiTheme="minorEastAsia" w:eastAsiaTheme="minorEastAsia"/>
          <w:color w:val="000000" w:themeColor="text1"/>
          <w:kern w:val="2"/>
          <w:szCs w:val="24"/>
          <w:highlight w:val="none"/>
          <w14:textFill>
            <w14:solidFill>
              <w14:schemeClr w14:val="tx1"/>
            </w14:solidFill>
          </w14:textFill>
        </w:rPr>
        <w:t>1</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3.其他补充说明：</w:t>
      </w:r>
      <w:r>
        <w:rPr>
          <w:rFonts w:hint="eastAsia" w:cs="宋体" w:asciiTheme="minorEastAsia" w:hAnsiTheme="minorEastAsia" w:eastAsiaTheme="minorEastAsia"/>
          <w:color w:val="000000" w:themeColor="text1"/>
          <w:kern w:val="2"/>
          <w:szCs w:val="24"/>
          <w:highlight w:val="none"/>
          <w:u w:val="single"/>
          <w14:textFill>
            <w14:solidFill>
              <w14:schemeClr w14:val="tx1"/>
            </w14:solidFill>
          </w14:textFill>
        </w:rPr>
        <w:t xml:space="preserve">             补充说明事项（如有）       </w:t>
      </w:r>
    </w:p>
    <w:p w14:paraId="5502DC4A">
      <w:pPr>
        <w:pStyle w:val="54"/>
        <w:ind w:firstLine="240"/>
        <w:rPr>
          <w:color w:val="000000" w:themeColor="text1"/>
          <w:highlight w:val="none"/>
          <w14:textFill>
            <w14:solidFill>
              <w14:schemeClr w14:val="tx1"/>
            </w14:solidFill>
          </w14:textFill>
        </w:rPr>
      </w:pPr>
    </w:p>
    <w:p w14:paraId="4052FF14">
      <w:pPr>
        <w:ind w:firstLine="4800" w:firstLineChars="2000"/>
        <w:rPr>
          <w:rFonts w:cs="@仿宋_GB2312"/>
          <w:color w:val="000000" w:themeColor="text1"/>
          <w:kern w:val="2"/>
          <w:highlight w:val="non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供应商电子签章或公章</w:t>
      </w:r>
      <w:r>
        <w:rPr>
          <w:rFonts w:hint="eastAsia" w:cs="@仿宋_GB2312"/>
          <w:color w:val="000000" w:themeColor="text1"/>
          <w:kern w:val="2"/>
          <w:highlight w:val="none"/>
          <w14:textFill>
            <w14:solidFill>
              <w14:schemeClr w14:val="tx1"/>
            </w14:solidFill>
          </w14:textFill>
        </w:rPr>
        <w:t>：</w:t>
      </w:r>
      <w:r>
        <w:rPr>
          <w:rFonts w:hint="eastAsia" w:cs="@仿宋_GB2312"/>
          <w:color w:val="000000" w:themeColor="text1"/>
          <w:kern w:val="2"/>
          <w:highlight w:val="none"/>
          <w:u w:val="single"/>
          <w14:textFill>
            <w14:solidFill>
              <w14:schemeClr w14:val="tx1"/>
            </w14:solidFill>
          </w14:textFill>
        </w:rPr>
        <w:t xml:space="preserve">             </w:t>
      </w:r>
    </w:p>
    <w:p w14:paraId="7C42B216">
      <w:pPr>
        <w:ind w:firstLine="4800" w:firstLineChars="2000"/>
        <w:rPr>
          <w:rFonts w:cs="@仿宋_GB2312"/>
          <w:color w:val="000000" w:themeColor="text1"/>
          <w:kern w:val="2"/>
          <w:highlight w:val="none"/>
          <w:u w:val="single"/>
          <w14:textFill>
            <w14:solidFill>
              <w14:schemeClr w14:val="tx1"/>
            </w14:solidFill>
          </w14:textFill>
        </w:rPr>
      </w:pPr>
      <w:r>
        <w:rPr>
          <w:rFonts w:hint="eastAsia" w:cs="@仿宋_GB2312"/>
          <w:color w:val="000000" w:themeColor="text1"/>
          <w:kern w:val="2"/>
          <w:highlight w:val="none"/>
          <w14:textFill>
            <w14:solidFill>
              <w14:schemeClr w14:val="tx1"/>
            </w14:solidFill>
          </w14:textFill>
        </w:rPr>
        <w:t>日          期：</w:t>
      </w:r>
      <w:r>
        <w:rPr>
          <w:rFonts w:hint="eastAsia" w:cs="@仿宋_GB2312"/>
          <w:color w:val="000000" w:themeColor="text1"/>
          <w:kern w:val="2"/>
          <w:highlight w:val="none"/>
          <w:u w:val="single"/>
          <w14:textFill>
            <w14:solidFill>
              <w14:schemeClr w14:val="tx1"/>
            </w14:solidFill>
          </w14:textFill>
        </w:rPr>
        <w:t xml:space="preserve">             </w:t>
      </w:r>
    </w:p>
    <w:p w14:paraId="44D67DF1">
      <w:pPr>
        <w:widowControl/>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5335B634">
      <w:pPr>
        <w:ind w:firstLine="482"/>
        <w:jc w:val="center"/>
        <w:outlineLvl w:val="2"/>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lang w:eastAsia="zh-CN"/>
          <w14:textFill>
            <w14:solidFill>
              <w14:schemeClr w14:val="tx1"/>
            </w14:solidFill>
          </w14:textFill>
        </w:rPr>
        <w:t>五</w:t>
      </w:r>
      <w:r>
        <w:rPr>
          <w:rFonts w:hint="eastAsia" w:asciiTheme="minorEastAsia" w:hAnsiTheme="minorEastAsia" w:eastAsiaTheme="minorEastAsia"/>
          <w:b/>
          <w:color w:val="000000" w:themeColor="text1"/>
          <w:highlight w:val="none"/>
          <w14:textFill>
            <w14:solidFill>
              <w14:schemeClr w14:val="tx1"/>
            </w14:solidFill>
          </w14:textFill>
        </w:rPr>
        <w:t>、无不良信用记录声明函</w:t>
      </w:r>
    </w:p>
    <w:p w14:paraId="6D490E8C">
      <w:pPr>
        <w:ind w:firstLine="48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（联合体参加磋商的，联合体双方均须提供）</w:t>
      </w:r>
    </w:p>
    <w:p w14:paraId="3A84D77C">
      <w:pPr>
        <w:ind w:firstLine="48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1、本单位郑重声明，我单位无以下不良信用记录情形：</w:t>
      </w:r>
    </w:p>
    <w:p w14:paraId="1A130BB2">
      <w:pPr>
        <w:ind w:firstLine="48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在最近三年内（自磋商截止之日向前追溯3年，下同）有骗取成交或严重违约或重大工程质量事故或重大生产安全事故的（以相关行业主管部门的行政处罚决定或司法机关出具的有关法律文书为准），但前述行政处罚已完成信用修复的，自行政处罚作出机关或信用修复主管部门同意修复之日起满一年的，不受三年期限限制；</w:t>
      </w:r>
    </w:p>
    <w:p w14:paraId="18D39FA7">
      <w:pPr>
        <w:ind w:firstLine="48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（2）被责令停业，暂扣或吊销执照，或吊销资质证书；</w:t>
      </w:r>
    </w:p>
    <w:p w14:paraId="7D791D9C">
      <w:pPr>
        <w:ind w:firstLine="48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（3）进入清算程序，或被宣告破产，或其他丧失履约能力的情形；</w:t>
      </w:r>
    </w:p>
    <w:p w14:paraId="2969E470">
      <w:pPr>
        <w:ind w:firstLine="48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（4）在国家企业信用信息公示系统（http://www.gsxt.gov.cn/）中被列入严重违法失信企业名单；</w:t>
      </w:r>
    </w:p>
    <w:p w14:paraId="170EFE63">
      <w:pPr>
        <w:ind w:firstLine="48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（5）在“信用中国”网站（http://www.creditchina.gov.cn/）中被列入失信被执行人名单；</w:t>
      </w:r>
    </w:p>
    <w:p w14:paraId="6405972A">
      <w:pPr>
        <w:ind w:firstLine="48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（6）在“信用中国”网站（http://www.creditchina.gov.cn/）中被列入重大税收违法案件当事人名单；</w:t>
      </w:r>
    </w:p>
    <w:p w14:paraId="1038E6D2">
      <w:pPr>
        <w:ind w:firstLine="48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本单位对上述声明的真实性负责。如有虚假，将依法承担相应责任。</w:t>
      </w:r>
    </w:p>
    <w:p w14:paraId="31CCF996">
      <w:pPr>
        <w:ind w:firstLine="480"/>
        <w:rPr>
          <w:color w:val="000000" w:themeColor="text1"/>
          <w:szCs w:val="24"/>
          <w:highlight w:val="none"/>
          <w14:textFill>
            <w14:solidFill>
              <w14:schemeClr w14:val="tx1"/>
            </w14:solidFill>
          </w14:textFill>
        </w:rPr>
      </w:pPr>
    </w:p>
    <w:p w14:paraId="768D1447">
      <w:pPr>
        <w:ind w:firstLine="560"/>
        <w:jc w:val="right"/>
        <w:rPr>
          <w:color w:val="000000" w:themeColor="text1"/>
          <w:sz w:val="28"/>
          <w:szCs w:val="28"/>
          <w:highlight w:val="none"/>
          <w14:textFill>
            <w14:solidFill>
              <w14:schemeClr w14:val="tx1"/>
            </w14:solidFill>
          </w14:textFill>
        </w:rPr>
      </w:pPr>
    </w:p>
    <w:p w14:paraId="4B5593F1">
      <w:pPr>
        <w:ind w:left="5280" w:leftChars="2200" w:firstLine="48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xml:space="preserve">供应商电子签章：                     </w:t>
      </w:r>
    </w:p>
    <w:p w14:paraId="04B3408E">
      <w:pPr>
        <w:ind w:left="5280" w:leftChars="2200" w:firstLine="480"/>
        <w:jc w:val="left"/>
        <w:rPr>
          <w:rFonts w:asciiTheme="minorEastAsia" w:hAnsiTheme="minorEastAsia" w:eastAsiaTheme="minorEastAsia"/>
          <w:b/>
          <w:color w:val="000000" w:themeColor="text1"/>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日期：</w:t>
      </w:r>
      <w:r>
        <w:rPr>
          <w:rFonts w:hint="eastAsia" w:asciiTheme="minorEastAsia" w:hAnsiTheme="minorEastAsia" w:eastAsiaTheme="minorEastAsia"/>
          <w:b/>
          <w:color w:val="000000" w:themeColor="text1"/>
          <w:szCs w:val="24"/>
          <w:highlight w:val="none"/>
          <w14:textFill>
            <w14:solidFill>
              <w14:schemeClr w14:val="tx1"/>
            </w14:solidFill>
          </w14:textFill>
        </w:rPr>
        <w:t xml:space="preserve">                 </w:t>
      </w:r>
      <w:r>
        <w:rPr>
          <w:rFonts w:hint="eastAsia" w:asciiTheme="minorEastAsia" w:hAnsiTheme="minorEastAsia" w:eastAsiaTheme="minorEastAsia"/>
          <w:b/>
          <w:color w:val="000000" w:themeColor="text1"/>
          <w:highlight w:val="none"/>
          <w14:textFill>
            <w14:solidFill>
              <w14:schemeClr w14:val="tx1"/>
            </w14:solidFill>
          </w14:textFill>
        </w:rPr>
        <w:t xml:space="preserve">    </w:t>
      </w:r>
    </w:p>
    <w:p w14:paraId="726378E8">
      <w:pPr>
        <w:widowControl/>
        <w:ind w:firstLine="482"/>
        <w:jc w:val="left"/>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br w:type="page"/>
      </w:r>
    </w:p>
    <w:bookmarkEnd w:id="31"/>
    <w:p w14:paraId="1D13B08D">
      <w:pPr>
        <w:widowControl/>
        <w:ind w:firstLine="480"/>
        <w:jc w:val="left"/>
        <w:rPr>
          <w:color w:val="000000" w:themeColor="text1"/>
          <w:highlight w:val="none"/>
          <w14:textFill>
            <w14:solidFill>
              <w14:schemeClr w14:val="tx1"/>
            </w14:solidFill>
          </w14:textFill>
        </w:rPr>
      </w:pPr>
    </w:p>
    <w:p w14:paraId="066A6E2E">
      <w:pPr>
        <w:ind w:firstLine="482"/>
        <w:jc w:val="center"/>
        <w:outlineLvl w:val="2"/>
        <w:rPr>
          <w:rFonts w:asciiTheme="minorEastAsia" w:hAnsiTheme="minorEastAsia" w:eastAsiaTheme="minorEastAsia"/>
          <w:b/>
          <w:color w:val="000000" w:themeColor="text1"/>
          <w:highlight w:val="none"/>
          <w14:textFill>
            <w14:solidFill>
              <w14:schemeClr w14:val="tx1"/>
            </w14:solidFill>
          </w14:textFill>
        </w:rPr>
      </w:pPr>
      <w:bookmarkStart w:id="32" w:name="_Toc121626298"/>
      <w:bookmarkStart w:id="33" w:name="_Toc204594911"/>
      <w:bookmarkStart w:id="34" w:name="_Toc516969106"/>
      <w:bookmarkStart w:id="35" w:name="_Toc520983594"/>
      <w:r>
        <w:rPr>
          <w:rFonts w:hint="eastAsia" w:asciiTheme="minorEastAsia" w:hAnsiTheme="minorEastAsia" w:eastAsiaTheme="minorEastAsia"/>
          <w:b/>
          <w:color w:val="000000" w:themeColor="text1"/>
          <w:highlight w:val="none"/>
          <w:lang w:eastAsia="zh-CN"/>
          <w14:textFill>
            <w14:solidFill>
              <w14:schemeClr w14:val="tx1"/>
            </w14:solidFill>
          </w14:textFill>
        </w:rPr>
        <w:t>六</w:t>
      </w:r>
      <w:r>
        <w:rPr>
          <w:rFonts w:hint="eastAsia" w:asciiTheme="minorEastAsia" w:hAnsiTheme="minorEastAsia" w:eastAsiaTheme="minorEastAsia"/>
          <w:b/>
          <w:color w:val="000000" w:themeColor="text1"/>
          <w:highlight w:val="none"/>
          <w14:textFill>
            <w14:solidFill>
              <w14:schemeClr w14:val="tx1"/>
            </w14:solidFill>
          </w14:textFill>
        </w:rPr>
        <w:t>、授权书</w:t>
      </w:r>
      <w:bookmarkEnd w:id="32"/>
      <w:bookmarkEnd w:id="33"/>
      <w:bookmarkEnd w:id="34"/>
      <w:bookmarkEnd w:id="35"/>
    </w:p>
    <w:p w14:paraId="41295E18">
      <w:pPr>
        <w:ind w:firstLine="482"/>
        <w:jc w:val="center"/>
        <w:rPr>
          <w:rFonts w:asciiTheme="minorEastAsia" w:hAnsiTheme="minorEastAsia" w:eastAsiaTheme="minorEastAsia"/>
          <w:b/>
          <w:color w:val="000000" w:themeColor="text1"/>
          <w:highlight w:val="none"/>
          <w14:textFill>
            <w14:solidFill>
              <w14:schemeClr w14:val="tx1"/>
            </w14:solidFill>
          </w14:textFill>
        </w:rPr>
      </w:pPr>
    </w:p>
    <w:p w14:paraId="71785D9F">
      <w:pPr>
        <w:pStyle w:val="28"/>
        <w:snapToGrid w:val="0"/>
        <w:ind w:firstLine="480"/>
        <w:jc w:val="left"/>
        <w:rPr>
          <w:rFonts w:hAnsi="宋体" w:eastAsia="宋体"/>
          <w:color w:val="000000" w:themeColor="text1"/>
          <w:szCs w:val="28"/>
          <w:highlight w:val="non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本授权书声明：</w:t>
      </w:r>
      <w:r>
        <w:rPr>
          <w:rFonts w:hint="eastAsia" w:hAnsi="宋体" w:eastAsia="宋体"/>
          <w:color w:val="000000" w:themeColor="text1"/>
          <w:szCs w:val="28"/>
          <w:highlight w:val="none"/>
          <w:u w:val="single"/>
          <w14:textFill>
            <w14:solidFill>
              <w14:schemeClr w14:val="tx1"/>
            </w14:solidFill>
          </w14:textFill>
        </w:rPr>
        <w:t xml:space="preserve">           </w:t>
      </w:r>
      <w:r>
        <w:rPr>
          <w:rFonts w:hint="eastAsia" w:hAnsi="宋体" w:eastAsia="宋体"/>
          <w:color w:val="000000" w:themeColor="text1"/>
          <w:szCs w:val="28"/>
          <w:highlight w:val="none"/>
          <w14:textFill>
            <w14:solidFill>
              <w14:schemeClr w14:val="tx1"/>
            </w14:solidFill>
          </w14:textFill>
        </w:rPr>
        <w:t>（供应商名称）授权</w:t>
      </w:r>
      <w:r>
        <w:rPr>
          <w:rFonts w:hint="eastAsia" w:hAnsi="宋体" w:eastAsia="宋体"/>
          <w:color w:val="000000" w:themeColor="text1"/>
          <w:szCs w:val="28"/>
          <w:highlight w:val="none"/>
          <w:u w:val="single"/>
          <w14:textFill>
            <w14:solidFill>
              <w14:schemeClr w14:val="tx1"/>
            </w14:solidFill>
          </w14:textFill>
        </w:rPr>
        <w:t xml:space="preserve">       </w:t>
      </w:r>
      <w:r>
        <w:rPr>
          <w:rFonts w:hint="eastAsia" w:hAnsi="宋体" w:eastAsia="宋体"/>
          <w:color w:val="000000" w:themeColor="text1"/>
          <w:szCs w:val="28"/>
          <w:highlight w:val="none"/>
          <w14:textFill>
            <w14:solidFill>
              <w14:schemeClr w14:val="tx1"/>
            </w14:solidFill>
          </w14:textFill>
        </w:rPr>
        <w:t>（供应商授权代表姓名）代表我方参加本项目</w:t>
      </w:r>
      <w:r>
        <w:rPr>
          <w:rFonts w:hint="eastAsia" w:hAnsi="宋体" w:eastAsia="宋体"/>
          <w:bCs/>
          <w:color w:val="000000" w:themeColor="text1"/>
          <w:szCs w:val="28"/>
          <w:highlight w:val="none"/>
          <w14:textFill>
            <w14:solidFill>
              <w14:schemeClr w14:val="tx1"/>
            </w14:solidFill>
          </w14:textFill>
        </w:rPr>
        <w:t>磋商活动</w:t>
      </w:r>
      <w:r>
        <w:rPr>
          <w:rFonts w:hint="eastAsia" w:hAnsi="宋体" w:eastAsia="宋体"/>
          <w:color w:val="000000" w:themeColor="text1"/>
          <w:szCs w:val="28"/>
          <w:highlight w:val="none"/>
          <w14:textFill>
            <w14:solidFill>
              <w14:schemeClr w14:val="tx1"/>
            </w14:solidFill>
          </w14:textFill>
        </w:rPr>
        <w:t>，全权代表我方处理磋商过程的一切事宜，包括但不限于：提交响应文件、参与磋商、签约等。供应商授权代表在磋商活动过程中所签署的一切文件和处理与之有关的一切事务，本公司均予以认可并对此承担责任。供应商授权代表无转委托权。特此授权。</w:t>
      </w:r>
    </w:p>
    <w:p w14:paraId="04A2F250">
      <w:pPr>
        <w:pStyle w:val="28"/>
        <w:snapToGrid w:val="0"/>
        <w:ind w:firstLine="480"/>
        <w:jc w:val="left"/>
        <w:rPr>
          <w:rFonts w:hAnsi="宋体" w:eastAsia="宋体"/>
          <w:color w:val="000000" w:themeColor="text1"/>
          <w:szCs w:val="28"/>
          <w:highlight w:val="non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本授权书自出具之日起生效。</w:t>
      </w:r>
    </w:p>
    <w:p w14:paraId="7AFD2DA2">
      <w:pPr>
        <w:pStyle w:val="28"/>
        <w:snapToGrid w:val="0"/>
        <w:ind w:firstLine="480"/>
        <w:jc w:val="left"/>
        <w:rPr>
          <w:rFonts w:hAnsi="宋体" w:eastAsia="宋体"/>
          <w:color w:val="000000" w:themeColor="text1"/>
          <w:highlight w:val="none"/>
          <w14:textFill>
            <w14:solidFill>
              <w14:schemeClr w14:val="tx1"/>
            </w14:solidFill>
          </w14:textFill>
        </w:rPr>
      </w:pPr>
    </w:p>
    <w:p w14:paraId="0C90A15E">
      <w:pPr>
        <w:pStyle w:val="28"/>
        <w:snapToGrid w:val="0"/>
        <w:ind w:firstLine="480"/>
        <w:jc w:val="left"/>
        <w:rPr>
          <w:rFonts w:hAnsi="宋体" w:eastAsia="宋体"/>
          <w:color w:val="000000" w:themeColor="text1"/>
          <w:highlight w:val="none"/>
          <w14:textFill>
            <w14:solidFill>
              <w14:schemeClr w14:val="tx1"/>
            </w14:solidFill>
          </w14:textFill>
        </w:rPr>
      </w:pPr>
    </w:p>
    <w:p w14:paraId="0417F2FA">
      <w:pPr>
        <w:pStyle w:val="28"/>
        <w:snapToGrid w:val="0"/>
        <w:ind w:firstLine="480"/>
        <w:jc w:val="left"/>
        <w:rPr>
          <w:rFonts w:hAnsi="宋体" w:eastAsia="宋体"/>
          <w:color w:val="000000" w:themeColor="text1"/>
          <w:highlight w:val="none"/>
          <w14:textFill>
            <w14:solidFill>
              <w14:schemeClr w14:val="tx1"/>
            </w14:solidFill>
          </w14:textFill>
        </w:rPr>
      </w:pPr>
    </w:p>
    <w:p w14:paraId="084DFFFB">
      <w:pPr>
        <w:pStyle w:val="28"/>
        <w:snapToGrid w:val="0"/>
        <w:ind w:firstLine="480"/>
        <w:jc w:val="left"/>
        <w:rPr>
          <w:rFonts w:hAnsi="宋体" w:eastAsia="宋体"/>
          <w:color w:val="000000" w:themeColor="text1"/>
          <w:szCs w:val="28"/>
          <w:highlight w:val="none"/>
          <w:u w:val="singl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授权代表联系方式：</w:t>
      </w:r>
      <w:r>
        <w:rPr>
          <w:rFonts w:hint="eastAsia" w:hAnsi="宋体" w:eastAsia="宋体"/>
          <w:color w:val="000000" w:themeColor="text1"/>
          <w:szCs w:val="28"/>
          <w:highlight w:val="none"/>
          <w:u w:val="single"/>
          <w14:textFill>
            <w14:solidFill>
              <w14:schemeClr w14:val="tx1"/>
            </w14:solidFill>
          </w14:textFill>
        </w:rPr>
        <w:t xml:space="preserve">          （请填写手机号码）</w:t>
      </w:r>
    </w:p>
    <w:p w14:paraId="3BAF7BAF">
      <w:pPr>
        <w:pStyle w:val="28"/>
        <w:snapToGrid w:val="0"/>
        <w:ind w:firstLine="480"/>
        <w:jc w:val="left"/>
        <w:rPr>
          <w:rFonts w:hAnsi="宋体" w:eastAsia="宋体"/>
          <w:color w:val="000000" w:themeColor="text1"/>
          <w:szCs w:val="28"/>
          <w:highlight w:val="none"/>
          <w14:textFill>
            <w14:solidFill>
              <w14:schemeClr w14:val="tx1"/>
            </w14:solidFill>
          </w14:textFill>
        </w:rPr>
      </w:pPr>
    </w:p>
    <w:p w14:paraId="1DD07361">
      <w:pPr>
        <w:ind w:firstLine="360" w:firstLineChars="150"/>
        <w:rPr>
          <w:color w:val="000000" w:themeColor="text1"/>
          <w:szCs w:val="28"/>
          <w:highlight w:val="none"/>
          <w14:textFill>
            <w14:solidFill>
              <w14:schemeClr w14:val="tx1"/>
            </w14:solidFill>
          </w14:textFill>
        </w:rPr>
      </w:pPr>
      <w:r>
        <w:rPr>
          <w:rFonts w:hint="eastAsia"/>
          <w:color w:val="000000" w:themeColor="text1"/>
          <w:szCs w:val="28"/>
          <w:highlight w:val="none"/>
          <w14:textFill>
            <w14:solidFill>
              <w14:schemeClr w14:val="tx1"/>
            </w14:solidFill>
          </w14:textFill>
        </w:rPr>
        <w:t>特此声明。</w:t>
      </w:r>
    </w:p>
    <w:p w14:paraId="72DFE3E6">
      <w:pPr>
        <w:ind w:firstLine="480"/>
        <w:rPr>
          <w:color w:val="000000" w:themeColor="text1"/>
          <w:szCs w:val="28"/>
          <w:highlight w:val="none"/>
          <w14:textFill>
            <w14:solidFill>
              <w14:schemeClr w14:val="tx1"/>
            </w14:solidFill>
          </w14:textFill>
        </w:rPr>
      </w:pPr>
    </w:p>
    <w:p w14:paraId="14DB34DB">
      <w:pPr>
        <w:ind w:firstLine="480"/>
        <w:rPr>
          <w:bCs/>
          <w:color w:val="000000" w:themeColor="text1"/>
          <w:szCs w:val="28"/>
          <w:highlight w:val="non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供应商电子签章或公章</w:t>
      </w:r>
      <w:r>
        <w:rPr>
          <w:rFonts w:hint="eastAsia"/>
          <w:bCs/>
          <w:color w:val="000000" w:themeColor="text1"/>
          <w:szCs w:val="28"/>
          <w:highlight w:val="none"/>
          <w14:textFill>
            <w14:solidFill>
              <w14:schemeClr w14:val="tx1"/>
            </w14:solidFill>
          </w14:textFill>
        </w:rPr>
        <w:t>：</w:t>
      </w:r>
      <w:r>
        <w:rPr>
          <w:rFonts w:hint="eastAsia"/>
          <w:bCs/>
          <w:color w:val="000000" w:themeColor="text1"/>
          <w:szCs w:val="28"/>
          <w:highlight w:val="none"/>
          <w:u w:val="single"/>
          <w14:textFill>
            <w14:solidFill>
              <w14:schemeClr w14:val="tx1"/>
            </w14:solidFill>
          </w14:textFill>
        </w:rPr>
        <w:t xml:space="preserve">                    </w:t>
      </w:r>
    </w:p>
    <w:p w14:paraId="3EBA9916">
      <w:pPr>
        <w:ind w:firstLine="480"/>
        <w:rPr>
          <w:color w:val="000000" w:themeColor="text1"/>
          <w:szCs w:val="28"/>
          <w:highlight w:val="none"/>
          <w14:textFill>
            <w14:solidFill>
              <w14:schemeClr w14:val="tx1"/>
            </w14:solidFill>
          </w14:textFill>
        </w:rPr>
      </w:pPr>
      <w:r>
        <w:rPr>
          <w:rFonts w:hint="eastAsia"/>
          <w:color w:val="000000" w:themeColor="text1"/>
          <w:szCs w:val="28"/>
          <w:highlight w:val="none"/>
          <w14:textFill>
            <w14:solidFill>
              <w14:schemeClr w14:val="tx1"/>
            </w14:solidFill>
          </w14:textFill>
        </w:rPr>
        <w:t>日      期：</w:t>
      </w:r>
      <w:r>
        <w:rPr>
          <w:rFonts w:hint="eastAsia"/>
          <w:color w:val="000000" w:themeColor="text1"/>
          <w:szCs w:val="28"/>
          <w:highlight w:val="none"/>
          <w:u w:val="single"/>
          <w14:textFill>
            <w14:solidFill>
              <w14:schemeClr w14:val="tx1"/>
            </w14:solidFill>
          </w14:textFill>
        </w:rPr>
        <w:t xml:space="preserve">                    </w:t>
      </w:r>
    </w:p>
    <w:p w14:paraId="4DA0734A">
      <w:pPr>
        <w:ind w:firstLine="480"/>
        <w:rPr>
          <w:color w:val="000000" w:themeColor="text1"/>
          <w:szCs w:val="28"/>
          <w:highlight w:val="none"/>
          <w14:textFill>
            <w14:solidFill>
              <w14:schemeClr w14:val="tx1"/>
            </w14:solidFill>
          </w14:textFill>
        </w:rPr>
      </w:pPr>
    </w:p>
    <w:p w14:paraId="1630B61F">
      <w:pPr>
        <w:ind w:firstLine="480"/>
        <w:rPr>
          <w:color w:val="000000" w:themeColor="text1"/>
          <w:szCs w:val="28"/>
          <w:highlight w:val="none"/>
          <w14:textFill>
            <w14:solidFill>
              <w14:schemeClr w14:val="tx1"/>
            </w14:solidFill>
          </w14:textFill>
        </w:rPr>
      </w:pPr>
    </w:p>
    <w:p w14:paraId="587D16C1">
      <w:pPr>
        <w:pStyle w:val="28"/>
        <w:snapToGrid w:val="0"/>
        <w:ind w:firstLine="480"/>
        <w:jc w:val="left"/>
        <w:rPr>
          <w:rFonts w:hAnsi="宋体" w:eastAsia="宋体"/>
          <w:color w:val="000000" w:themeColor="text1"/>
          <w:szCs w:val="28"/>
          <w:highlight w:val="non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注：</w:t>
      </w:r>
    </w:p>
    <w:p w14:paraId="7A3820A1">
      <w:pPr>
        <w:pStyle w:val="28"/>
        <w:snapToGrid w:val="0"/>
        <w:ind w:firstLine="480"/>
        <w:jc w:val="left"/>
        <w:rPr>
          <w:rFonts w:hAnsi="宋体" w:eastAsia="宋体"/>
          <w:color w:val="000000" w:themeColor="text1"/>
          <w:szCs w:val="28"/>
          <w:highlight w:val="non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1.本项目只允许有唯一的供应商授权代表；</w:t>
      </w:r>
    </w:p>
    <w:p w14:paraId="77A33E48">
      <w:pPr>
        <w:ind w:firstLine="48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2.法定代表人参加磋商的无需提供授权书，仅提供法定代表人身份证明书。</w:t>
      </w:r>
    </w:p>
    <w:p w14:paraId="08BCF042">
      <w:pPr>
        <w:widowControl/>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2B4136B2">
      <w:pPr>
        <w:keepNext/>
        <w:keepLines/>
        <w:spacing w:before="260" w:after="260" w:line="416" w:lineRule="auto"/>
        <w:ind w:firstLine="482"/>
        <w:jc w:val="center"/>
        <w:outlineLvl w:val="2"/>
        <w:rPr>
          <w:rFonts w:cs="@仿宋_GB2312"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仿宋_GB2312" w:asciiTheme="minorEastAsia" w:hAnsiTheme="minorEastAsia" w:eastAsiaTheme="minorEastAsia"/>
          <w:b/>
          <w:bCs/>
          <w:color w:val="000000" w:themeColor="text1"/>
          <w:kern w:val="2"/>
          <w:szCs w:val="24"/>
          <w:highlight w:val="none"/>
          <w:lang w:eastAsia="zh-CN"/>
          <w14:textFill>
            <w14:solidFill>
              <w14:schemeClr w14:val="tx1"/>
            </w14:solidFill>
          </w14:textFill>
        </w:rPr>
        <w:t>七</w:t>
      </w:r>
      <w:r>
        <w:rPr>
          <w:rFonts w:hint="eastAsia" w:cs="@仿宋_GB2312" w:asciiTheme="minorEastAsia" w:hAnsiTheme="minorEastAsia" w:eastAsiaTheme="minorEastAsia"/>
          <w:b/>
          <w:bCs/>
          <w:color w:val="000000" w:themeColor="text1"/>
          <w:kern w:val="2"/>
          <w:szCs w:val="24"/>
          <w:highlight w:val="none"/>
          <w14:textFill>
            <w14:solidFill>
              <w14:schemeClr w14:val="tx1"/>
            </w14:solidFill>
          </w14:textFill>
        </w:rPr>
        <w:t>、法定代表人身份证明书</w:t>
      </w:r>
    </w:p>
    <w:p w14:paraId="0FD6B5FA">
      <w:pPr>
        <w:autoSpaceDE w:val="0"/>
        <w:autoSpaceDN w:val="0"/>
        <w:adjustRightInd w:val="0"/>
        <w:ind w:firstLine="413"/>
        <w:jc w:val="center"/>
        <w:rPr>
          <w:rFonts w:ascii="@仿宋_GB2312" w:eastAsia="@仿宋_GB2312" w:cs="宋体"/>
          <w:b/>
          <w:color w:val="000000" w:themeColor="text1"/>
          <w:kern w:val="2"/>
          <w:sz w:val="21"/>
          <w:szCs w:val="24"/>
          <w:highlight w:val="none"/>
          <w:lang w:val="zh-CN"/>
          <w14:textFill>
            <w14:solidFill>
              <w14:schemeClr w14:val="tx1"/>
            </w14:solidFill>
          </w14:textFill>
        </w:rPr>
      </w:pPr>
    </w:p>
    <w:p w14:paraId="6249FD7F">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单位名称：</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16A2F785">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单位性质：</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57115B26">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地    址：</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74817E44">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成立时间：</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年</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月</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日</w:t>
      </w:r>
    </w:p>
    <w:p w14:paraId="3CB73E07">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经营期限：</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03E72ABB">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姓    名：</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 性 </w:t>
      </w:r>
      <w:r>
        <w:rPr>
          <w:rFonts w:ascii="Calibri" w:hAnsi="Calibri" w:cs="Times New Roman"/>
          <w:color w:val="000000" w:themeColor="text1"/>
          <w:kern w:val="2"/>
          <w:szCs w:val="28"/>
          <w:highlight w:val="non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 别：</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74128845">
      <w:pPr>
        <w:snapToGrid w:val="0"/>
        <w:ind w:firstLine="480"/>
        <w:jc w:val="left"/>
        <w:rPr>
          <w:rFonts w:ascii="Calibri" w:hAnsi="Calibri" w:cs="Times New Roman"/>
          <w:color w:val="000000" w:themeColor="text1"/>
          <w:kern w:val="2"/>
          <w:szCs w:val="28"/>
          <w:highlight w:val="none"/>
          <w:u w:val="singl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年    龄：</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 职    务：</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1EEEC98B">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联系</w:t>
      </w:r>
      <w:r>
        <w:rPr>
          <w:rFonts w:ascii="Calibri" w:hAnsi="Calibri" w:cs="Times New Roman"/>
          <w:color w:val="000000" w:themeColor="text1"/>
          <w:kern w:val="2"/>
          <w:szCs w:val="28"/>
          <w:highlight w:val="none"/>
          <w14:textFill>
            <w14:solidFill>
              <w14:schemeClr w14:val="tx1"/>
            </w14:solidFill>
          </w14:textFill>
        </w:rPr>
        <w:t>电话</w:t>
      </w:r>
      <w:r>
        <w:rPr>
          <w:rFonts w:hint="eastAsia" w:ascii="Calibri" w:hAnsi="Calibri" w:cs="Times New Roman"/>
          <w:color w:val="000000" w:themeColor="text1"/>
          <w:kern w:val="2"/>
          <w:szCs w:val="28"/>
          <w:highlight w:val="none"/>
          <w14:textFill>
            <w14:solidFill>
              <w14:schemeClr w14:val="tx1"/>
            </w14:solidFill>
          </w14:textFill>
        </w:rPr>
        <w:t>：</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 手机号码：</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5A0E0492">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系  </w:t>
      </w:r>
      <w:r>
        <w:rPr>
          <w:rFonts w:hint="eastAsia" w:ascii="Calibri" w:hAnsi="Calibri" w:cs="Times New Roman"/>
          <w:color w:val="000000" w:themeColor="text1"/>
          <w:kern w:val="2"/>
          <w:szCs w:val="28"/>
          <w:highlight w:val="none"/>
          <w:u w:val="single"/>
          <w14:textFill>
            <w14:solidFill>
              <w14:schemeClr w14:val="tx1"/>
            </w14:solidFill>
          </w14:textFill>
        </w:rPr>
        <w:t xml:space="preserve">   （供应商单位名称）       </w:t>
      </w:r>
      <w:r>
        <w:rPr>
          <w:rFonts w:hint="eastAsia" w:ascii="Calibri" w:hAnsi="Calibri" w:cs="Times New Roman"/>
          <w:color w:val="000000" w:themeColor="text1"/>
          <w:kern w:val="2"/>
          <w:szCs w:val="28"/>
          <w:highlight w:val="none"/>
          <w14:textFill>
            <w14:solidFill>
              <w14:schemeClr w14:val="tx1"/>
            </w14:solidFill>
          </w14:textFill>
        </w:rPr>
        <w:t>的法定代表人。</w:t>
      </w:r>
    </w:p>
    <w:p w14:paraId="20A7FD98">
      <w:pPr>
        <w:spacing w:before="62" w:beforeLines="20" w:after="62" w:afterLines="20" w:line="540" w:lineRule="exact"/>
        <w:ind w:firstLine="480"/>
        <w:rPr>
          <w:rFonts w:ascii="@仿宋_GB2312" w:hAnsi="Calibri" w:eastAsia="@仿宋_GB2312" w:cs="宋体"/>
          <w:color w:val="000000" w:themeColor="text1"/>
          <w:kern w:val="2"/>
          <w:szCs w:val="24"/>
          <w:highlight w:val="none"/>
          <w14:textFill>
            <w14:solidFill>
              <w14:schemeClr w14:val="tx1"/>
            </w14:solidFill>
          </w14:textFill>
        </w:rPr>
      </w:pPr>
    </w:p>
    <w:p w14:paraId="007F1CE6">
      <w:pPr>
        <w:spacing w:before="62" w:beforeLines="20" w:after="62" w:afterLines="20" w:line="540" w:lineRule="exact"/>
        <w:ind w:left="480" w:leftChars="200" w:firstLine="240" w:firstLineChars="100"/>
        <w:rPr>
          <w:rFonts w:ascii="Calibri" w:hAnsi="Calibri" w:cs="宋体"/>
          <w:color w:val="000000" w:themeColor="text1"/>
          <w:kern w:val="2"/>
          <w:szCs w:val="24"/>
          <w:highlight w:val="none"/>
          <w14:textFill>
            <w14:solidFill>
              <w14:schemeClr w14:val="tx1"/>
            </w14:solidFill>
          </w14:textFill>
        </w:rPr>
      </w:pPr>
      <w:r>
        <w:rPr>
          <w:rFonts w:hint="eastAsia" w:ascii="Calibri" w:hAnsi="Calibri" w:cs="宋体"/>
          <w:color w:val="000000" w:themeColor="text1"/>
          <w:kern w:val="2"/>
          <w:szCs w:val="24"/>
          <w:highlight w:val="none"/>
          <w14:textFill>
            <w14:solidFill>
              <w14:schemeClr w14:val="tx1"/>
            </w14:solidFill>
          </w14:textFill>
        </w:rPr>
        <w:t>特此证明。</w:t>
      </w:r>
    </w:p>
    <w:p w14:paraId="0D46E6A6">
      <w:pPr>
        <w:tabs>
          <w:tab w:val="left" w:pos="720"/>
          <w:tab w:val="left" w:pos="900"/>
        </w:tabs>
        <w:spacing w:before="62" w:beforeLines="20" w:after="62" w:afterLines="20" w:line="540" w:lineRule="exact"/>
        <w:ind w:firstLine="480"/>
        <w:rPr>
          <w:rFonts w:ascii="Calibri" w:hAnsi="Calibri" w:cs="宋体"/>
          <w:color w:val="000000" w:themeColor="text1"/>
          <w:kern w:val="2"/>
          <w:szCs w:val="24"/>
          <w:highlight w:val="none"/>
          <w14:textFill>
            <w14:solidFill>
              <w14:schemeClr w14:val="tx1"/>
            </w14:solidFill>
          </w14:textFill>
        </w:rPr>
      </w:pPr>
      <w:r>
        <w:rPr>
          <w:rFonts w:hint="eastAsia" w:ascii="Calibri" w:hAnsi="Calibri" w:cs="宋体"/>
          <w:color w:val="000000" w:themeColor="text1"/>
          <w:kern w:val="2"/>
          <w:szCs w:val="24"/>
          <w:highlight w:val="none"/>
          <w14:textFill>
            <w14:solidFill>
              <w14:schemeClr w14:val="tx1"/>
            </w14:solidFill>
          </w14:textFill>
        </w:rPr>
        <w:t>附：法定代表人身份证扫描件</w:t>
      </w:r>
    </w:p>
    <w:p w14:paraId="0C4F86BE">
      <w:pPr>
        <w:tabs>
          <w:tab w:val="left" w:pos="720"/>
          <w:tab w:val="left" w:pos="900"/>
        </w:tabs>
        <w:spacing w:before="62" w:beforeLines="20" w:after="62" w:afterLines="20" w:line="540" w:lineRule="exact"/>
        <w:ind w:firstLine="480"/>
        <w:rPr>
          <w:rFonts w:ascii="@仿宋_GB2312" w:hAnsi="Calibri" w:eastAsia="@仿宋_GB2312" w:cs="宋体"/>
          <w:color w:val="000000" w:themeColor="text1"/>
          <w:kern w:val="2"/>
          <w:szCs w:val="24"/>
          <w:highlight w:val="none"/>
          <w14:textFill>
            <w14:solidFill>
              <w14:schemeClr w14:val="tx1"/>
            </w14:solidFill>
          </w14:textFill>
        </w:rPr>
      </w:pPr>
    </w:p>
    <w:p w14:paraId="60DCA92E">
      <w:pPr>
        <w:tabs>
          <w:tab w:val="left" w:pos="720"/>
          <w:tab w:val="left" w:pos="900"/>
        </w:tabs>
        <w:spacing w:before="62" w:beforeLines="20" w:after="62" w:afterLines="20" w:line="540" w:lineRule="exact"/>
        <w:ind w:firstLine="4560" w:firstLineChars="1900"/>
        <w:rPr>
          <w:rFonts w:ascii="@仿宋_GB2312" w:hAnsi="Calibri" w:eastAsia="@仿宋_GB2312" w:cs="宋体"/>
          <w:color w:val="000000" w:themeColor="text1"/>
          <w:kern w:val="2"/>
          <w:szCs w:val="24"/>
          <w:highlight w:val="none"/>
          <w14:textFill>
            <w14:solidFill>
              <w14:schemeClr w14:val="tx1"/>
            </w14:solidFill>
          </w14:textFill>
        </w:rPr>
      </w:pPr>
    </w:p>
    <w:p w14:paraId="036CD9DC">
      <w:pPr>
        <w:ind w:firstLine="3840" w:firstLineChars="1600"/>
        <w:rPr>
          <w:rFonts w:cs="宋体"/>
          <w:color w:val="000000" w:themeColor="text1"/>
          <w:kern w:val="2"/>
          <w:szCs w:val="24"/>
          <w:highlight w:val="non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供应商电子签章或公章</w:t>
      </w:r>
      <w:r>
        <w:rPr>
          <w:rFonts w:hint="eastAsia" w:cs="宋体"/>
          <w:color w:val="000000" w:themeColor="text1"/>
          <w:kern w:val="2"/>
          <w:szCs w:val="24"/>
          <w:highlight w:val="none"/>
          <w14:textFill>
            <w14:solidFill>
              <w14:schemeClr w14:val="tx1"/>
            </w14:solidFill>
          </w14:textFill>
        </w:rPr>
        <w:t>：</w:t>
      </w:r>
      <w:r>
        <w:rPr>
          <w:rFonts w:cs="宋体"/>
          <w:color w:val="000000" w:themeColor="text1"/>
          <w:kern w:val="2"/>
          <w:szCs w:val="24"/>
          <w:highlight w:val="none"/>
          <w:u w:val="single"/>
          <w14:textFill>
            <w14:solidFill>
              <w14:schemeClr w14:val="tx1"/>
            </w14:solidFill>
          </w14:textFill>
        </w:rPr>
        <w:t xml:space="preserve">        </w:t>
      </w:r>
      <w:r>
        <w:rPr>
          <w:rFonts w:hint="eastAsia" w:cs="宋体"/>
          <w:color w:val="000000" w:themeColor="text1"/>
          <w:kern w:val="2"/>
          <w:szCs w:val="24"/>
          <w:highlight w:val="none"/>
          <w:u w:val="single"/>
          <w14:textFill>
            <w14:solidFill>
              <w14:schemeClr w14:val="tx1"/>
            </w14:solidFill>
          </w14:textFill>
        </w:rPr>
        <w:t xml:space="preserve">      </w:t>
      </w:r>
      <w:r>
        <w:rPr>
          <w:rFonts w:cs="宋体"/>
          <w:color w:val="000000" w:themeColor="text1"/>
          <w:kern w:val="2"/>
          <w:szCs w:val="24"/>
          <w:highlight w:val="none"/>
          <w:u w:val="single"/>
          <w14:textFill>
            <w14:solidFill>
              <w14:schemeClr w14:val="tx1"/>
            </w14:solidFill>
          </w14:textFill>
        </w:rPr>
        <w:t xml:space="preserve">       </w:t>
      </w:r>
    </w:p>
    <w:p w14:paraId="49A92D14">
      <w:pPr>
        <w:ind w:firstLine="3840" w:firstLineChars="160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日</w:t>
      </w:r>
      <w:r>
        <w:rPr>
          <w:rFonts w:cs="宋体"/>
          <w:color w:val="000000" w:themeColor="text1"/>
          <w:kern w:val="2"/>
          <w:szCs w:val="24"/>
          <w:highlight w:val="none"/>
          <w14:textFill>
            <w14:solidFill>
              <w14:schemeClr w14:val="tx1"/>
            </w14:solidFill>
          </w14:textFill>
        </w:rPr>
        <w:t xml:space="preserve">   </w:t>
      </w:r>
      <w:r>
        <w:rPr>
          <w:rFonts w:hint="eastAsia" w:cs="宋体"/>
          <w:color w:val="000000" w:themeColor="text1"/>
          <w:kern w:val="2"/>
          <w:szCs w:val="24"/>
          <w:highlight w:val="none"/>
          <w14:textFill>
            <w14:solidFill>
              <w14:schemeClr w14:val="tx1"/>
            </w14:solidFill>
          </w14:textFill>
        </w:rPr>
        <w:t xml:space="preserve">    </w:t>
      </w:r>
      <w:r>
        <w:rPr>
          <w:rFonts w:cs="宋体"/>
          <w:color w:val="000000" w:themeColor="text1"/>
          <w:kern w:val="2"/>
          <w:szCs w:val="24"/>
          <w:highlight w:val="none"/>
          <w14:textFill>
            <w14:solidFill>
              <w14:schemeClr w14:val="tx1"/>
            </w14:solidFill>
          </w14:textFill>
        </w:rPr>
        <w:t xml:space="preserve">   </w:t>
      </w:r>
      <w:r>
        <w:rPr>
          <w:rFonts w:hint="eastAsia" w:cs="宋体"/>
          <w:color w:val="000000" w:themeColor="text1"/>
          <w:kern w:val="2"/>
          <w:szCs w:val="24"/>
          <w:highlight w:val="none"/>
          <w14:textFill>
            <w14:solidFill>
              <w14:schemeClr w14:val="tx1"/>
            </w14:solidFill>
          </w14:textFill>
        </w:rPr>
        <w:t>期：</w:t>
      </w:r>
      <w:r>
        <w:rPr>
          <w:rFonts w:cs="宋体"/>
          <w:color w:val="000000" w:themeColor="text1"/>
          <w:kern w:val="2"/>
          <w:szCs w:val="24"/>
          <w:highlight w:val="none"/>
          <w:u w:val="single"/>
          <w14:textFill>
            <w14:solidFill>
              <w14:schemeClr w14:val="tx1"/>
            </w14:solidFill>
          </w14:textFill>
        </w:rPr>
        <w:t xml:space="preserve">           </w:t>
      </w:r>
      <w:r>
        <w:rPr>
          <w:rFonts w:hint="eastAsia" w:cs="宋体"/>
          <w:color w:val="000000" w:themeColor="text1"/>
          <w:kern w:val="2"/>
          <w:szCs w:val="24"/>
          <w:highlight w:val="none"/>
          <w:u w:val="single"/>
          <w14:textFill>
            <w14:solidFill>
              <w14:schemeClr w14:val="tx1"/>
            </w14:solidFill>
          </w14:textFill>
        </w:rPr>
        <w:t xml:space="preserve"> </w:t>
      </w:r>
      <w:r>
        <w:rPr>
          <w:rFonts w:cs="宋体"/>
          <w:color w:val="000000" w:themeColor="text1"/>
          <w:kern w:val="2"/>
          <w:szCs w:val="24"/>
          <w:highlight w:val="none"/>
          <w:u w:val="single"/>
          <w14:textFill>
            <w14:solidFill>
              <w14:schemeClr w14:val="tx1"/>
            </w14:solidFill>
          </w14:textFill>
        </w:rPr>
        <w:t xml:space="preserve">    </w:t>
      </w:r>
      <w:r>
        <w:rPr>
          <w:rFonts w:hint="eastAsia" w:cs="宋体"/>
          <w:color w:val="000000" w:themeColor="text1"/>
          <w:kern w:val="2"/>
          <w:szCs w:val="24"/>
          <w:highlight w:val="none"/>
          <w:u w:val="single"/>
          <w14:textFill>
            <w14:solidFill>
              <w14:schemeClr w14:val="tx1"/>
            </w14:solidFill>
          </w14:textFill>
        </w:rPr>
        <w:t xml:space="preserve">  </w:t>
      </w:r>
      <w:r>
        <w:rPr>
          <w:rFonts w:cs="宋体"/>
          <w:color w:val="000000" w:themeColor="text1"/>
          <w:kern w:val="2"/>
          <w:szCs w:val="24"/>
          <w:highlight w:val="none"/>
          <w:u w:val="single"/>
          <w14:textFill>
            <w14:solidFill>
              <w14:schemeClr w14:val="tx1"/>
            </w14:solidFill>
          </w14:textFill>
        </w:rPr>
        <w:t xml:space="preserve">   </w:t>
      </w:r>
    </w:p>
    <w:p w14:paraId="27369F78">
      <w:pPr>
        <w:widowControl/>
        <w:ind w:firstLine="480"/>
        <w:jc w:val="left"/>
        <w:rPr>
          <w:rFonts w:cs="@仿宋_GB2312" w:asciiTheme="minorEastAsia" w:hAnsiTheme="minorEastAsia" w:eastAsiaTheme="minorEastAsia"/>
          <w:b/>
          <w:bCs/>
          <w:color w:val="000000" w:themeColor="text1"/>
          <w:kern w:val="2"/>
          <w:szCs w:val="24"/>
          <w:highlight w:val="none"/>
          <w14:textFill>
            <w14:solidFill>
              <w14:schemeClr w14:val="tx1"/>
            </w14:solidFill>
          </w14:textFill>
        </w:rPr>
      </w:pPr>
      <w:r>
        <w:rPr>
          <w:rFonts w:cs="@仿宋_GB2312" w:asciiTheme="minorEastAsia" w:hAnsiTheme="minorEastAsia" w:eastAsiaTheme="minorEastAsia"/>
          <w:color w:val="000000" w:themeColor="text1"/>
          <w:kern w:val="2"/>
          <w:szCs w:val="24"/>
          <w:highlight w:val="none"/>
          <w14:textFill>
            <w14:solidFill>
              <w14:schemeClr w14:val="tx1"/>
            </w14:solidFill>
          </w14:textFill>
        </w:rPr>
        <w:br w:type="page"/>
      </w:r>
    </w:p>
    <w:p w14:paraId="279886E7">
      <w:pPr>
        <w:keepNext/>
        <w:keepLines/>
        <w:spacing w:before="260" w:after="260" w:line="416" w:lineRule="auto"/>
        <w:ind w:firstLine="482"/>
        <w:jc w:val="center"/>
        <w:outlineLvl w:val="2"/>
        <w:rPr>
          <w:rFonts w:cs="@仿宋_GB2312"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仿宋_GB2312" w:asciiTheme="minorEastAsia" w:hAnsiTheme="minorEastAsia" w:eastAsiaTheme="minorEastAsia"/>
          <w:b/>
          <w:bCs/>
          <w:color w:val="000000" w:themeColor="text1"/>
          <w:kern w:val="2"/>
          <w:szCs w:val="24"/>
          <w:highlight w:val="none"/>
          <w:lang w:eastAsia="zh-CN"/>
          <w14:textFill>
            <w14:solidFill>
              <w14:schemeClr w14:val="tx1"/>
            </w14:solidFill>
          </w14:textFill>
        </w:rPr>
        <w:t>八</w:t>
      </w:r>
      <w:r>
        <w:rPr>
          <w:rFonts w:hint="eastAsia" w:cs="@仿宋_GB2312" w:asciiTheme="minorEastAsia" w:hAnsiTheme="minorEastAsia" w:eastAsiaTheme="minorEastAsia"/>
          <w:b/>
          <w:bCs/>
          <w:color w:val="000000" w:themeColor="text1"/>
          <w:kern w:val="2"/>
          <w:szCs w:val="24"/>
          <w:highlight w:val="none"/>
          <w14:textFill>
            <w14:solidFill>
              <w14:schemeClr w14:val="tx1"/>
            </w14:solidFill>
          </w14:textFill>
        </w:rPr>
        <w:t>、业绩及证明材料</w:t>
      </w:r>
    </w:p>
    <w:p w14:paraId="6EA30E8C">
      <w:pPr>
        <w:keepNext/>
        <w:keepLines/>
        <w:numPr>
          <w:ilvl w:val="0"/>
          <w:numId w:val="4"/>
        </w:numPr>
        <w:ind w:firstLine="48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业绩表</w:t>
      </w:r>
    </w:p>
    <w:p w14:paraId="6F1B05D4">
      <w:pPr>
        <w:keepNext/>
        <w:keepLines/>
        <w:ind w:firstLine="48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（格式仅供参考）</w:t>
      </w:r>
    </w:p>
    <w:p w14:paraId="06B7F4B2">
      <w:pPr>
        <w:ind w:firstLine="420"/>
        <w:rPr>
          <w:rFonts w:eastAsia="@仿宋_GB2312" w:cs="@仿宋_GB2312"/>
          <w:color w:val="000000" w:themeColor="text1"/>
          <w:kern w:val="2"/>
          <w:sz w:val="21"/>
          <w:highlight w:val="none"/>
          <w14:textFill>
            <w14:solidFill>
              <w14:schemeClr w14:val="tx1"/>
            </w14:solidFill>
          </w14:textFill>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655"/>
        <w:gridCol w:w="1490"/>
        <w:gridCol w:w="1565"/>
        <w:gridCol w:w="1778"/>
        <w:gridCol w:w="1086"/>
      </w:tblGrid>
      <w:tr w14:paraId="3224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7" w:type="pct"/>
            <w:vAlign w:val="center"/>
          </w:tcPr>
          <w:p w14:paraId="64EFB5DC">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序号</w:t>
            </w:r>
          </w:p>
        </w:tc>
        <w:tc>
          <w:tcPr>
            <w:tcW w:w="971" w:type="pct"/>
            <w:vAlign w:val="center"/>
          </w:tcPr>
          <w:p w14:paraId="0364098F">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项目名称</w:t>
            </w:r>
          </w:p>
        </w:tc>
        <w:tc>
          <w:tcPr>
            <w:tcW w:w="874" w:type="pct"/>
            <w:vAlign w:val="center"/>
          </w:tcPr>
          <w:p w14:paraId="2959EA7D">
            <w:pPr>
              <w:keepNext w:val="0"/>
              <w:keepLines w:val="0"/>
              <w:widowControl/>
              <w:suppressLineNumbers w:val="0"/>
              <w:spacing w:before="0" w:beforeAutospacing="0" w:after="0" w:afterAutospacing="0"/>
              <w:ind w:left="0" w:right="0" w:firstLine="0" w:firstLineChars="0"/>
              <w:jc w:val="center"/>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项目内容</w:t>
            </w:r>
          </w:p>
        </w:tc>
        <w:tc>
          <w:tcPr>
            <w:tcW w:w="918" w:type="pct"/>
            <w:vAlign w:val="center"/>
          </w:tcPr>
          <w:p w14:paraId="214E9530">
            <w:pPr>
              <w:keepNext w:val="0"/>
              <w:keepLines w:val="0"/>
              <w:widowControl/>
              <w:suppressLineNumbers w:val="0"/>
              <w:spacing w:before="0" w:beforeAutospacing="0" w:after="0" w:afterAutospacing="0"/>
              <w:ind w:left="0" w:right="0" w:firstLine="0" w:firstLineChars="0"/>
              <w:jc w:val="center"/>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合同总金额</w:t>
            </w:r>
          </w:p>
        </w:tc>
        <w:tc>
          <w:tcPr>
            <w:tcW w:w="1043" w:type="pct"/>
            <w:vAlign w:val="center"/>
          </w:tcPr>
          <w:p w14:paraId="72D8FD61">
            <w:pPr>
              <w:keepNext w:val="0"/>
              <w:keepLines w:val="0"/>
              <w:widowControl/>
              <w:suppressLineNumbers w:val="0"/>
              <w:spacing w:before="0" w:beforeAutospacing="0" w:after="0" w:afterAutospacing="0"/>
              <w:ind w:left="0" w:right="0" w:firstLine="0" w:firstLineChars="0"/>
              <w:jc w:val="center"/>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业绩合同甲方及联系电话</w:t>
            </w:r>
          </w:p>
        </w:tc>
        <w:tc>
          <w:tcPr>
            <w:tcW w:w="636" w:type="pct"/>
            <w:vAlign w:val="center"/>
          </w:tcPr>
          <w:p w14:paraId="47B95EE6">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备注</w:t>
            </w:r>
          </w:p>
        </w:tc>
      </w:tr>
      <w:tr w14:paraId="5AAC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0528AC52">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供应商初审业绩（资格门槛业绩，如有）</w:t>
            </w:r>
          </w:p>
        </w:tc>
      </w:tr>
      <w:tr w14:paraId="5A96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58BC5D0B">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1</w:t>
            </w:r>
          </w:p>
        </w:tc>
        <w:tc>
          <w:tcPr>
            <w:tcW w:w="971" w:type="pct"/>
            <w:vAlign w:val="center"/>
          </w:tcPr>
          <w:p w14:paraId="4C35E75F">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874" w:type="pct"/>
            <w:vAlign w:val="center"/>
          </w:tcPr>
          <w:p w14:paraId="6AF1A2D3">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918" w:type="pct"/>
            <w:vAlign w:val="center"/>
          </w:tcPr>
          <w:p w14:paraId="4374B736">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1043" w:type="pct"/>
            <w:vAlign w:val="center"/>
          </w:tcPr>
          <w:p w14:paraId="61AA0C6D">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636" w:type="pct"/>
            <w:vAlign w:val="center"/>
          </w:tcPr>
          <w:p w14:paraId="29C79021">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r>
      <w:tr w14:paraId="7A2B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7FE561BC">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项目负责人初审业绩（资格门槛业绩，如有）</w:t>
            </w:r>
          </w:p>
        </w:tc>
      </w:tr>
      <w:tr w14:paraId="5CEE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22E7EAD9">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1</w:t>
            </w:r>
          </w:p>
        </w:tc>
        <w:tc>
          <w:tcPr>
            <w:tcW w:w="971" w:type="pct"/>
            <w:vAlign w:val="center"/>
          </w:tcPr>
          <w:p w14:paraId="1E90C204">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874" w:type="pct"/>
            <w:vAlign w:val="center"/>
          </w:tcPr>
          <w:p w14:paraId="023F209A">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918" w:type="pct"/>
            <w:vAlign w:val="center"/>
          </w:tcPr>
          <w:p w14:paraId="096FAD01">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1043" w:type="pct"/>
            <w:vAlign w:val="center"/>
          </w:tcPr>
          <w:p w14:paraId="020CE8C5">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636" w:type="pct"/>
            <w:vAlign w:val="center"/>
          </w:tcPr>
          <w:p w14:paraId="3A099738">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r>
      <w:tr w14:paraId="6E94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2D183678">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供应商评审业绩（打分业绩，如有）</w:t>
            </w:r>
          </w:p>
        </w:tc>
      </w:tr>
      <w:tr w14:paraId="2C7A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25CBC8F4">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1</w:t>
            </w:r>
          </w:p>
        </w:tc>
        <w:tc>
          <w:tcPr>
            <w:tcW w:w="971" w:type="pct"/>
            <w:vAlign w:val="center"/>
          </w:tcPr>
          <w:p w14:paraId="62D81BEC">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874" w:type="pct"/>
            <w:vAlign w:val="center"/>
          </w:tcPr>
          <w:p w14:paraId="26CC41D3">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918" w:type="pct"/>
            <w:vAlign w:val="center"/>
          </w:tcPr>
          <w:p w14:paraId="5DFE930C">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1043" w:type="pct"/>
            <w:vAlign w:val="center"/>
          </w:tcPr>
          <w:p w14:paraId="477F0892">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636" w:type="pct"/>
            <w:vAlign w:val="center"/>
          </w:tcPr>
          <w:p w14:paraId="1685750A">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r>
      <w:tr w14:paraId="5204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5E68DFA3">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2</w:t>
            </w:r>
          </w:p>
        </w:tc>
        <w:tc>
          <w:tcPr>
            <w:tcW w:w="971" w:type="pct"/>
            <w:vAlign w:val="center"/>
          </w:tcPr>
          <w:p w14:paraId="4CEA2C46">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874" w:type="pct"/>
            <w:vAlign w:val="center"/>
          </w:tcPr>
          <w:p w14:paraId="5EC12B0A">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918" w:type="pct"/>
            <w:vAlign w:val="center"/>
          </w:tcPr>
          <w:p w14:paraId="455C1C3C">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1043" w:type="pct"/>
            <w:vAlign w:val="center"/>
          </w:tcPr>
          <w:p w14:paraId="4A419D8B">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c>
          <w:tcPr>
            <w:tcW w:w="636" w:type="pct"/>
            <w:vAlign w:val="center"/>
          </w:tcPr>
          <w:p w14:paraId="08CDF143">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p>
        </w:tc>
      </w:tr>
      <w:tr w14:paraId="6CE9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30EEABEB">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项目负责人评审业绩（打分业绩，如有）</w:t>
            </w:r>
          </w:p>
        </w:tc>
      </w:tr>
      <w:tr w14:paraId="6BD0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0FEA89D7">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1</w:t>
            </w:r>
          </w:p>
        </w:tc>
        <w:tc>
          <w:tcPr>
            <w:tcW w:w="971" w:type="pct"/>
            <w:vAlign w:val="center"/>
          </w:tcPr>
          <w:p w14:paraId="0F141CF6">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c>
          <w:tcPr>
            <w:tcW w:w="874" w:type="pct"/>
            <w:vAlign w:val="center"/>
          </w:tcPr>
          <w:p w14:paraId="171D08F1">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c>
          <w:tcPr>
            <w:tcW w:w="918" w:type="pct"/>
            <w:vAlign w:val="center"/>
          </w:tcPr>
          <w:p w14:paraId="63EF509B">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c>
          <w:tcPr>
            <w:tcW w:w="1043" w:type="pct"/>
            <w:vAlign w:val="center"/>
          </w:tcPr>
          <w:p w14:paraId="54D9F903">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c>
          <w:tcPr>
            <w:tcW w:w="636" w:type="pct"/>
            <w:vAlign w:val="center"/>
          </w:tcPr>
          <w:p w14:paraId="4F4C3FA1">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r>
      <w:tr w14:paraId="69EC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2B631B0B">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2</w:t>
            </w:r>
          </w:p>
        </w:tc>
        <w:tc>
          <w:tcPr>
            <w:tcW w:w="971" w:type="pct"/>
            <w:vAlign w:val="center"/>
          </w:tcPr>
          <w:p w14:paraId="026F5416">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c>
          <w:tcPr>
            <w:tcW w:w="874" w:type="pct"/>
            <w:vAlign w:val="center"/>
          </w:tcPr>
          <w:p w14:paraId="262D5234">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c>
          <w:tcPr>
            <w:tcW w:w="918" w:type="pct"/>
            <w:vAlign w:val="center"/>
          </w:tcPr>
          <w:p w14:paraId="598D46BF">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c>
          <w:tcPr>
            <w:tcW w:w="1043" w:type="pct"/>
            <w:vAlign w:val="center"/>
          </w:tcPr>
          <w:p w14:paraId="111F4C3E">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c>
          <w:tcPr>
            <w:tcW w:w="636" w:type="pct"/>
            <w:vAlign w:val="center"/>
          </w:tcPr>
          <w:p w14:paraId="01984812">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r>
      <w:tr w14:paraId="7823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05ED1C9D">
            <w:pPr>
              <w:keepNext w:val="0"/>
              <w:keepLines w:val="0"/>
              <w:suppressLineNumbers w:val="0"/>
              <w:spacing w:before="0" w:beforeAutospacing="0" w:after="0" w:afterAutospacing="0"/>
              <w:ind w:left="0" w:right="0" w:firstLine="0" w:firstLineChars="0"/>
              <w:jc w:val="center"/>
              <w:rPr>
                <w:rFonts w:hint="default" w:cs="宋体" w:asciiTheme="minorEastAsia" w:hAnsiTheme="minorEastAsia" w:eastAsiaTheme="minorEastAsia"/>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w:t>
            </w:r>
          </w:p>
        </w:tc>
        <w:tc>
          <w:tcPr>
            <w:tcW w:w="971" w:type="pct"/>
            <w:vAlign w:val="center"/>
          </w:tcPr>
          <w:p w14:paraId="31E7EF3F">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c>
          <w:tcPr>
            <w:tcW w:w="874" w:type="pct"/>
            <w:vAlign w:val="center"/>
          </w:tcPr>
          <w:p w14:paraId="167FC514">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c>
          <w:tcPr>
            <w:tcW w:w="918" w:type="pct"/>
            <w:vAlign w:val="center"/>
          </w:tcPr>
          <w:p w14:paraId="71289CE6">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c>
          <w:tcPr>
            <w:tcW w:w="1043" w:type="pct"/>
            <w:vAlign w:val="center"/>
          </w:tcPr>
          <w:p w14:paraId="6EA7E49E">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c>
          <w:tcPr>
            <w:tcW w:w="636" w:type="pct"/>
            <w:vAlign w:val="center"/>
          </w:tcPr>
          <w:p w14:paraId="6E207898">
            <w:pPr>
              <w:keepNext w:val="0"/>
              <w:keepLines w:val="0"/>
              <w:suppressLineNumbers w:val="0"/>
              <w:spacing w:before="0" w:beforeAutospacing="0" w:after="0" w:afterAutospacing="0"/>
              <w:ind w:left="0" w:right="0" w:firstLine="0" w:firstLineChars="0"/>
              <w:rPr>
                <w:rFonts w:hint="default" w:cs="宋体" w:asciiTheme="minorEastAsia" w:hAnsiTheme="minorEastAsia" w:eastAsiaTheme="minorEastAsia"/>
                <w:b/>
                <w:color w:val="000000" w:themeColor="text1"/>
                <w:kern w:val="2"/>
                <w:szCs w:val="24"/>
                <w:highlight w:val="none"/>
                <w14:textFill>
                  <w14:solidFill>
                    <w14:schemeClr w14:val="tx1"/>
                  </w14:solidFill>
                </w14:textFill>
              </w:rPr>
            </w:pPr>
          </w:p>
        </w:tc>
      </w:tr>
    </w:tbl>
    <w:p w14:paraId="74E7A0E0">
      <w:pPr>
        <w:widowControl/>
        <w:ind w:firstLine="482"/>
        <w:jc w:val="left"/>
        <w:rPr>
          <w:rFonts w:asciiTheme="minorEastAsia" w:hAnsiTheme="minorEastAsia" w:eastAsiaTheme="minorEastAsia"/>
          <w:b/>
          <w:color w:val="000000" w:themeColor="text1"/>
          <w:highlight w:val="none"/>
          <w14:textFill>
            <w14:solidFill>
              <w14:schemeClr w14:val="tx1"/>
            </w14:solidFill>
          </w14:textFill>
        </w:rPr>
      </w:pPr>
    </w:p>
    <w:p w14:paraId="2A2C143E">
      <w:pPr>
        <w:keepNext/>
        <w:keepLines/>
        <w:ind w:firstLine="480"/>
        <w:rPr>
          <w:color w:val="000000" w:themeColor="text1"/>
          <w:szCs w:val="24"/>
          <w:highlight w:val="none"/>
          <w14:textFill>
            <w14:solidFill>
              <w14:schemeClr w14:val="tx1"/>
            </w14:solidFill>
          </w14:textFill>
        </w:rPr>
      </w:pPr>
    </w:p>
    <w:p w14:paraId="377417A4">
      <w:pPr>
        <w:keepNext/>
        <w:keepLines/>
        <w:numPr>
          <w:ilvl w:val="0"/>
          <w:numId w:val="4"/>
        </w:numPr>
        <w:ind w:firstLine="48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业绩证明材料</w:t>
      </w:r>
    </w:p>
    <w:p w14:paraId="53B2B9ED">
      <w:pPr>
        <w:keepNext/>
        <w:keepLines/>
        <w:ind w:firstLine="480"/>
        <w:jc w:val="center"/>
        <w:rPr>
          <w:rFonts w:asciiTheme="minorEastAsia" w:hAnsiTheme="minorEastAsia" w:eastAsiaTheme="minorEastAsia"/>
          <w:b/>
          <w:color w:val="000000" w:themeColor="text1"/>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（建议与上述“（一）业绩表”填写的业绩一一对应）</w:t>
      </w:r>
      <w:r>
        <w:rPr>
          <w:rFonts w:asciiTheme="minorEastAsia" w:hAnsiTheme="minorEastAsia" w:eastAsiaTheme="minorEastAsia"/>
          <w:b/>
          <w:color w:val="000000" w:themeColor="text1"/>
          <w:highlight w:val="none"/>
          <w14:textFill>
            <w14:solidFill>
              <w14:schemeClr w14:val="tx1"/>
            </w14:solidFill>
          </w14:textFill>
        </w:rPr>
        <w:br w:type="page"/>
      </w:r>
    </w:p>
    <w:p w14:paraId="23EF4880">
      <w:pPr>
        <w:ind w:firstLine="482"/>
        <w:jc w:val="center"/>
        <w:outlineLvl w:val="2"/>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lang w:eastAsia="zh-CN"/>
          <w14:textFill>
            <w14:solidFill>
              <w14:schemeClr w14:val="tx1"/>
            </w14:solidFill>
          </w14:textFill>
        </w:rPr>
        <w:t>九</w:t>
      </w:r>
      <w:r>
        <w:rPr>
          <w:rFonts w:hint="eastAsia" w:asciiTheme="minorEastAsia" w:hAnsiTheme="minorEastAsia" w:eastAsiaTheme="minorEastAsia"/>
          <w:b/>
          <w:color w:val="000000" w:themeColor="text1"/>
          <w:highlight w:val="none"/>
          <w14:textFill>
            <w14:solidFill>
              <w14:schemeClr w14:val="tx1"/>
            </w14:solidFill>
          </w14:textFill>
        </w:rPr>
        <w:t>、企业类型证明材料</w:t>
      </w:r>
    </w:p>
    <w:p w14:paraId="6DF0F7E4">
      <w:pPr>
        <w:ind w:right="480" w:firstLine="5460" w:firstLineChars="1950"/>
        <w:rPr>
          <w:rFonts w:asciiTheme="minorEastAsia" w:hAnsiTheme="minorEastAsia" w:eastAsiaTheme="minorEastAsia"/>
          <w:color w:val="000000" w:themeColor="text1"/>
          <w:sz w:val="28"/>
          <w:highlight w:val="none"/>
          <w14:textFill>
            <w14:solidFill>
              <w14:schemeClr w14:val="tx1"/>
            </w14:solidFill>
          </w14:textFill>
        </w:rPr>
      </w:pPr>
    </w:p>
    <w:p w14:paraId="276A564F">
      <w:pPr>
        <w:widowControl/>
        <w:ind w:firstLine="480"/>
        <w:jc w:val="left"/>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br w:type="page"/>
      </w:r>
    </w:p>
    <w:p w14:paraId="00F24247">
      <w:pPr>
        <w:ind w:firstLine="482"/>
        <w:jc w:val="center"/>
        <w:outlineLvl w:val="2"/>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lang w:eastAsia="zh-CN"/>
          <w14:textFill>
            <w14:solidFill>
              <w14:schemeClr w14:val="tx1"/>
            </w14:solidFill>
          </w14:textFill>
        </w:rPr>
        <w:t>十</w:t>
      </w:r>
      <w:r>
        <w:rPr>
          <w:rFonts w:hint="eastAsia" w:asciiTheme="minorEastAsia" w:hAnsiTheme="minorEastAsia" w:eastAsiaTheme="minorEastAsia"/>
          <w:b/>
          <w:color w:val="000000" w:themeColor="text1"/>
          <w:highlight w:val="none"/>
          <w14:textFill>
            <w14:solidFill>
              <w14:schemeClr w14:val="tx1"/>
            </w14:solidFill>
          </w14:textFill>
        </w:rPr>
        <w:t>、磋商保证金及电子交易服务费用</w:t>
      </w:r>
    </w:p>
    <w:p w14:paraId="58DE1C4E">
      <w:pPr>
        <w:snapToGrid w:val="0"/>
        <w:ind w:firstLine="0" w:firstLineChars="0"/>
        <w:jc w:val="center"/>
        <w:rPr>
          <w:rFonts w:cs="Times New Roman"/>
          <w:color w:val="000000" w:themeColor="text1"/>
          <w:szCs w:val="28"/>
          <w:highlight w:val="none"/>
          <w14:textFill>
            <w14:solidFill>
              <w14:schemeClr w14:val="tx1"/>
            </w14:solidFill>
          </w14:textFill>
        </w:rPr>
      </w:pPr>
      <w:r>
        <w:rPr>
          <w:rFonts w:hint="eastAsia" w:cs="Times New Roman"/>
          <w:color w:val="000000" w:themeColor="text1"/>
          <w:szCs w:val="28"/>
          <w:highlight w:val="none"/>
          <w14:textFill>
            <w14:solidFill>
              <w14:schemeClr w14:val="tx1"/>
            </w14:solidFill>
          </w14:textFill>
        </w:rPr>
        <w:t>供应商应在此提供银行回单的扫描件。</w:t>
      </w:r>
    </w:p>
    <w:p w14:paraId="137F9F03">
      <w:pPr>
        <w:widowControl/>
        <w:spacing w:line="240" w:lineRule="auto"/>
        <w:ind w:firstLine="0" w:firstLineChars="0"/>
        <w:jc w:val="center"/>
        <w:rPr>
          <w:rFonts w:cs="@仿宋_GB2312"/>
          <w:b/>
          <w:bCs/>
          <w:color w:val="000000" w:themeColor="text1"/>
          <w:kern w:val="2"/>
          <w:szCs w:val="24"/>
          <w:highlight w:val="none"/>
          <w14:textFill>
            <w14:solidFill>
              <w14:schemeClr w14:val="tx1"/>
            </w14:solidFill>
          </w14:textFill>
        </w:rPr>
      </w:pPr>
    </w:p>
    <w:p w14:paraId="7C42DBEA">
      <w:pPr>
        <w:widowControl/>
        <w:spacing w:line="240" w:lineRule="auto"/>
        <w:ind w:firstLine="0" w:firstLineChars="0"/>
        <w:jc w:val="center"/>
        <w:rPr>
          <w:rFonts w:cs="@仿宋_GB2312"/>
          <w:b/>
          <w:bCs/>
          <w:color w:val="000000" w:themeColor="text1"/>
          <w:kern w:val="2"/>
          <w:szCs w:val="24"/>
          <w:highlight w:val="none"/>
          <w14:textFill>
            <w14:solidFill>
              <w14:schemeClr w14:val="tx1"/>
            </w14:solidFill>
          </w14:textFill>
        </w:rPr>
      </w:pPr>
    </w:p>
    <w:p w14:paraId="70267B77">
      <w:pPr>
        <w:widowControl/>
        <w:spacing w:line="240" w:lineRule="auto"/>
        <w:ind w:firstLine="0" w:firstLineChars="0"/>
        <w:jc w:val="center"/>
        <w:rPr>
          <w:rFonts w:cs="@仿宋_GB2312"/>
          <w:b/>
          <w:bCs/>
          <w:color w:val="000000" w:themeColor="text1"/>
          <w:kern w:val="2"/>
          <w:szCs w:val="24"/>
          <w:highlight w:val="none"/>
          <w14:textFill>
            <w14:solidFill>
              <w14:schemeClr w14:val="tx1"/>
            </w14:solidFill>
          </w14:textFill>
        </w:rPr>
      </w:pPr>
    </w:p>
    <w:p w14:paraId="000698F2">
      <w:pPr>
        <w:widowControl/>
        <w:spacing w:line="240" w:lineRule="auto"/>
        <w:ind w:firstLine="0" w:firstLineChars="0"/>
        <w:jc w:val="center"/>
        <w:rPr>
          <w:rFonts w:cs="@仿宋_GB2312"/>
          <w:b/>
          <w:bCs/>
          <w:color w:val="000000" w:themeColor="text1"/>
          <w:kern w:val="2"/>
          <w:szCs w:val="24"/>
          <w:highlight w:val="none"/>
          <w14:textFill>
            <w14:solidFill>
              <w14:schemeClr w14:val="tx1"/>
            </w14:solidFill>
          </w14:textFill>
        </w:rPr>
      </w:pPr>
    </w:p>
    <w:p w14:paraId="44FAD5B3">
      <w:pPr>
        <w:widowControl/>
        <w:spacing w:line="240" w:lineRule="auto"/>
        <w:ind w:firstLine="0" w:firstLineChars="0"/>
        <w:jc w:val="center"/>
        <w:rPr>
          <w:rFonts w:cs="@仿宋_GB2312"/>
          <w:b/>
          <w:bCs/>
          <w:color w:val="000000" w:themeColor="text1"/>
          <w:kern w:val="2"/>
          <w:szCs w:val="24"/>
          <w:highlight w:val="none"/>
          <w14:textFill>
            <w14:solidFill>
              <w14:schemeClr w14:val="tx1"/>
            </w14:solidFill>
          </w14:textFill>
        </w:rPr>
      </w:pPr>
    </w:p>
    <w:p w14:paraId="490A8055">
      <w:pPr>
        <w:widowControl/>
        <w:spacing w:line="240" w:lineRule="auto"/>
        <w:ind w:firstLine="0" w:firstLineChars="0"/>
        <w:jc w:val="center"/>
        <w:rPr>
          <w:rFonts w:cs="@仿宋_GB2312"/>
          <w:b/>
          <w:bCs/>
          <w:color w:val="000000" w:themeColor="text1"/>
          <w:kern w:val="2"/>
          <w:szCs w:val="24"/>
          <w:highlight w:val="none"/>
          <w14:textFill>
            <w14:solidFill>
              <w14:schemeClr w14:val="tx1"/>
            </w14:solidFill>
          </w14:textFill>
        </w:rPr>
      </w:pPr>
    </w:p>
    <w:p w14:paraId="55CB47E4">
      <w:pPr>
        <w:widowControl/>
        <w:spacing w:line="240" w:lineRule="auto"/>
        <w:ind w:firstLine="0" w:firstLineChars="0"/>
        <w:jc w:val="center"/>
        <w:rPr>
          <w:rFonts w:cs="@仿宋_GB2312"/>
          <w:b/>
          <w:bCs/>
          <w:color w:val="000000" w:themeColor="text1"/>
          <w:kern w:val="2"/>
          <w:szCs w:val="24"/>
          <w:highlight w:val="none"/>
          <w14:textFill>
            <w14:solidFill>
              <w14:schemeClr w14:val="tx1"/>
            </w14:solidFill>
          </w14:textFill>
        </w:rPr>
      </w:pPr>
    </w:p>
    <w:p w14:paraId="105C0D4B">
      <w:pPr>
        <w:widowControl/>
        <w:spacing w:line="240" w:lineRule="auto"/>
        <w:ind w:firstLine="0" w:firstLineChars="0"/>
        <w:jc w:val="center"/>
        <w:rPr>
          <w:rFonts w:cs="@仿宋_GB2312"/>
          <w:b/>
          <w:bCs/>
          <w:color w:val="000000" w:themeColor="text1"/>
          <w:kern w:val="2"/>
          <w:szCs w:val="24"/>
          <w:highlight w:val="none"/>
          <w14:textFill>
            <w14:solidFill>
              <w14:schemeClr w14:val="tx1"/>
            </w14:solidFill>
          </w14:textFill>
        </w:rPr>
      </w:pPr>
    </w:p>
    <w:p w14:paraId="6C94D04D">
      <w:pPr>
        <w:widowControl/>
        <w:spacing w:line="240" w:lineRule="auto"/>
        <w:ind w:firstLine="0" w:firstLineChars="0"/>
        <w:jc w:val="center"/>
        <w:rPr>
          <w:rFonts w:cs="@仿宋_GB2312"/>
          <w:b/>
          <w:bCs/>
          <w:color w:val="000000" w:themeColor="text1"/>
          <w:kern w:val="2"/>
          <w:szCs w:val="24"/>
          <w:highlight w:val="none"/>
          <w14:textFill>
            <w14:solidFill>
              <w14:schemeClr w14:val="tx1"/>
            </w14:solidFill>
          </w14:textFill>
        </w:rPr>
      </w:pPr>
    </w:p>
    <w:p w14:paraId="317BA17B">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仿宋_GB2312"/>
          <w:b/>
          <w:bCs/>
          <w:color w:val="000000" w:themeColor="text1"/>
          <w:kern w:val="2"/>
          <w:szCs w:val="24"/>
          <w:highlight w:val="none"/>
          <w14:textFill>
            <w14:solidFill>
              <w14:schemeClr w14:val="tx1"/>
            </w14:solidFill>
          </w14:textFill>
        </w:rPr>
      </w:pPr>
    </w:p>
    <w:p w14:paraId="39DB4688">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cs="@仿宋_GB2312"/>
          <w:b/>
          <w:bCs/>
          <w:color w:val="000000" w:themeColor="text1"/>
          <w:kern w:val="2"/>
          <w:szCs w:val="24"/>
          <w:highlight w:val="none"/>
          <w14:textFill>
            <w14:solidFill>
              <w14:schemeClr w14:val="tx1"/>
            </w14:solidFill>
          </w14:textFill>
        </w:rPr>
      </w:pPr>
      <w:r>
        <w:rPr>
          <w:rFonts w:hint="eastAsia" w:cs="@仿宋_GB2312"/>
          <w:b/>
          <w:bCs/>
          <w:color w:val="000000" w:themeColor="text1"/>
          <w:kern w:val="2"/>
          <w:szCs w:val="24"/>
          <w:highlight w:val="none"/>
          <w14:textFill>
            <w14:solidFill>
              <w14:schemeClr w14:val="tx1"/>
            </w14:solidFill>
          </w14:textFill>
        </w:rPr>
        <w:t>项目开标结束后，如需开具电子交易服务费发票，请致电咨询：王工，联系电话：0551-</w:t>
      </w:r>
      <w:r>
        <w:rPr>
          <w:rFonts w:hint="eastAsia" w:cs="@仿宋_GB2312"/>
          <w:b/>
          <w:bCs/>
          <w:color w:val="000000" w:themeColor="text1"/>
          <w:kern w:val="2"/>
          <w:szCs w:val="24"/>
          <w:highlight w:val="none"/>
          <w:lang w:eastAsia="zh-CN"/>
          <w14:textFill>
            <w14:solidFill>
              <w14:schemeClr w14:val="tx1"/>
            </w14:solidFill>
          </w14:textFill>
        </w:rPr>
        <w:t>68821291</w:t>
      </w:r>
      <w:r>
        <w:rPr>
          <w:rFonts w:hint="eastAsia" w:cs="@仿宋_GB2312"/>
          <w:b/>
          <w:bCs/>
          <w:color w:val="000000" w:themeColor="text1"/>
          <w:kern w:val="2"/>
          <w:szCs w:val="24"/>
          <w:highlight w:val="none"/>
          <w14:textFill>
            <w14:solidFill>
              <w14:schemeClr w14:val="tx1"/>
            </w14:solidFill>
          </w14:textFill>
        </w:rPr>
        <w:t>。</w:t>
      </w:r>
    </w:p>
    <w:p w14:paraId="6037A5F7">
      <w:pPr>
        <w:keepNext w:val="0"/>
        <w:keepLines w:val="0"/>
        <w:pageBreakBefore w:val="0"/>
        <w:kinsoku/>
        <w:wordWrap/>
        <w:overflowPunct/>
        <w:topLinePunct w:val="0"/>
        <w:autoSpaceDE/>
        <w:autoSpaceDN/>
        <w:bidi w:val="0"/>
        <w:adjustRightInd/>
        <w:snapToGrid/>
        <w:spacing w:line="360" w:lineRule="auto"/>
        <w:ind w:firstLine="482"/>
        <w:jc w:val="left"/>
        <w:textAlignment w:val="auto"/>
        <w:rPr>
          <w:rFonts w:hint="eastAsia" w:eastAsia="宋体" w:cs="宋体"/>
          <w:b/>
          <w:bCs/>
          <w:color w:val="000000" w:themeColor="text1"/>
          <w:kern w:val="2"/>
          <w:szCs w:val="24"/>
          <w:highlight w:val="none"/>
          <w:lang w:val="en-US" w:eastAsia="zh-CN"/>
          <w14:textFill>
            <w14:solidFill>
              <w14:schemeClr w14:val="tx1"/>
            </w14:solidFill>
          </w14:textFill>
        </w:rPr>
      </w:pPr>
      <w:r>
        <w:rPr>
          <w:rFonts w:hint="eastAsia" w:cs="宋体"/>
          <w:b/>
          <w:bCs/>
          <w:color w:val="000000" w:themeColor="text1"/>
          <w:kern w:val="2"/>
          <w:szCs w:val="24"/>
          <w:highlight w:val="none"/>
          <w14:textFill>
            <w14:solidFill>
              <w14:schemeClr w14:val="tx1"/>
            </w14:solidFill>
          </w14:textFill>
        </w:rPr>
        <w:t>如需开具电子交易服务费用发票请在本页附上开票信息，开票信息按照下列格式填写</w:t>
      </w:r>
      <w:r>
        <w:rPr>
          <w:rFonts w:hint="eastAsia" w:cs="宋体"/>
          <w:b/>
          <w:bCs/>
          <w:color w:val="000000" w:themeColor="text1"/>
          <w:kern w:val="2"/>
          <w:szCs w:val="24"/>
          <w:highlight w:val="none"/>
          <w:lang w:eastAsia="zh-CN"/>
          <w14:textFill>
            <w14:solidFill>
              <w14:schemeClr w14:val="tx1"/>
            </w14:solidFill>
          </w14:textFill>
        </w:rPr>
        <w:t>。</w:t>
      </w:r>
    </w:p>
    <w:p w14:paraId="5B8E500F">
      <w:pPr>
        <w:ind w:firstLine="0" w:firstLineChars="0"/>
        <w:rPr>
          <w:rFonts w:cs="宋体"/>
          <w:b/>
          <w:color w:val="000000" w:themeColor="text1"/>
          <w:kern w:val="2"/>
          <w:szCs w:val="24"/>
          <w:highlight w:val="non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开票信息：</w:t>
      </w:r>
    </w:p>
    <w:p w14:paraId="691907AE">
      <w:pPr>
        <w:spacing w:after="120"/>
        <w:ind w:firstLine="0" w:firstLineChars="0"/>
        <w:rPr>
          <w:rFonts w:cs="宋体"/>
          <w:b/>
          <w:color w:val="000000" w:themeColor="text1"/>
          <w:kern w:val="2"/>
          <w:szCs w:val="24"/>
          <w:highlight w:val="non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发票类型：</w:t>
      </w:r>
      <w:r>
        <w:rPr>
          <w:rFonts w:hint="eastAsia" w:cs="宋体"/>
          <w:b/>
          <w:color w:val="000000" w:themeColor="text1"/>
          <w:kern w:val="2"/>
          <w:szCs w:val="24"/>
          <w:highlight w:val="none"/>
          <w:u w:val="single"/>
          <w14:textFill>
            <w14:solidFill>
              <w14:schemeClr w14:val="tx1"/>
            </w14:solidFill>
          </w14:textFill>
        </w:rPr>
        <w:t xml:space="preserve">               </w:t>
      </w:r>
      <w:r>
        <w:rPr>
          <w:rFonts w:hint="eastAsia" w:cs="宋体"/>
          <w:b/>
          <w:color w:val="000000" w:themeColor="text1"/>
          <w:kern w:val="2"/>
          <w:szCs w:val="24"/>
          <w:highlight w:val="none"/>
          <w14:textFill>
            <w14:solidFill>
              <w14:schemeClr w14:val="tx1"/>
            </w14:solidFill>
          </w14:textFill>
        </w:rPr>
        <w:t>（专票或普票）</w:t>
      </w:r>
    </w:p>
    <w:p w14:paraId="36CB3338">
      <w:pPr>
        <w:ind w:firstLine="0" w:firstLineChars="0"/>
        <w:rPr>
          <w:rFonts w:cs="宋体"/>
          <w:b/>
          <w:color w:val="000000" w:themeColor="text1"/>
          <w:kern w:val="2"/>
          <w:szCs w:val="24"/>
          <w:highlight w:val="non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公司名称：</w:t>
      </w:r>
      <w:r>
        <w:rPr>
          <w:rFonts w:hint="eastAsia" w:cs="宋体"/>
          <w:color w:val="000000" w:themeColor="text1"/>
          <w:kern w:val="1"/>
          <w:szCs w:val="24"/>
          <w:highlight w:val="none"/>
          <w14:textFill>
            <w14:solidFill>
              <w14:schemeClr w14:val="tx1"/>
            </w14:solidFill>
          </w14:textFill>
        </w:rPr>
        <w:t xml:space="preserve"> </w:t>
      </w:r>
      <w:r>
        <w:rPr>
          <w:rFonts w:hint="eastAsia" w:cs="宋体"/>
          <w:color w:val="000000" w:themeColor="text1"/>
          <w:kern w:val="1"/>
          <w:szCs w:val="24"/>
          <w:highlight w:val="none"/>
          <w:u w:val="single"/>
          <w14:textFill>
            <w14:solidFill>
              <w14:schemeClr w14:val="tx1"/>
            </w14:solidFill>
          </w14:textFill>
        </w:rPr>
        <w:t xml:space="preserve">                           </w:t>
      </w:r>
      <w:r>
        <w:rPr>
          <w:rFonts w:hint="eastAsia" w:cs="宋体"/>
          <w:color w:val="000000" w:themeColor="text1"/>
          <w:kern w:val="1"/>
          <w:szCs w:val="24"/>
          <w:highlight w:val="none"/>
          <w14:textFill>
            <w14:solidFill>
              <w14:schemeClr w14:val="tx1"/>
            </w14:solidFill>
          </w14:textFill>
        </w:rPr>
        <w:t xml:space="preserve">     </w:t>
      </w:r>
    </w:p>
    <w:p w14:paraId="7E43B143">
      <w:pPr>
        <w:widowControl/>
        <w:ind w:firstLine="0" w:firstLineChars="0"/>
        <w:jc w:val="left"/>
        <w:rPr>
          <w:rFonts w:cs="宋体"/>
          <w:b/>
          <w:color w:val="000000" w:themeColor="text1"/>
          <w:kern w:val="2"/>
          <w:szCs w:val="24"/>
          <w:highlight w:val="none"/>
          <w:u w:val="singl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纳税识别号：</w:t>
      </w:r>
      <w:r>
        <w:rPr>
          <w:rFonts w:hint="eastAsia" w:cs="宋体"/>
          <w:b/>
          <w:color w:val="000000" w:themeColor="text1"/>
          <w:kern w:val="2"/>
          <w:szCs w:val="24"/>
          <w:highlight w:val="none"/>
          <w:u w:val="single"/>
          <w14:textFill>
            <w14:solidFill>
              <w14:schemeClr w14:val="tx1"/>
            </w14:solidFill>
          </w14:textFill>
        </w:rPr>
        <w:t xml:space="preserve">                          </w:t>
      </w:r>
    </w:p>
    <w:p w14:paraId="2FA6B29E">
      <w:pPr>
        <w:widowControl/>
        <w:ind w:firstLine="0" w:firstLineChars="0"/>
        <w:jc w:val="left"/>
        <w:rPr>
          <w:rFonts w:cs="宋体"/>
          <w:b/>
          <w:color w:val="000000" w:themeColor="text1"/>
          <w:kern w:val="2"/>
          <w:szCs w:val="24"/>
          <w:highlight w:val="none"/>
          <w:u w:val="singl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开户行名称：</w:t>
      </w:r>
      <w:r>
        <w:rPr>
          <w:rFonts w:hint="eastAsia" w:cs="宋体"/>
          <w:b/>
          <w:color w:val="000000" w:themeColor="text1"/>
          <w:kern w:val="2"/>
          <w:szCs w:val="24"/>
          <w:highlight w:val="none"/>
          <w:u w:val="single"/>
          <w14:textFill>
            <w14:solidFill>
              <w14:schemeClr w14:val="tx1"/>
            </w14:solidFill>
          </w14:textFill>
        </w:rPr>
        <w:t xml:space="preserve">                          </w:t>
      </w:r>
    </w:p>
    <w:p w14:paraId="3C870A59">
      <w:pPr>
        <w:widowControl/>
        <w:spacing w:line="240" w:lineRule="auto"/>
        <w:ind w:firstLine="0" w:firstLineChars="0"/>
        <w:jc w:val="left"/>
        <w:rPr>
          <w:rFonts w:cs="宋体"/>
          <w:b/>
          <w:bCs/>
          <w:color w:val="000000" w:themeColor="text1"/>
          <w:kern w:val="2"/>
          <w:szCs w:val="24"/>
          <w:highlight w:val="non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开户行账号：</w:t>
      </w:r>
      <w:r>
        <w:rPr>
          <w:rFonts w:hint="eastAsia" w:cs="宋体"/>
          <w:b/>
          <w:color w:val="000000" w:themeColor="text1"/>
          <w:kern w:val="2"/>
          <w:szCs w:val="24"/>
          <w:highlight w:val="none"/>
          <w:u w:val="single"/>
          <w14:textFill>
            <w14:solidFill>
              <w14:schemeClr w14:val="tx1"/>
            </w14:solidFill>
          </w14:textFill>
        </w:rPr>
        <w:t xml:space="preserve">                          </w:t>
      </w:r>
    </w:p>
    <w:p w14:paraId="6FD9C813">
      <w:pPr>
        <w:widowControl/>
        <w:spacing w:line="240" w:lineRule="auto"/>
        <w:ind w:firstLine="0" w:firstLineChars="0"/>
        <w:rPr>
          <w:rFonts w:cs="@仿宋_GB2312"/>
          <w:b/>
          <w:bCs/>
          <w:color w:val="000000" w:themeColor="text1"/>
          <w:kern w:val="2"/>
          <w:szCs w:val="24"/>
          <w:highlight w:val="none"/>
          <w14:textFill>
            <w14:solidFill>
              <w14:schemeClr w14:val="tx1"/>
            </w14:solidFill>
          </w14:textFill>
        </w:rPr>
      </w:pPr>
    </w:p>
    <w:p w14:paraId="3E44F24E">
      <w:pPr>
        <w:widowControl/>
        <w:spacing w:line="240" w:lineRule="auto"/>
        <w:ind w:firstLine="0" w:firstLineChars="0"/>
        <w:jc w:val="center"/>
        <w:rPr>
          <w:rFonts w:cs="@仿宋_GB2312"/>
          <w:b/>
          <w:bCs/>
          <w:color w:val="000000" w:themeColor="text1"/>
          <w:kern w:val="2"/>
          <w:szCs w:val="24"/>
          <w:highlight w:val="none"/>
          <w14:textFill>
            <w14:solidFill>
              <w14:schemeClr w14:val="tx1"/>
            </w14:solidFill>
          </w14:textFill>
        </w:rPr>
      </w:pPr>
    </w:p>
    <w:p w14:paraId="456751C6">
      <w:pPr>
        <w:widowControl/>
        <w:spacing w:line="240" w:lineRule="auto"/>
        <w:ind w:firstLine="0" w:firstLineChars="0"/>
        <w:jc w:val="left"/>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br w:type="page"/>
      </w:r>
    </w:p>
    <w:p w14:paraId="2BF77FF6">
      <w:pPr>
        <w:ind w:firstLine="482"/>
        <w:jc w:val="center"/>
        <w:outlineLvl w:val="2"/>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十</w:t>
      </w:r>
      <w:r>
        <w:rPr>
          <w:rFonts w:hint="eastAsia" w:asciiTheme="minorEastAsia" w:hAnsiTheme="minorEastAsia" w:eastAsiaTheme="minorEastAsia"/>
          <w:b/>
          <w:color w:val="000000" w:themeColor="text1"/>
          <w:highlight w:val="none"/>
          <w:lang w:eastAsia="zh-CN"/>
          <w14:textFill>
            <w14:solidFill>
              <w14:schemeClr w14:val="tx1"/>
            </w14:solidFill>
          </w14:textFill>
        </w:rPr>
        <w:t>一</w:t>
      </w:r>
      <w:r>
        <w:rPr>
          <w:rFonts w:hint="eastAsia" w:asciiTheme="minorEastAsia" w:hAnsiTheme="minorEastAsia" w:eastAsiaTheme="minorEastAsia"/>
          <w:b/>
          <w:color w:val="000000" w:themeColor="text1"/>
          <w:highlight w:val="none"/>
          <w14:textFill>
            <w14:solidFill>
              <w14:schemeClr w14:val="tx1"/>
            </w14:solidFill>
          </w14:textFill>
        </w:rPr>
        <w:t>、其他相关证明材料</w:t>
      </w:r>
    </w:p>
    <w:p w14:paraId="442441ED">
      <w:pPr>
        <w:ind w:firstLine="480"/>
        <w:jc w:val="center"/>
        <w:rPr>
          <w:color w:val="000000" w:themeColor="text1"/>
          <w:szCs w:val="24"/>
          <w:highlight w:val="none"/>
          <w14:textFill>
            <w14:solidFill>
              <w14:schemeClr w14:val="tx1"/>
            </w14:solidFill>
          </w14:textFill>
        </w:rPr>
      </w:pPr>
      <w:bookmarkStart w:id="36" w:name="_Toc29973"/>
      <w:bookmarkStart w:id="37" w:name="_Toc19685"/>
      <w:r>
        <w:rPr>
          <w:rFonts w:hint="eastAsia"/>
          <w:color w:val="000000" w:themeColor="text1"/>
          <w:szCs w:val="24"/>
          <w:highlight w:val="none"/>
          <w14:textFill>
            <w14:solidFill>
              <w14:schemeClr w14:val="tx1"/>
            </w14:solidFill>
          </w14:textFill>
        </w:rPr>
        <w:t>供应商按照第四章评审方法和标准放置的其他资料。</w:t>
      </w:r>
      <w:bookmarkEnd w:id="36"/>
      <w:bookmarkEnd w:id="37"/>
    </w:p>
    <w:p w14:paraId="0B663DFD">
      <w:pPr>
        <w:ind w:firstLine="480"/>
        <w:rPr>
          <w:color w:val="000000" w:themeColor="text1"/>
          <w:szCs w:val="22"/>
          <w:highlight w:val="none"/>
          <w14:textFill>
            <w14:solidFill>
              <w14:schemeClr w14:val="tx1"/>
            </w14:solidFill>
          </w14:textFill>
        </w:rPr>
      </w:pPr>
      <w:r>
        <w:rPr>
          <w:rFonts w:hint="eastAsia"/>
          <w:color w:val="000000" w:themeColor="text1"/>
          <w:szCs w:val="22"/>
          <w:highlight w:val="none"/>
          <w14:textFill>
            <w14:solidFill>
              <w14:schemeClr w14:val="tx1"/>
            </w14:solidFill>
          </w14:textFill>
        </w:rPr>
        <w:br w:type="page"/>
      </w:r>
    </w:p>
    <w:p w14:paraId="58D73737">
      <w:pPr>
        <w:ind w:firstLine="883"/>
        <w:rPr>
          <w:rFonts w:cs="宋体"/>
          <w:b/>
          <w:bCs/>
          <w:color w:val="000000" w:themeColor="text1"/>
          <w:sz w:val="44"/>
          <w:szCs w:val="44"/>
          <w:highlight w:val="none"/>
          <w14:textFill>
            <w14:solidFill>
              <w14:schemeClr w14:val="tx1"/>
            </w14:solidFill>
          </w14:textFill>
        </w:rPr>
      </w:pPr>
      <w:r>
        <w:rPr>
          <w:rFonts w:hint="eastAsia" w:cs="宋体"/>
          <w:b/>
          <w:bCs/>
          <w:color w:val="000000" w:themeColor="text1"/>
          <w:sz w:val="44"/>
          <w:szCs w:val="44"/>
          <w:highlight w:val="none"/>
          <w14:textFill>
            <w14:solidFill>
              <w14:schemeClr w14:val="tx1"/>
            </w14:solidFill>
          </w14:textFill>
        </w:rPr>
        <w:t>附件：全流程电子招标采购具体要求</w:t>
      </w:r>
      <w:r>
        <w:rPr>
          <w:rStyle w:val="65"/>
          <w:rFonts w:hint="eastAsia" w:cs="宋体"/>
          <w:b/>
          <w:bCs/>
          <w:color w:val="000000" w:themeColor="text1"/>
          <w:sz w:val="44"/>
          <w:szCs w:val="44"/>
          <w:highlight w:val="none"/>
          <w14:textFill>
            <w14:solidFill>
              <w14:schemeClr w14:val="tx1"/>
            </w14:solidFill>
          </w14:textFill>
        </w:rPr>
        <w:footnoteReference w:id="0"/>
      </w:r>
    </w:p>
    <w:p w14:paraId="693FC78B">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说明：当采用非招标方式进行全流程电子采购活动时，按照本规定执行，其中本要求“供应商”按“</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理解，“投标文件”按“响应文件”理解，“招标文件”按“采购文件”理解，“投标文件递交截止时间”按“首次递交响应文件截止时间”理解，“开标”按“开启响应文件”理解，“评审委员会”按“评审小组”理解，“投标无效”按“响应文件无效”理解。</w:t>
      </w:r>
    </w:p>
    <w:p w14:paraId="297528F3">
      <w:pPr>
        <w:spacing w:line="400" w:lineRule="exact"/>
        <w:ind w:firstLine="480"/>
        <w:rPr>
          <w:rFonts w:cs="宋体"/>
          <w:color w:val="000000" w:themeColor="text1"/>
          <w:szCs w:val="24"/>
          <w:highlight w:val="none"/>
          <w14:textFill>
            <w14:solidFill>
              <w14:schemeClr w14:val="tx1"/>
            </w14:solidFill>
          </w14:textFill>
        </w:rPr>
      </w:pPr>
    </w:p>
    <w:p w14:paraId="11770659">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一、</w:t>
      </w:r>
      <w:r>
        <w:rPr>
          <w:rFonts w:hint="eastAsia" w:cs="宋体"/>
          <w:color w:val="000000" w:themeColor="text1"/>
          <w:highlight w:val="none"/>
          <w14:textFill>
            <w14:solidFill>
              <w14:schemeClr w14:val="tx1"/>
            </w14:solidFill>
          </w14:textFill>
        </w:rPr>
        <w:t>CA</w:t>
      </w:r>
      <w:r>
        <w:rPr>
          <w:rFonts w:hint="eastAsia" w:cs="宋体"/>
          <w:color w:val="000000" w:themeColor="text1"/>
          <w:szCs w:val="24"/>
          <w:highlight w:val="none"/>
          <w14:textFill>
            <w14:solidFill>
              <w14:schemeClr w14:val="tx1"/>
            </w14:solidFill>
          </w14:textFill>
        </w:rPr>
        <w:t>证书办理和注意事项</w:t>
      </w:r>
    </w:p>
    <w:p w14:paraId="0B112652">
      <w:pPr>
        <w:spacing w:line="400" w:lineRule="exact"/>
        <w:ind w:firstLine="480"/>
        <w:rPr>
          <w:rFonts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1.本项目采用全流程电子招标采购方式，</w:t>
      </w:r>
      <w:r>
        <w:rPr>
          <w:rFonts w:hint="eastAsia" w:cs="宋体"/>
          <w:color w:val="000000" w:themeColor="text1"/>
          <w:highlight w:val="none"/>
          <w14:textFill>
            <w14:solidFill>
              <w14:schemeClr w14:val="tx1"/>
            </w14:solidFill>
          </w14:textFill>
        </w:rPr>
        <w:t>潜在</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应及时办理CA证书，用于对投标文件进行电子签章及加、解密。</w:t>
      </w:r>
    </w:p>
    <w:p w14:paraId="5300FA8D">
      <w:pPr>
        <w:spacing w:line="400" w:lineRule="exact"/>
        <w:ind w:firstLine="480"/>
        <w:rPr>
          <w:rFonts w:cs="宋体"/>
          <w:bCs/>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2.CA</w:t>
      </w:r>
      <w:r>
        <w:rPr>
          <w:rFonts w:hint="eastAsia" w:cs="宋体"/>
          <w:color w:val="000000" w:themeColor="text1"/>
          <w:highlight w:val="none"/>
          <w14:textFill>
            <w14:solidFill>
              <w14:schemeClr w14:val="tx1"/>
            </w14:solidFill>
          </w14:textFill>
        </w:rPr>
        <w:t>证书</w:t>
      </w:r>
      <w:r>
        <w:rPr>
          <w:rFonts w:hint="eastAsia" w:cs="宋体"/>
          <w:color w:val="000000" w:themeColor="text1"/>
          <w:szCs w:val="24"/>
          <w:highlight w:val="none"/>
          <w14:textFill>
            <w14:solidFill>
              <w14:schemeClr w14:val="tx1"/>
            </w14:solidFill>
          </w14:textFill>
        </w:rPr>
        <w:t>办理详见</w:t>
      </w:r>
      <w:r>
        <w:rPr>
          <w:rFonts w:hint="eastAsia" w:cs="宋体"/>
          <w:bCs/>
          <w:color w:val="000000" w:themeColor="text1"/>
          <w:highlight w:val="none"/>
          <w14:textFill>
            <w14:solidFill>
              <w14:schemeClr w14:val="tx1"/>
            </w14:solidFill>
          </w14:textFill>
        </w:rPr>
        <w:t>《优质采平台CA数字证书办理说明》：</w:t>
      </w:r>
    </w:p>
    <w:p w14:paraId="6953A664">
      <w:pPr>
        <w:spacing w:line="400" w:lineRule="exact"/>
        <w:ind w:firstLine="480"/>
        <w:rPr>
          <w:rFonts w:cs="宋体"/>
          <w:b/>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"http://www.youzhicai.com/ActivityTopic/AdviceDetail/8f80a7ec-911f-4c4d-a123-f8849880f045" </w:instrText>
      </w:r>
      <w:r>
        <w:rPr>
          <w:color w:val="000000" w:themeColor="text1"/>
          <w:highlight w:val="none"/>
          <w14:textFill>
            <w14:solidFill>
              <w14:schemeClr w14:val="tx1"/>
            </w14:solidFill>
          </w14:textFill>
        </w:rPr>
        <w:fldChar w:fldCharType="separate"/>
      </w:r>
      <w:r>
        <w:rPr>
          <w:rStyle w:val="63"/>
          <w:rFonts w:hint="eastAsia" w:cs="宋体"/>
          <w:bCs/>
          <w:color w:val="000000" w:themeColor="text1"/>
          <w:highlight w:val="none"/>
          <w14:textFill>
            <w14:solidFill>
              <w14:schemeClr w14:val="tx1"/>
            </w14:solidFill>
          </w14:textFill>
        </w:rPr>
        <w:t>http://www.youzhicai.com/ActivityTopic/AdviceDetail/8f80a7ec-911f-4c4d-a123-f</w:t>
      </w:r>
      <w:bookmarkStart w:id="38" w:name="_Hlt105085547"/>
      <w:bookmarkStart w:id="39" w:name="_Hlt105085548"/>
      <w:r>
        <w:rPr>
          <w:rStyle w:val="63"/>
          <w:rFonts w:hint="eastAsia" w:cs="宋体"/>
          <w:bCs/>
          <w:color w:val="000000" w:themeColor="text1"/>
          <w:highlight w:val="none"/>
          <w14:textFill>
            <w14:solidFill>
              <w14:schemeClr w14:val="tx1"/>
            </w14:solidFill>
          </w14:textFill>
        </w:rPr>
        <w:t>8</w:t>
      </w:r>
      <w:bookmarkEnd w:id="38"/>
      <w:bookmarkEnd w:id="39"/>
      <w:r>
        <w:rPr>
          <w:rStyle w:val="63"/>
          <w:rFonts w:hint="eastAsia" w:cs="宋体"/>
          <w:bCs/>
          <w:color w:val="000000" w:themeColor="text1"/>
          <w:highlight w:val="none"/>
          <w14:textFill>
            <w14:solidFill>
              <w14:schemeClr w14:val="tx1"/>
            </w14:solidFill>
          </w14:textFill>
        </w:rPr>
        <w:t>849880f045</w:t>
      </w:r>
      <w:r>
        <w:rPr>
          <w:rStyle w:val="63"/>
          <w:rFonts w:hint="eastAsia" w:cs="宋体"/>
          <w:bCs/>
          <w:color w:val="000000" w:themeColor="text1"/>
          <w:highlight w:val="none"/>
          <w14:textFill>
            <w14:solidFill>
              <w14:schemeClr w14:val="tx1"/>
            </w14:solidFill>
          </w14:textFill>
        </w:rPr>
        <w:fldChar w:fldCharType="end"/>
      </w:r>
      <w:r>
        <w:rPr>
          <w:rFonts w:hint="eastAsia" w:cs="宋体"/>
          <w:bCs/>
          <w:color w:val="000000" w:themeColor="text1"/>
          <w:highlight w:val="none"/>
          <w14:textFill>
            <w14:solidFill>
              <w14:schemeClr w14:val="tx1"/>
            </w14:solidFill>
          </w14:textFill>
        </w:rPr>
        <w:t>。</w:t>
      </w:r>
    </w:p>
    <w:p w14:paraId="407F2D1F">
      <w:pPr>
        <w:spacing w:line="400" w:lineRule="exact"/>
        <w:ind w:firstLine="480"/>
        <w:rPr>
          <w:rFonts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3.CA</w:t>
      </w:r>
      <w:r>
        <w:rPr>
          <w:rFonts w:hint="eastAsia" w:cs="宋体"/>
          <w:color w:val="000000" w:themeColor="text1"/>
          <w:highlight w:val="none"/>
          <w14:textFill>
            <w14:solidFill>
              <w14:schemeClr w14:val="tx1"/>
            </w14:solidFill>
          </w14:textFill>
        </w:rPr>
        <w:t>证书</w:t>
      </w:r>
      <w:r>
        <w:rPr>
          <w:rFonts w:hint="eastAsia" w:cs="宋体"/>
          <w:color w:val="000000" w:themeColor="text1"/>
          <w:szCs w:val="24"/>
          <w:highlight w:val="none"/>
          <w14:textFill>
            <w14:solidFill>
              <w14:schemeClr w14:val="tx1"/>
            </w14:solidFill>
          </w14:textFill>
        </w:rPr>
        <w:t>到期或即将到期，须在递交投标文件前办理续期。</w:t>
      </w:r>
    </w:p>
    <w:p w14:paraId="1E2E5C82">
      <w:pPr>
        <w:spacing w:line="400" w:lineRule="exact"/>
        <w:ind w:firstLine="480"/>
        <w:rPr>
          <w:rFonts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4.CA锁</w:t>
      </w:r>
      <w:r>
        <w:rPr>
          <w:rFonts w:hint="eastAsia" w:cs="宋体"/>
          <w:color w:val="000000" w:themeColor="text1"/>
          <w:highlight w:val="none"/>
          <w14:textFill>
            <w14:solidFill>
              <w14:schemeClr w14:val="tx1"/>
            </w14:solidFill>
          </w14:textFill>
        </w:rPr>
        <w:t>遗失、损坏等无法使用，须在递交投标文件前补办CA锁。</w:t>
      </w:r>
    </w:p>
    <w:p w14:paraId="6ADDD3F9">
      <w:pPr>
        <w:spacing w:line="400" w:lineRule="exact"/>
        <w:ind w:firstLine="480"/>
        <w:rPr>
          <w:rFonts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5.企业</w:t>
      </w:r>
      <w:r>
        <w:rPr>
          <w:rFonts w:hint="eastAsia" w:cs="宋体"/>
          <w:color w:val="000000" w:themeColor="text1"/>
          <w:highlight w:val="none"/>
          <w14:textFill>
            <w14:solidFill>
              <w14:schemeClr w14:val="tx1"/>
            </w14:solidFill>
          </w14:textFill>
        </w:rPr>
        <w:t>信息（包括但不限于企业名称和法定代表人信息）发生变更的，须在递交投标文件前变更CA证书。</w:t>
      </w:r>
    </w:p>
    <w:p w14:paraId="5E50CE85">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ab/>
      </w:r>
      <w:r>
        <w:rPr>
          <w:rFonts w:hint="eastAsia" w:cs="宋体"/>
          <w:color w:val="000000" w:themeColor="text1"/>
          <w:szCs w:val="24"/>
          <w:highlight w:val="none"/>
          <w14:textFill>
            <w14:solidFill>
              <w14:schemeClr w14:val="tx1"/>
            </w14:solidFill>
          </w14:textFill>
        </w:rPr>
        <w:t>6.</w:t>
      </w:r>
      <w:r>
        <w:rPr>
          <w:rFonts w:hint="eastAsia"/>
          <w:color w:val="000000" w:themeColor="text1"/>
          <w:szCs w:val="18"/>
          <w:highlight w:val="none"/>
          <w14:textFill>
            <w14:solidFill>
              <w14:schemeClr w14:val="tx1"/>
            </w14:solidFill>
          </w14:textFill>
        </w:rPr>
        <w:t xml:space="preserve"> 供应商</w:t>
      </w:r>
      <w:r>
        <w:rPr>
          <w:rFonts w:hint="eastAsia" w:cs="宋体"/>
          <w:color w:val="000000" w:themeColor="text1"/>
          <w:szCs w:val="24"/>
          <w:highlight w:val="none"/>
          <w14:textFill>
            <w14:solidFill>
              <w14:schemeClr w14:val="tx1"/>
            </w14:solidFill>
          </w14:textFill>
        </w:rPr>
        <w:t>由于</w:t>
      </w:r>
      <w:r>
        <w:rPr>
          <w:rFonts w:hint="eastAsia" w:cs="宋体"/>
          <w:color w:val="000000" w:themeColor="text1"/>
          <w:highlight w:val="none"/>
          <w14:textFill>
            <w14:solidFill>
              <w14:schemeClr w14:val="tx1"/>
            </w14:solidFill>
          </w14:textFill>
        </w:rPr>
        <w:t>CA证书</w:t>
      </w:r>
      <w:r>
        <w:rPr>
          <w:rFonts w:hint="eastAsia" w:cs="宋体"/>
          <w:color w:val="000000" w:themeColor="text1"/>
          <w:szCs w:val="24"/>
          <w:highlight w:val="none"/>
          <w14:textFill>
            <w14:solidFill>
              <w14:schemeClr w14:val="tx1"/>
            </w14:solidFill>
          </w14:textFill>
        </w:rPr>
        <w:t>遗失、损坏、更换、续期、企业信息变更等情况导致投标文件无法解密的，由</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自行承担责任；</w:t>
      </w:r>
    </w:p>
    <w:p w14:paraId="53746131">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7.加密和解密投标文件</w:t>
      </w:r>
      <w:r>
        <w:rPr>
          <w:rFonts w:hint="eastAsia" w:cs="宋体"/>
          <w:color w:val="000000" w:themeColor="text1"/>
          <w:highlight w:val="none"/>
          <w14:textFill>
            <w14:solidFill>
              <w14:schemeClr w14:val="tx1"/>
            </w14:solidFill>
          </w14:textFill>
        </w:rPr>
        <w:t>必须使用同一个CA证书</w:t>
      </w:r>
      <w:r>
        <w:rPr>
          <w:rFonts w:hint="eastAsia" w:cs="宋体"/>
          <w:color w:val="000000" w:themeColor="text1"/>
          <w:szCs w:val="24"/>
          <w:highlight w:val="none"/>
          <w14:textFill>
            <w14:solidFill>
              <w14:schemeClr w14:val="tx1"/>
            </w14:solidFill>
          </w14:textFill>
        </w:rPr>
        <w:t>。</w:t>
      </w:r>
    </w:p>
    <w:p w14:paraId="0881103A">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二、制作、签章、加密、上传电子投标文件</w:t>
      </w:r>
    </w:p>
    <w:p w14:paraId="0A83E756">
      <w:pPr>
        <w:spacing w:line="400" w:lineRule="exact"/>
        <w:ind w:firstLine="480"/>
        <w:rPr>
          <w:rStyle w:val="63"/>
          <w:rFonts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8.本项目采用全流程电子化招标采购方式，潜在</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需使用</w:t>
      </w:r>
      <w:r>
        <w:rPr>
          <w:rFonts w:hint="eastAsia" w:cs="宋体"/>
          <w:color w:val="000000" w:themeColor="text1"/>
          <w:szCs w:val="24"/>
          <w:highlight w:val="none"/>
          <w14:textFill>
            <w14:solidFill>
              <w14:schemeClr w14:val="tx1"/>
            </w14:solidFill>
          </w14:textFill>
        </w:rPr>
        <w:t>“优质采投标工具客户端”（以下简称“投标工具”）制作</w:t>
      </w:r>
      <w:r>
        <w:rPr>
          <w:rFonts w:hint="eastAsia" w:cs="宋体"/>
          <w:color w:val="000000" w:themeColor="text1"/>
          <w:highlight w:val="none"/>
          <w14:textFill>
            <w14:solidFill>
              <w14:schemeClr w14:val="tx1"/>
            </w14:solidFill>
          </w14:textFill>
        </w:rPr>
        <w:t>电子投标文件，</w:t>
      </w:r>
      <w:r>
        <w:rPr>
          <w:rFonts w:hint="eastAsia" w:cs="宋体"/>
          <w:color w:val="000000" w:themeColor="text1"/>
          <w:szCs w:val="24"/>
          <w:highlight w:val="none"/>
          <w14:textFill>
            <w14:solidFill>
              <w14:schemeClr w14:val="tx1"/>
            </w14:solidFill>
          </w14:textFill>
        </w:rPr>
        <w:t>投标工具及操作说明下载地址：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"https://toolcdn.youzhicai.com/tools/BidderTools.zip" </w:instrText>
      </w:r>
      <w:r>
        <w:rPr>
          <w:color w:val="000000" w:themeColor="text1"/>
          <w:highlight w:val="none"/>
          <w14:textFill>
            <w14:solidFill>
              <w14:schemeClr w14:val="tx1"/>
            </w14:solidFill>
          </w14:textFill>
        </w:rPr>
        <w:fldChar w:fldCharType="separate"/>
      </w:r>
      <w:r>
        <w:rPr>
          <w:rStyle w:val="63"/>
          <w:rFonts w:hint="eastAsia" w:cs="宋体"/>
          <w:color w:val="000000" w:themeColor="text1"/>
          <w:highlight w:val="none"/>
          <w14:textFill>
            <w14:solidFill>
              <w14:schemeClr w14:val="tx1"/>
            </w14:solidFill>
          </w14:textFill>
        </w:rPr>
        <w:t>https://toolcdn.youzhicai.com/tools/BidderTools.zip</w:t>
      </w:r>
      <w:r>
        <w:rPr>
          <w:rStyle w:val="63"/>
          <w:rFonts w:hint="eastAsia" w:cs="宋体"/>
          <w:color w:val="000000" w:themeColor="text1"/>
          <w:highlight w:val="none"/>
          <w14:textFill>
            <w14:solidFill>
              <w14:schemeClr w14:val="tx1"/>
            </w14:solidFill>
          </w14:textFill>
        </w:rPr>
        <w:fldChar w:fldCharType="end"/>
      </w:r>
      <w:r>
        <w:rPr>
          <w:rStyle w:val="63"/>
          <w:rFonts w:hint="eastAsia" w:cs="宋体"/>
          <w:color w:val="000000" w:themeColor="text1"/>
          <w:highlight w:val="none"/>
          <w14:textFill>
            <w14:solidFill>
              <w14:schemeClr w14:val="tx1"/>
            </w14:solidFill>
          </w14:textFill>
        </w:rPr>
        <w:t>。</w:t>
      </w:r>
    </w:p>
    <w:p w14:paraId="5C49172A">
      <w:pPr>
        <w:spacing w:line="400" w:lineRule="exact"/>
        <w:ind w:firstLine="480"/>
        <w:rPr>
          <w:rStyle w:val="63"/>
          <w:rFonts w:cs="宋体"/>
          <w:color w:val="000000" w:themeColor="text1"/>
          <w:highlight w:val="none"/>
          <w:u w:val="none"/>
          <w14:textFill>
            <w14:solidFill>
              <w14:schemeClr w14:val="tx1"/>
            </w14:solidFill>
          </w14:textFill>
        </w:rPr>
      </w:pPr>
      <w:r>
        <w:rPr>
          <w:rStyle w:val="63"/>
          <w:rFonts w:hint="eastAsia" w:cs="宋体"/>
          <w:color w:val="000000" w:themeColor="text1"/>
          <w:highlight w:val="none"/>
          <w:u w:val="none"/>
          <w14:textFill>
            <w14:solidFill>
              <w14:schemeClr w14:val="tx1"/>
            </w14:solidFill>
          </w14:textFill>
        </w:rPr>
        <w:tab/>
      </w:r>
      <w:r>
        <w:rPr>
          <w:rStyle w:val="63"/>
          <w:rFonts w:hint="eastAsia" w:cs="宋体"/>
          <w:color w:val="000000" w:themeColor="text1"/>
          <w:highlight w:val="none"/>
          <w:u w:val="none"/>
          <w14:textFill>
            <w14:solidFill>
              <w14:schemeClr w14:val="tx1"/>
            </w14:solidFill>
          </w14:textFill>
        </w:rPr>
        <w:t>8.1.投标工具建议在window7或windows10操作系统下使用；</w:t>
      </w:r>
    </w:p>
    <w:p w14:paraId="5F5406DB">
      <w:pPr>
        <w:spacing w:line="400" w:lineRule="exact"/>
        <w:ind w:firstLine="480"/>
        <w:rPr>
          <w:rFonts w:cs="宋体"/>
          <w:bCs/>
          <w:color w:val="000000" w:themeColor="text1"/>
          <w:sz w:val="18"/>
          <w:highlight w:val="none"/>
          <w14:textFill>
            <w14:solidFill>
              <w14:schemeClr w14:val="tx1"/>
            </w14:solidFill>
          </w14:textFill>
        </w:rPr>
      </w:pPr>
      <w:r>
        <w:rPr>
          <w:rStyle w:val="63"/>
          <w:rFonts w:hint="eastAsia" w:cs="宋体"/>
          <w:color w:val="000000" w:themeColor="text1"/>
          <w:highlight w:val="none"/>
          <w:u w:val="none"/>
          <w14:textFill>
            <w14:solidFill>
              <w14:schemeClr w14:val="tx1"/>
            </w14:solidFill>
          </w14:textFill>
        </w:rPr>
        <w:tab/>
      </w:r>
      <w:r>
        <w:rPr>
          <w:rStyle w:val="63"/>
          <w:rFonts w:hint="eastAsia" w:cs="宋体"/>
          <w:color w:val="000000" w:themeColor="text1"/>
          <w:highlight w:val="none"/>
          <w:u w:val="none"/>
          <w14:textFill>
            <w14:solidFill>
              <w14:schemeClr w14:val="tx1"/>
            </w14:solidFill>
          </w14:textFill>
        </w:rPr>
        <w:t>8.2.电子投标文件编制建议使用</w:t>
      </w:r>
      <w:r>
        <w:rPr>
          <w:rFonts w:hint="eastAsia" w:cs="宋体"/>
          <w:color w:val="000000" w:themeColor="text1"/>
          <w:highlight w:val="none"/>
          <w14:textFill>
            <w14:solidFill>
              <w14:schemeClr w14:val="tx1"/>
            </w14:solidFill>
          </w14:textFill>
        </w:rPr>
        <w:t>office2010版本。</w:t>
      </w:r>
    </w:p>
    <w:p w14:paraId="3E54CB80">
      <w:pPr>
        <w:wordWrap w:val="0"/>
        <w:spacing w:line="400" w:lineRule="exact"/>
        <w:ind w:firstLine="480"/>
        <w:rPr>
          <w:rFonts w:cs="宋体"/>
          <w:bCs/>
          <w:color w:val="000000" w:themeColor="text1"/>
          <w:highlight w:val="none"/>
          <w:u w:val="single"/>
          <w14:textFill>
            <w14:solidFill>
              <w14:schemeClr w14:val="tx1"/>
            </w14:solidFill>
          </w14:textFill>
        </w:rPr>
      </w:pPr>
      <w:r>
        <w:rPr>
          <w:rFonts w:hint="eastAsia" w:cs="宋体"/>
          <w:color w:val="000000" w:themeColor="text1"/>
          <w:szCs w:val="24"/>
          <w:highlight w:val="none"/>
          <w14:textFill>
            <w14:solidFill>
              <w14:schemeClr w14:val="tx1"/>
            </w14:solidFill>
          </w14:textFill>
        </w:rPr>
        <w:tab/>
      </w:r>
      <w:r>
        <w:rPr>
          <w:rFonts w:hint="eastAsia" w:cs="宋体"/>
          <w:color w:val="000000" w:themeColor="text1"/>
          <w:szCs w:val="24"/>
          <w:highlight w:val="none"/>
          <w14:textFill>
            <w14:solidFill>
              <w14:schemeClr w14:val="tx1"/>
            </w14:solidFill>
          </w14:textFill>
        </w:rPr>
        <w:t>9.</w:t>
      </w:r>
      <w:r>
        <w:rPr>
          <w:rFonts w:hint="eastAsia" w:cs="宋体"/>
          <w:color w:val="000000" w:themeColor="text1"/>
          <w:highlight w:val="none"/>
          <w14:textFill>
            <w14:solidFill>
              <w14:schemeClr w14:val="tx1"/>
            </w14:solidFill>
          </w14:textFill>
        </w:rPr>
        <w:t>潜在</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制作电子投标文件后，需在</w:t>
      </w:r>
      <w:r>
        <w:rPr>
          <w:rFonts w:hint="eastAsia" w:cs="宋体"/>
          <w:color w:val="000000" w:themeColor="text1"/>
          <w:szCs w:val="24"/>
          <w:highlight w:val="none"/>
          <w14:textFill>
            <w14:solidFill>
              <w14:schemeClr w14:val="tx1"/>
            </w14:solidFill>
          </w14:textFill>
        </w:rPr>
        <w:t>投标工具</w:t>
      </w:r>
      <w:r>
        <w:rPr>
          <w:rFonts w:hint="eastAsia" w:cs="宋体"/>
          <w:color w:val="000000" w:themeColor="text1"/>
          <w:highlight w:val="none"/>
          <w14:textFill>
            <w14:solidFill>
              <w14:schemeClr w14:val="tx1"/>
            </w14:solidFill>
          </w14:textFill>
        </w:rPr>
        <w:t>对电子投标文件进行电子签章（项目有特殊说明的除外），并使用CA</w:t>
      </w:r>
      <w:r>
        <w:rPr>
          <w:rFonts w:hint="eastAsia" w:cs="宋体"/>
          <w:color w:val="000000" w:themeColor="text1"/>
          <w:szCs w:val="24"/>
          <w:highlight w:val="none"/>
          <w14:textFill>
            <w14:solidFill>
              <w14:schemeClr w14:val="tx1"/>
            </w14:solidFill>
          </w14:textFill>
        </w:rPr>
        <w:t>证书进行</w:t>
      </w:r>
      <w:r>
        <w:rPr>
          <w:rFonts w:hint="eastAsia" w:cs="宋体"/>
          <w:color w:val="000000" w:themeColor="text1"/>
          <w:highlight w:val="none"/>
          <w14:textFill>
            <w14:solidFill>
              <w14:schemeClr w14:val="tx1"/>
            </w14:solidFill>
          </w14:textFill>
        </w:rPr>
        <w:t>加密。在</w:t>
      </w:r>
      <w:r>
        <w:rPr>
          <w:rFonts w:hint="eastAsia" w:cs="宋体"/>
          <w:color w:val="000000" w:themeColor="text1"/>
          <w:szCs w:val="24"/>
          <w:highlight w:val="none"/>
          <w14:textFill>
            <w14:solidFill>
              <w14:schemeClr w14:val="tx1"/>
            </w14:solidFill>
          </w14:textFill>
        </w:rPr>
        <w:t>投标工具使用CA证书</w:t>
      </w:r>
      <w:r>
        <w:rPr>
          <w:rFonts w:hint="eastAsia" w:cs="宋体"/>
          <w:color w:val="000000" w:themeColor="text1"/>
          <w:highlight w:val="none"/>
          <w14:textFill>
            <w14:solidFill>
              <w14:schemeClr w14:val="tx1"/>
            </w14:solidFill>
          </w14:textFill>
        </w:rPr>
        <w:t>时需安装“优质采数字证书助手”</w:t>
      </w:r>
      <w:r>
        <w:rPr>
          <w:rFonts w:hint="eastAsia" w:cs="宋体"/>
          <w:color w:val="000000" w:themeColor="text1"/>
          <w:szCs w:val="24"/>
          <w:highlight w:val="none"/>
          <w14:textFill>
            <w14:solidFill>
              <w14:schemeClr w14:val="tx1"/>
            </w14:solidFill>
          </w14:textFill>
        </w:rPr>
        <w:t xml:space="preserve"> （即数字证书驱动）</w:t>
      </w:r>
      <w:r>
        <w:rPr>
          <w:rFonts w:hint="eastAsia" w:cs="宋体"/>
          <w:color w:val="000000" w:themeColor="text1"/>
          <w:highlight w:val="none"/>
          <w14:textFill>
            <w14:solidFill>
              <w14:schemeClr w14:val="tx1"/>
            </w14:solidFill>
          </w14:textFill>
        </w:rPr>
        <w:t>，下载地址：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"https://toolcdn.youzhicai.com/ca.zip" </w:instrText>
      </w:r>
      <w:r>
        <w:rPr>
          <w:color w:val="000000" w:themeColor="text1"/>
          <w:highlight w:val="none"/>
          <w14:textFill>
            <w14:solidFill>
              <w14:schemeClr w14:val="tx1"/>
            </w14:solidFill>
          </w14:textFill>
        </w:rPr>
        <w:fldChar w:fldCharType="separate"/>
      </w:r>
      <w:r>
        <w:rPr>
          <w:rStyle w:val="63"/>
          <w:rFonts w:hint="eastAsia" w:cs="宋体"/>
          <w:color w:val="000000" w:themeColor="text1"/>
          <w:highlight w:val="none"/>
          <w14:textFill>
            <w14:solidFill>
              <w14:schemeClr w14:val="tx1"/>
            </w14:solidFill>
          </w14:textFill>
        </w:rPr>
        <w:t>https://toolcdn.youzhicai.com/ca.zip</w:t>
      </w:r>
      <w:r>
        <w:rPr>
          <w:rStyle w:val="63"/>
          <w:rFonts w:hint="eastAsia" w:cs="宋体"/>
          <w:color w:val="000000" w:themeColor="text1"/>
          <w:highlight w:val="none"/>
          <w14:textFill>
            <w14:solidFill>
              <w14:schemeClr w14:val="tx1"/>
            </w14:solidFill>
          </w14:textFill>
        </w:rPr>
        <w:fldChar w:fldCharType="end"/>
      </w:r>
      <w:r>
        <w:rPr>
          <w:rStyle w:val="63"/>
          <w:rFonts w:hint="eastAsia" w:cs="宋体"/>
          <w:color w:val="000000" w:themeColor="text1"/>
          <w:highlight w:val="none"/>
          <w14:textFill>
            <w14:solidFill>
              <w14:schemeClr w14:val="tx1"/>
            </w14:solidFill>
          </w14:textFill>
        </w:rPr>
        <w:t>。</w:t>
      </w:r>
    </w:p>
    <w:p w14:paraId="35DE0644">
      <w:pPr>
        <w:wordWrap w:val="0"/>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highlight w:val="none"/>
          <w14:textFill>
            <w14:solidFill>
              <w14:schemeClr w14:val="tx1"/>
            </w14:solidFill>
          </w14:textFill>
        </w:rPr>
        <w:tab/>
      </w:r>
      <w:r>
        <w:rPr>
          <w:rFonts w:hint="eastAsia" w:cs="宋体"/>
          <w:color w:val="000000" w:themeColor="text1"/>
          <w:szCs w:val="24"/>
          <w:highlight w:val="none"/>
          <w14:textFill>
            <w14:solidFill>
              <w14:schemeClr w14:val="tx1"/>
            </w14:solidFill>
          </w14:textFill>
        </w:rPr>
        <w:t>10.潜在</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完成制作、签章、加密投标文件后，需在</w:t>
      </w:r>
      <w:r>
        <w:rPr>
          <w:rFonts w:hint="eastAsia" w:cs="宋体"/>
          <w:color w:val="000000" w:themeColor="text1"/>
          <w:highlight w:val="none"/>
          <w14:textFill>
            <w14:solidFill>
              <w14:schemeClr w14:val="tx1"/>
            </w14:solidFill>
          </w14:textFill>
        </w:rPr>
        <w:t>招标文件规定的投标截止时间前在</w:t>
      </w:r>
      <w:r>
        <w:rPr>
          <w:rFonts w:hint="eastAsia" w:cs="宋体"/>
          <w:color w:val="000000" w:themeColor="text1"/>
          <w:szCs w:val="24"/>
          <w:highlight w:val="none"/>
          <w14:textFill>
            <w14:solidFill>
              <w14:schemeClr w14:val="tx1"/>
            </w14:solidFill>
          </w14:textFill>
        </w:rPr>
        <w:t>投标工具</w:t>
      </w:r>
      <w:r>
        <w:rPr>
          <w:rFonts w:hint="eastAsia" w:cs="宋体"/>
          <w:color w:val="000000" w:themeColor="text1"/>
          <w:highlight w:val="none"/>
          <w14:textFill>
            <w14:solidFill>
              <w14:schemeClr w14:val="tx1"/>
            </w14:solidFill>
          </w14:textFill>
        </w:rPr>
        <w:t>完成上传。</w:t>
      </w:r>
      <w:r>
        <w:rPr>
          <w:rFonts w:hint="eastAsia" w:cs="宋体"/>
          <w:color w:val="000000" w:themeColor="text1"/>
          <w:szCs w:val="24"/>
          <w:highlight w:val="none"/>
          <w14:textFill>
            <w14:solidFill>
              <w14:schemeClr w14:val="tx1"/>
            </w14:solidFill>
          </w14:textFill>
        </w:rPr>
        <w:t>投标截止时间以优质采云采购平台（</w:t>
      </w:r>
      <w:r>
        <w:rPr>
          <w:rFonts w:cs="宋体"/>
          <w:color w:val="000000" w:themeColor="text1"/>
          <w:szCs w:val="24"/>
          <w:highlight w:val="none"/>
          <w14:textFill>
            <w14:solidFill>
              <w14:schemeClr w14:val="tx1"/>
            </w14:solidFill>
          </w14:textFill>
        </w:rPr>
        <w:t>http://www.youzhicai.com/</w:t>
      </w:r>
      <w:r>
        <w:rPr>
          <w:rFonts w:hint="eastAsia" w:cs="宋体"/>
          <w:color w:val="000000" w:themeColor="text1"/>
          <w:szCs w:val="24"/>
          <w:highlight w:val="none"/>
          <w14:textFill>
            <w14:solidFill>
              <w14:schemeClr w14:val="tx1"/>
            </w14:solidFill>
          </w14:textFill>
        </w:rPr>
        <w:t>）系统的时间为准，如未在投标截止时间前完成电子投标文件上传，系统将自动关闭上传通道。潜在</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未完成电子投标文件上传的，视为没有递交投标文件。</w:t>
      </w:r>
    </w:p>
    <w:p w14:paraId="63847944">
      <w:pPr>
        <w:wordWrap w:val="0"/>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11.潜在</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在投标文件递交截止时间前，可以对其所递交的电子投标文件进行撤回，修改后重新上传。</w:t>
      </w:r>
    </w:p>
    <w:p w14:paraId="6B782DFA">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12.潜在</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在制作、签章、加密、上传电子投标文件过程中，若存在技术操作问题，请及时联系优质采云采购平台客服人员，客服电话：400-0099-555，0551-62220164。</w:t>
      </w:r>
    </w:p>
    <w:p w14:paraId="481C3E3F">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三、开标和解密</w:t>
      </w:r>
    </w:p>
    <w:p w14:paraId="1365ADB1">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13.</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14:textFill>
            <w14:solidFill>
              <w14:schemeClr w14:val="tx1"/>
            </w14:solidFill>
          </w14:textFill>
        </w:rPr>
        <w:t>或代理机构工作人员（以下简称工作人员）根据有关规定登录系统组织开标。投标文件递交截止时间后由</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使用</w:t>
      </w:r>
      <w:r>
        <w:rPr>
          <w:rFonts w:hint="eastAsia" w:cs="宋体"/>
          <w:color w:val="000000" w:themeColor="text1"/>
          <w:highlight w:val="none"/>
          <w14:textFill>
            <w14:solidFill>
              <w14:schemeClr w14:val="tx1"/>
            </w14:solidFill>
          </w14:textFill>
        </w:rPr>
        <w:t>CA证书</w:t>
      </w:r>
      <w:r>
        <w:rPr>
          <w:rFonts w:hint="eastAsia" w:cs="宋体"/>
          <w:color w:val="000000" w:themeColor="text1"/>
          <w:szCs w:val="24"/>
          <w:highlight w:val="none"/>
          <w14:textFill>
            <w14:solidFill>
              <w14:schemeClr w14:val="tx1"/>
            </w14:solidFill>
          </w14:textFill>
        </w:rPr>
        <w:t>解密投标文件，工作人员导入已解密投标文件并公布开标结果。</w:t>
      </w:r>
    </w:p>
    <w:p w14:paraId="18FF9074">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14.投标文件可远程解密，</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无需到达开标现场。招标文件“</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须知”中另有规定的，从其规定。</w:t>
      </w:r>
    </w:p>
    <w:p w14:paraId="3B7F6EEA">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15.潜在</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须按照招标文件的要求在投标文件递交截止时间前登录投标工具并保持在线，关注开标互动大厅消息直到项目评审结束。</w:t>
      </w:r>
    </w:p>
    <w:p w14:paraId="0C844239">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16.投标文件解密时限为投标文件递交截止时间后30分钟（招标文件“</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须知”中另有规定的，从其规定）。潜在</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须在投标文件解密时限内完成投标文件解密，未能成功解密的视为放弃投标。招标文件“</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须知”中对投标文件解密设有线下补救方案的，执行该补救方案。</w:t>
      </w:r>
    </w:p>
    <w:p w14:paraId="37B1015A">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四、评审和询标</w:t>
      </w:r>
    </w:p>
    <w:p w14:paraId="105B9C04">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17.评审委员会通过优质采电子评审工具将需要澄清、说明或补正的内容以询标函的形式发送给</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应登录投标工具并保持在线状态，以便及时接收评审委员会可能发出的询标函，并在询标函载明的时间内回复，若</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未及时回复，视为放弃澄清。</w:t>
      </w:r>
    </w:p>
    <w:p w14:paraId="0D71C12F">
      <w:pPr>
        <w:spacing w:line="40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五、异常情形</w:t>
      </w:r>
    </w:p>
    <w:p w14:paraId="6BBB9A95">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18.出现下列情形导致电子交易系统无法正常运行，影响招投标过程的公平、公正和信息安全，经第三方机构认定后，各方当事人免责：</w:t>
      </w:r>
    </w:p>
    <w:p w14:paraId="58016EAE">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(1)网络、服务器、数据库发生故障造成无法访问或使用的；</w:t>
      </w:r>
    </w:p>
    <w:p w14:paraId="2F744369">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(2)电力系统发生故障导致电子服务系统或电子交易系统无法运行；</w:t>
      </w:r>
    </w:p>
    <w:p w14:paraId="4959FBD8">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(3)出现网络攻击、病毒入侵以及电子服务系统或电子交易系统安全漏洞导致无法正常提供服务的；</w:t>
      </w:r>
    </w:p>
    <w:p w14:paraId="12F49B87">
      <w:pPr>
        <w:spacing w:line="400" w:lineRule="exact"/>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(4)其他无法保证招投标过程公平、公正和信息安全的情形。</w:t>
      </w:r>
    </w:p>
    <w:p w14:paraId="17589CDA">
      <w:pPr>
        <w:spacing w:line="40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六、异常情形处理</w:t>
      </w:r>
    </w:p>
    <w:p w14:paraId="76B65942">
      <w:pPr>
        <w:spacing w:line="40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19.出现上述情形，优质采平台及时组织相关方查明原因，排除故障。若能保证在开标前恢复系统运行的，招投标程序继续进行；若导致开评审程序无法按时开展，但能在原开标时间后2小时内恢复系统运行的，招投标程序继续进行；若导致开评审程序无法按时开展，在原开标时间后2小时内无法恢复系统运行的，按以下程序操作：</w:t>
      </w:r>
    </w:p>
    <w:p w14:paraId="364E5277">
      <w:pPr>
        <w:spacing w:line="40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（1）项目中止，中止期限由</w:t>
      </w:r>
      <w:r>
        <w:rPr>
          <w:rFonts w:hint="eastAsia"/>
          <w:color w:val="000000" w:themeColor="text1"/>
          <w:szCs w:val="18"/>
          <w:highlight w:val="none"/>
          <w14:textFill>
            <w14:solidFill>
              <w14:schemeClr w14:val="tx1"/>
            </w14:solidFill>
          </w14:textFill>
        </w:rPr>
        <w:t>业主单位</w:t>
      </w:r>
      <w:r>
        <w:rPr>
          <w:rFonts w:hint="eastAsia" w:cs="宋体"/>
          <w:color w:val="000000" w:themeColor="text1"/>
          <w:highlight w:val="none"/>
          <w14:textFill>
            <w14:solidFill>
              <w14:schemeClr w14:val="tx1"/>
            </w14:solidFill>
          </w14:textFill>
        </w:rPr>
        <w:t>或代理机构根据项目具体情况确定。中止期限届满后中止情形尚未消除的，</w:t>
      </w:r>
      <w:r>
        <w:rPr>
          <w:rFonts w:hint="eastAsia"/>
          <w:color w:val="000000" w:themeColor="text1"/>
          <w:szCs w:val="18"/>
          <w:highlight w:val="none"/>
          <w14:textFill>
            <w14:solidFill>
              <w14:schemeClr w14:val="tx1"/>
            </w14:solidFill>
          </w14:textFill>
        </w:rPr>
        <w:t>业主单位</w:t>
      </w:r>
      <w:r>
        <w:rPr>
          <w:rFonts w:hint="eastAsia" w:cs="宋体"/>
          <w:color w:val="000000" w:themeColor="text1"/>
          <w:highlight w:val="none"/>
          <w14:textFill>
            <w14:solidFill>
              <w14:schemeClr w14:val="tx1"/>
            </w14:solidFill>
          </w14:textFill>
        </w:rPr>
        <w:t>或代理机构可以根据实际情况决定延长中止期限。决定延长中止期限的，应向</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发出延长中止期限通知，并发布公布。</w:t>
      </w:r>
    </w:p>
    <w:p w14:paraId="113C88AC">
      <w:pPr>
        <w:spacing w:line="40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（2）项目恢复，导致项目中止的情形消除后，</w:t>
      </w:r>
      <w:r>
        <w:rPr>
          <w:rFonts w:hint="eastAsia"/>
          <w:color w:val="000000" w:themeColor="text1"/>
          <w:szCs w:val="18"/>
          <w:highlight w:val="none"/>
          <w14:textFill>
            <w14:solidFill>
              <w14:schemeClr w14:val="tx1"/>
            </w14:solidFill>
          </w14:textFill>
        </w:rPr>
        <w:t>业主单位</w:t>
      </w:r>
      <w:r>
        <w:rPr>
          <w:rFonts w:hint="eastAsia" w:cs="宋体"/>
          <w:color w:val="000000" w:themeColor="text1"/>
          <w:highlight w:val="none"/>
          <w14:textFill>
            <w14:solidFill>
              <w14:schemeClr w14:val="tx1"/>
            </w14:solidFill>
          </w14:textFill>
        </w:rPr>
        <w:t>或代理机构应当尽快恢复招投标程序，向</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发出恢复交易通知，并发布公布；已发出延长中止期限通知的，按通知执行。</w:t>
      </w:r>
    </w:p>
    <w:p w14:paraId="49495EBA">
      <w:pPr>
        <w:ind w:firstLine="480"/>
        <w:rPr>
          <w:color w:val="000000" w:themeColor="text1"/>
          <w:highlight w:val="none"/>
          <w14:textFill>
            <w14:solidFill>
              <w14:schemeClr w14:val="tx1"/>
            </w14:solidFill>
          </w14:textFill>
        </w:rPr>
      </w:pPr>
    </w:p>
    <w:p w14:paraId="481C853F">
      <w:pPr>
        <w:ind w:firstLine="721"/>
        <w:jc w:val="center"/>
        <w:rPr>
          <w:rFonts w:ascii="华文宋体" w:hAnsi="华文宋体" w:eastAsia="华文宋体" w:cs="华文宋体"/>
          <w:b/>
          <w:bCs/>
          <w:color w:val="000000" w:themeColor="text1"/>
          <w:sz w:val="36"/>
          <w:szCs w:val="44"/>
          <w:highlight w:val="none"/>
          <w14:textFill>
            <w14:solidFill>
              <w14:schemeClr w14:val="tx1"/>
            </w14:solidFill>
          </w14:textFill>
        </w:rPr>
      </w:pPr>
    </w:p>
    <w:p w14:paraId="5DEF1B7B">
      <w:pPr>
        <w:ind w:firstLine="721"/>
        <w:jc w:val="center"/>
        <w:rPr>
          <w:rFonts w:ascii="华文宋体" w:hAnsi="华文宋体" w:eastAsia="华文宋体" w:cs="华文宋体"/>
          <w:b/>
          <w:bCs/>
          <w:color w:val="000000" w:themeColor="text1"/>
          <w:sz w:val="36"/>
          <w:szCs w:val="44"/>
          <w:highlight w:val="none"/>
          <w14:textFill>
            <w14:solidFill>
              <w14:schemeClr w14:val="tx1"/>
            </w14:solidFill>
          </w14:textFill>
        </w:rPr>
      </w:pPr>
    </w:p>
    <w:p w14:paraId="5FD29A41">
      <w:pPr>
        <w:ind w:firstLine="721"/>
        <w:jc w:val="center"/>
        <w:rPr>
          <w:rFonts w:ascii="华文宋体" w:hAnsi="华文宋体" w:eastAsia="华文宋体" w:cs="华文宋体"/>
          <w:b/>
          <w:bCs/>
          <w:color w:val="000000" w:themeColor="text1"/>
          <w:sz w:val="36"/>
          <w:szCs w:val="44"/>
          <w:highlight w:val="none"/>
          <w14:textFill>
            <w14:solidFill>
              <w14:schemeClr w14:val="tx1"/>
            </w14:solidFill>
          </w14:textFill>
        </w:rPr>
      </w:pPr>
    </w:p>
    <w:p w14:paraId="086B86C2">
      <w:pPr>
        <w:ind w:firstLine="721"/>
        <w:jc w:val="center"/>
        <w:rPr>
          <w:rFonts w:ascii="华文宋体" w:hAnsi="华文宋体" w:eastAsia="华文宋体" w:cs="华文宋体"/>
          <w:b/>
          <w:bCs/>
          <w:color w:val="000000" w:themeColor="text1"/>
          <w:sz w:val="36"/>
          <w:szCs w:val="44"/>
          <w:highlight w:val="none"/>
          <w14:textFill>
            <w14:solidFill>
              <w14:schemeClr w14:val="tx1"/>
            </w14:solidFill>
          </w14:textFill>
        </w:rPr>
      </w:pPr>
    </w:p>
    <w:p w14:paraId="7D98A2A4">
      <w:pPr>
        <w:ind w:firstLine="721"/>
        <w:jc w:val="center"/>
        <w:rPr>
          <w:rFonts w:ascii="华文宋体" w:hAnsi="华文宋体" w:eastAsia="华文宋体" w:cs="华文宋体"/>
          <w:b/>
          <w:bCs/>
          <w:color w:val="000000" w:themeColor="text1"/>
          <w:sz w:val="36"/>
          <w:szCs w:val="44"/>
          <w:highlight w:val="none"/>
          <w14:textFill>
            <w14:solidFill>
              <w14:schemeClr w14:val="tx1"/>
            </w14:solidFill>
          </w14:textFill>
        </w:rPr>
      </w:pPr>
    </w:p>
    <w:p w14:paraId="51FD66B9">
      <w:pPr>
        <w:ind w:firstLine="721"/>
        <w:jc w:val="center"/>
        <w:rPr>
          <w:rFonts w:ascii="华文宋体" w:hAnsi="华文宋体" w:eastAsia="华文宋体" w:cs="华文宋体"/>
          <w:b/>
          <w:bCs/>
          <w:color w:val="000000" w:themeColor="text1"/>
          <w:sz w:val="36"/>
          <w:szCs w:val="44"/>
          <w:highlight w:val="none"/>
          <w14:textFill>
            <w14:solidFill>
              <w14:schemeClr w14:val="tx1"/>
            </w14:solidFill>
          </w14:textFill>
        </w:rPr>
      </w:pPr>
    </w:p>
    <w:p w14:paraId="366903A8">
      <w:pPr>
        <w:ind w:firstLine="721"/>
        <w:jc w:val="center"/>
        <w:rPr>
          <w:rFonts w:ascii="华文宋体" w:hAnsi="华文宋体" w:eastAsia="华文宋体" w:cs="华文宋体"/>
          <w:b/>
          <w:bCs/>
          <w:color w:val="000000" w:themeColor="text1"/>
          <w:sz w:val="36"/>
          <w:szCs w:val="44"/>
          <w:highlight w:val="none"/>
          <w14:textFill>
            <w14:solidFill>
              <w14:schemeClr w14:val="tx1"/>
            </w14:solidFill>
          </w14:textFill>
        </w:rPr>
      </w:pPr>
    </w:p>
    <w:p w14:paraId="50E52649">
      <w:pPr>
        <w:ind w:firstLine="721"/>
        <w:jc w:val="center"/>
        <w:rPr>
          <w:rFonts w:ascii="华文宋体" w:hAnsi="华文宋体" w:eastAsia="华文宋体" w:cs="华文宋体"/>
          <w:b/>
          <w:bCs/>
          <w:color w:val="000000" w:themeColor="text1"/>
          <w:sz w:val="36"/>
          <w:szCs w:val="44"/>
          <w:highlight w:val="none"/>
          <w14:textFill>
            <w14:solidFill>
              <w14:schemeClr w14:val="tx1"/>
            </w14:solidFill>
          </w14:textFill>
        </w:rPr>
      </w:pPr>
    </w:p>
    <w:p w14:paraId="24D4C5BB">
      <w:pPr>
        <w:ind w:firstLine="721"/>
        <w:jc w:val="center"/>
        <w:rPr>
          <w:rFonts w:ascii="华文宋体" w:hAnsi="华文宋体" w:eastAsia="华文宋体" w:cs="华文宋体"/>
          <w:b/>
          <w:bCs/>
          <w:sz w:val="36"/>
          <w:szCs w:val="44"/>
          <w:highlight w:val="none"/>
        </w:rPr>
      </w:pPr>
    </w:p>
    <w:p w14:paraId="1B8E0E92">
      <w:pPr>
        <w:ind w:firstLine="721"/>
        <w:jc w:val="center"/>
        <w:rPr>
          <w:rFonts w:ascii="华文宋体" w:hAnsi="华文宋体" w:eastAsia="华文宋体" w:cs="华文宋体"/>
          <w:b/>
          <w:bCs/>
          <w:sz w:val="36"/>
          <w:szCs w:val="44"/>
          <w:highlight w:val="none"/>
        </w:rPr>
      </w:pPr>
    </w:p>
    <w:p w14:paraId="087583A8">
      <w:pPr>
        <w:ind w:firstLine="721"/>
        <w:jc w:val="center"/>
        <w:rPr>
          <w:rFonts w:ascii="华文宋体" w:hAnsi="华文宋体" w:eastAsia="华文宋体" w:cs="华文宋体"/>
          <w:b/>
          <w:bCs/>
          <w:sz w:val="36"/>
          <w:szCs w:val="44"/>
          <w:highlight w:val="none"/>
        </w:rPr>
      </w:pPr>
    </w:p>
    <w:p w14:paraId="05856E9A">
      <w:pPr>
        <w:ind w:firstLine="721"/>
        <w:jc w:val="center"/>
        <w:rPr>
          <w:rFonts w:ascii="华文宋体" w:hAnsi="华文宋体" w:eastAsia="华文宋体" w:cs="华文宋体"/>
          <w:b/>
          <w:bCs/>
          <w:sz w:val="36"/>
          <w:szCs w:val="44"/>
          <w:highlight w:val="none"/>
        </w:rPr>
      </w:pPr>
    </w:p>
    <w:p w14:paraId="3AF689E8">
      <w:pPr>
        <w:ind w:firstLine="721"/>
        <w:jc w:val="center"/>
        <w:rPr>
          <w:rFonts w:ascii="华文宋体" w:hAnsi="华文宋体" w:eastAsia="华文宋体" w:cs="华文宋体"/>
          <w:b/>
          <w:bCs/>
          <w:sz w:val="36"/>
          <w:szCs w:val="44"/>
          <w:highlight w:val="none"/>
        </w:rPr>
      </w:pPr>
    </w:p>
    <w:p w14:paraId="68ED4214">
      <w:pPr>
        <w:ind w:firstLine="721"/>
        <w:jc w:val="center"/>
        <w:rPr>
          <w:rFonts w:ascii="华文宋体" w:hAnsi="华文宋体" w:eastAsia="华文宋体" w:cs="华文宋体"/>
          <w:b/>
          <w:bCs/>
          <w:sz w:val="36"/>
          <w:szCs w:val="44"/>
          <w:highlight w:val="none"/>
        </w:rPr>
      </w:pP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2020503050405090304"/>
    <w:charset w:val="00"/>
    <w:family w:val="roman"/>
    <w:pitch w:val="default"/>
    <w:sig w:usb0="00000000" w:usb1="00000000" w:usb2="00000001" w:usb3="00000000" w:csb0="400001BF" w:csb1="DFF7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华文宋体">
    <w:altName w:val="宋体"/>
    <w:panose1 w:val="02010600040101010101"/>
    <w:charset w:val="86"/>
    <w:family w:val="auto"/>
    <w:pitch w:val="default"/>
    <w:sig w:usb0="00000000" w:usb1="00000000" w:usb2="00000000" w:usb3="00000000" w:csb0="0004009F" w:csb1="DFD7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A3B64">
    <w:pPr>
      <w:pStyle w:val="33"/>
      <w:ind w:firstLine="360"/>
      <w:jc w:val="center"/>
    </w:pPr>
  </w:p>
  <w:p w14:paraId="4B6B2887">
    <w:pPr>
      <w:pStyle w:val="33"/>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10499">
    <w:pPr>
      <w:pStyle w:val="3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DAADF">
    <w:pPr>
      <w:pStyle w:val="3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75A626CB">
        <w:pPr>
          <w:pStyle w:val="33"/>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ind w:firstLine="480"/>
      </w:pPr>
      <w:r>
        <w:separator/>
      </w:r>
    </w:p>
  </w:footnote>
  <w:footnote w:type="continuationSeparator" w:id="3">
    <w:p>
      <w:pPr>
        <w:spacing w:line="360" w:lineRule="auto"/>
        <w:ind w:firstLine="480"/>
      </w:pPr>
      <w:r>
        <w:continuationSeparator/>
      </w:r>
    </w:p>
  </w:footnote>
  <w:footnote w:id="0">
    <w:p w14:paraId="2391AA32">
      <w:pPr>
        <w:pStyle w:val="42"/>
        <w:ind w:firstLine="360"/>
      </w:pPr>
      <w:r>
        <w:rPr>
          <w:rStyle w:val="65"/>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9FB7D">
    <w:pPr>
      <w:pStyle w:val="34"/>
      <w:ind w:firstLine="360"/>
      <w:jc w:val="left"/>
      <w:rPr>
        <w:rFonts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80E96">
    <w:pPr>
      <w:pStyle w:val="3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F9CFA">
    <w:pPr>
      <w:pStyle w:val="3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08A7C">
    <w:pPr>
      <w:pStyle w:val="34"/>
      <w:ind w:firstLine="360"/>
      <w:jc w:val="left"/>
    </w:pPr>
    <w:r>
      <w:rPr>
        <w:rFonts w:hint="eastAsia"/>
      </w:rPr>
      <w:t>磋商文件示范文本—服务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F16BB"/>
    <w:multiLevelType w:val="singleLevel"/>
    <w:tmpl w:val="9EBF16BB"/>
    <w:lvl w:ilvl="0" w:tentative="0">
      <w:start w:val="5"/>
      <w:numFmt w:val="decimal"/>
      <w:lvlText w:val="%1."/>
      <w:lvlJc w:val="left"/>
      <w:pPr>
        <w:tabs>
          <w:tab w:val="left" w:pos="312"/>
        </w:tabs>
      </w:pPr>
    </w:lvl>
  </w:abstractNum>
  <w:abstractNum w:abstractNumId="1">
    <w:nsid w:val="BC5BF4D1"/>
    <w:multiLevelType w:val="singleLevel"/>
    <w:tmpl w:val="BC5BF4D1"/>
    <w:lvl w:ilvl="0" w:tentative="0">
      <w:start w:val="1"/>
      <w:numFmt w:val="chineseCounting"/>
      <w:suff w:val="nothing"/>
      <w:lvlText w:val="（%1）"/>
      <w:lvlJc w:val="left"/>
      <w:rPr>
        <w:rFonts w:hint="eastAsia"/>
      </w:rPr>
    </w:lvl>
  </w:abstractNum>
  <w:abstractNum w:abstractNumId="2">
    <w:nsid w:val="0EF45E72"/>
    <w:multiLevelType w:val="multilevel"/>
    <w:tmpl w:val="0EF45E72"/>
    <w:lvl w:ilvl="0" w:tentative="0">
      <w:start w:val="1"/>
      <w:numFmt w:val="decimalEnclosedCircle"/>
      <w:pStyle w:val="80"/>
      <w:lvlText w:val="%1"/>
      <w:lvlJc w:val="left"/>
      <w:pPr>
        <w:ind w:left="360" w:hanging="360"/>
      </w:pPr>
      <w:rPr>
        <w:rFonts w:hint="default" w:ascii="宋体" w:hAnsi="宋体" w:eastAsia="宋体"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7F7E5238"/>
    <w:multiLevelType w:val="multilevel"/>
    <w:tmpl w:val="7F7E5238"/>
    <w:lvl w:ilvl="0" w:tentative="0">
      <w:start w:val="1"/>
      <w:numFmt w:val="none"/>
      <w:pStyle w:val="175"/>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2"/>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7"/>
      <w:lvlText w:val="           "/>
      <w:lvlJc w:val="left"/>
      <w:pPr>
        <w:tabs>
          <w:tab w:val="left" w:pos="1440"/>
        </w:tabs>
        <w:ind w:left="1152" w:hanging="1152"/>
      </w:pPr>
      <w:rPr>
        <w:rFonts w:hint="eastAsia"/>
      </w:rPr>
    </w:lvl>
    <w:lvl w:ilvl="6" w:tentative="0">
      <w:start w:val="1"/>
      <w:numFmt w:val="decimal"/>
      <w:pStyle w:val="179"/>
      <w:lvlText w:val="%1.%2.%3.%4.%5.%6.%7"/>
      <w:lvlJc w:val="left"/>
      <w:pPr>
        <w:tabs>
          <w:tab w:val="left" w:pos="2520"/>
        </w:tabs>
        <w:ind w:left="1296" w:hanging="1296"/>
      </w:pPr>
      <w:rPr>
        <w:rFonts w:hint="eastAsia"/>
      </w:rPr>
    </w:lvl>
    <w:lvl w:ilvl="7" w:tentative="0">
      <w:start w:val="1"/>
      <w:numFmt w:val="decimal"/>
      <w:pStyle w:val="181"/>
      <w:lvlText w:val="%1.%2.%3.%4.%5.%6.%7.%8"/>
      <w:lvlJc w:val="left"/>
      <w:pPr>
        <w:tabs>
          <w:tab w:val="left" w:pos="1440"/>
        </w:tabs>
        <w:ind w:left="1440" w:hanging="1440"/>
      </w:pPr>
      <w:rPr>
        <w:rFonts w:hint="eastAsia"/>
      </w:rPr>
    </w:lvl>
    <w:lvl w:ilvl="8" w:tentative="0">
      <w:start w:val="1"/>
      <w:numFmt w:val="decimal"/>
      <w:pStyle w:val="183"/>
      <w:lvlText w:val="%1.%2.%3.%4.%5.%6.%7.%8.%9"/>
      <w:lvlJc w:val="left"/>
      <w:pPr>
        <w:tabs>
          <w:tab w:val="left" w:pos="1584"/>
        </w:tabs>
        <w:ind w:left="1584" w:hanging="1584"/>
      </w:pPr>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yYzE0OWY0N2I0NjcxMjBlZDQ0NjZiNDJkODUwM2YifQ=="/>
  </w:docVars>
  <w:rsids>
    <w:rsidRoot w:val="00172A27"/>
    <w:rsid w:val="0000043F"/>
    <w:rsid w:val="00000C7F"/>
    <w:rsid w:val="000037F9"/>
    <w:rsid w:val="00003A9A"/>
    <w:rsid w:val="000049DA"/>
    <w:rsid w:val="000056B7"/>
    <w:rsid w:val="00005914"/>
    <w:rsid w:val="00007B11"/>
    <w:rsid w:val="00007D87"/>
    <w:rsid w:val="000131F7"/>
    <w:rsid w:val="00014039"/>
    <w:rsid w:val="00016B6C"/>
    <w:rsid w:val="00017625"/>
    <w:rsid w:val="00020B57"/>
    <w:rsid w:val="00020B6D"/>
    <w:rsid w:val="00020DC8"/>
    <w:rsid w:val="00022976"/>
    <w:rsid w:val="00024CDE"/>
    <w:rsid w:val="00026BCF"/>
    <w:rsid w:val="000323E2"/>
    <w:rsid w:val="0003322D"/>
    <w:rsid w:val="0003410D"/>
    <w:rsid w:val="000408DB"/>
    <w:rsid w:val="00040C25"/>
    <w:rsid w:val="00042139"/>
    <w:rsid w:val="00042B14"/>
    <w:rsid w:val="00043F29"/>
    <w:rsid w:val="00044F49"/>
    <w:rsid w:val="000450C3"/>
    <w:rsid w:val="00047767"/>
    <w:rsid w:val="0005061B"/>
    <w:rsid w:val="00050A3F"/>
    <w:rsid w:val="000548DB"/>
    <w:rsid w:val="00054AA3"/>
    <w:rsid w:val="00056ECB"/>
    <w:rsid w:val="00057B40"/>
    <w:rsid w:val="000648D2"/>
    <w:rsid w:val="00066AD7"/>
    <w:rsid w:val="00070E0E"/>
    <w:rsid w:val="0007146E"/>
    <w:rsid w:val="00073712"/>
    <w:rsid w:val="00076DB7"/>
    <w:rsid w:val="00080FEB"/>
    <w:rsid w:val="00084047"/>
    <w:rsid w:val="00086AC9"/>
    <w:rsid w:val="00087750"/>
    <w:rsid w:val="000935A5"/>
    <w:rsid w:val="00094A9E"/>
    <w:rsid w:val="00094D41"/>
    <w:rsid w:val="00095827"/>
    <w:rsid w:val="00096914"/>
    <w:rsid w:val="00097CB9"/>
    <w:rsid w:val="000A0073"/>
    <w:rsid w:val="000A0161"/>
    <w:rsid w:val="000A10A9"/>
    <w:rsid w:val="000A2DA0"/>
    <w:rsid w:val="000A6693"/>
    <w:rsid w:val="000A7403"/>
    <w:rsid w:val="000A7970"/>
    <w:rsid w:val="000A7D94"/>
    <w:rsid w:val="000B1511"/>
    <w:rsid w:val="000B1559"/>
    <w:rsid w:val="000B2DFF"/>
    <w:rsid w:val="000B3F25"/>
    <w:rsid w:val="000B6249"/>
    <w:rsid w:val="000B6562"/>
    <w:rsid w:val="000C12F8"/>
    <w:rsid w:val="000C1DB1"/>
    <w:rsid w:val="000C2037"/>
    <w:rsid w:val="000D3F37"/>
    <w:rsid w:val="000E3C74"/>
    <w:rsid w:val="000E3F9B"/>
    <w:rsid w:val="000E478E"/>
    <w:rsid w:val="000E6689"/>
    <w:rsid w:val="000E69B9"/>
    <w:rsid w:val="000E7B01"/>
    <w:rsid w:val="000F0BE2"/>
    <w:rsid w:val="000F0EBF"/>
    <w:rsid w:val="000F172B"/>
    <w:rsid w:val="000F2198"/>
    <w:rsid w:val="000F2933"/>
    <w:rsid w:val="000F39B6"/>
    <w:rsid w:val="000F3A94"/>
    <w:rsid w:val="000F69D7"/>
    <w:rsid w:val="000F6B7B"/>
    <w:rsid w:val="000F6F95"/>
    <w:rsid w:val="0010021F"/>
    <w:rsid w:val="00100B0F"/>
    <w:rsid w:val="0010187C"/>
    <w:rsid w:val="0010219C"/>
    <w:rsid w:val="0010324A"/>
    <w:rsid w:val="001037E3"/>
    <w:rsid w:val="00107022"/>
    <w:rsid w:val="0010791D"/>
    <w:rsid w:val="0011660B"/>
    <w:rsid w:val="00120C3C"/>
    <w:rsid w:val="0012143A"/>
    <w:rsid w:val="00121787"/>
    <w:rsid w:val="0012203E"/>
    <w:rsid w:val="00122EB8"/>
    <w:rsid w:val="001258BA"/>
    <w:rsid w:val="0012616E"/>
    <w:rsid w:val="0012753E"/>
    <w:rsid w:val="00130601"/>
    <w:rsid w:val="00130690"/>
    <w:rsid w:val="00130CD3"/>
    <w:rsid w:val="00132F4D"/>
    <w:rsid w:val="00133EA0"/>
    <w:rsid w:val="00135D8E"/>
    <w:rsid w:val="001379B3"/>
    <w:rsid w:val="00140687"/>
    <w:rsid w:val="0014543C"/>
    <w:rsid w:val="00146421"/>
    <w:rsid w:val="00153B20"/>
    <w:rsid w:val="00155F64"/>
    <w:rsid w:val="001571EE"/>
    <w:rsid w:val="00157856"/>
    <w:rsid w:val="00157B7B"/>
    <w:rsid w:val="00160729"/>
    <w:rsid w:val="0016455F"/>
    <w:rsid w:val="00164B01"/>
    <w:rsid w:val="00165398"/>
    <w:rsid w:val="00166794"/>
    <w:rsid w:val="00166ED8"/>
    <w:rsid w:val="001714C9"/>
    <w:rsid w:val="00171515"/>
    <w:rsid w:val="001724A8"/>
    <w:rsid w:val="00172B93"/>
    <w:rsid w:val="00173F37"/>
    <w:rsid w:val="0017466A"/>
    <w:rsid w:val="0017502C"/>
    <w:rsid w:val="00175D36"/>
    <w:rsid w:val="0018119B"/>
    <w:rsid w:val="00182A47"/>
    <w:rsid w:val="001844AB"/>
    <w:rsid w:val="001853C7"/>
    <w:rsid w:val="001869E4"/>
    <w:rsid w:val="00190F66"/>
    <w:rsid w:val="001914C9"/>
    <w:rsid w:val="00192879"/>
    <w:rsid w:val="001944B8"/>
    <w:rsid w:val="00196DA3"/>
    <w:rsid w:val="001971E5"/>
    <w:rsid w:val="001974FD"/>
    <w:rsid w:val="001A01C8"/>
    <w:rsid w:val="001A0C0F"/>
    <w:rsid w:val="001A5C2E"/>
    <w:rsid w:val="001A68E5"/>
    <w:rsid w:val="001B0EE4"/>
    <w:rsid w:val="001B25BE"/>
    <w:rsid w:val="001B2A54"/>
    <w:rsid w:val="001B2BA4"/>
    <w:rsid w:val="001B5014"/>
    <w:rsid w:val="001B7327"/>
    <w:rsid w:val="001C1E34"/>
    <w:rsid w:val="001D22EA"/>
    <w:rsid w:val="001D503E"/>
    <w:rsid w:val="001D53B4"/>
    <w:rsid w:val="001D7C59"/>
    <w:rsid w:val="001E1023"/>
    <w:rsid w:val="001E1835"/>
    <w:rsid w:val="001E19E4"/>
    <w:rsid w:val="001E6BA1"/>
    <w:rsid w:val="001F28D2"/>
    <w:rsid w:val="001F2F29"/>
    <w:rsid w:val="001F2F45"/>
    <w:rsid w:val="001F3023"/>
    <w:rsid w:val="001F35F6"/>
    <w:rsid w:val="001F4AAF"/>
    <w:rsid w:val="001F65D2"/>
    <w:rsid w:val="001F74CA"/>
    <w:rsid w:val="001F7590"/>
    <w:rsid w:val="002003B6"/>
    <w:rsid w:val="0020244A"/>
    <w:rsid w:val="002049B4"/>
    <w:rsid w:val="0020520B"/>
    <w:rsid w:val="00205B3D"/>
    <w:rsid w:val="002076AD"/>
    <w:rsid w:val="00211C02"/>
    <w:rsid w:val="0021363E"/>
    <w:rsid w:val="00213C55"/>
    <w:rsid w:val="0021401C"/>
    <w:rsid w:val="002169AA"/>
    <w:rsid w:val="00216DA5"/>
    <w:rsid w:val="002173FB"/>
    <w:rsid w:val="00223CF4"/>
    <w:rsid w:val="00224B69"/>
    <w:rsid w:val="00224C4A"/>
    <w:rsid w:val="00231187"/>
    <w:rsid w:val="002329EB"/>
    <w:rsid w:val="0023407E"/>
    <w:rsid w:val="00240B40"/>
    <w:rsid w:val="00243307"/>
    <w:rsid w:val="00244182"/>
    <w:rsid w:val="00247C9C"/>
    <w:rsid w:val="00252312"/>
    <w:rsid w:val="002544A1"/>
    <w:rsid w:val="00257ECE"/>
    <w:rsid w:val="00260382"/>
    <w:rsid w:val="00260B94"/>
    <w:rsid w:val="00261105"/>
    <w:rsid w:val="002613B1"/>
    <w:rsid w:val="00262EB4"/>
    <w:rsid w:val="00264F2E"/>
    <w:rsid w:val="00271245"/>
    <w:rsid w:val="00272C0A"/>
    <w:rsid w:val="0027395E"/>
    <w:rsid w:val="00273F66"/>
    <w:rsid w:val="00274A9E"/>
    <w:rsid w:val="00276BA1"/>
    <w:rsid w:val="00276CD2"/>
    <w:rsid w:val="00280984"/>
    <w:rsid w:val="002812E8"/>
    <w:rsid w:val="0028261E"/>
    <w:rsid w:val="002832CF"/>
    <w:rsid w:val="002835E3"/>
    <w:rsid w:val="00284542"/>
    <w:rsid w:val="00290FB2"/>
    <w:rsid w:val="00292115"/>
    <w:rsid w:val="002925D1"/>
    <w:rsid w:val="002930E0"/>
    <w:rsid w:val="002A0EE7"/>
    <w:rsid w:val="002A14D1"/>
    <w:rsid w:val="002A1A1D"/>
    <w:rsid w:val="002A28AD"/>
    <w:rsid w:val="002B04FD"/>
    <w:rsid w:val="002B5318"/>
    <w:rsid w:val="002B5CEA"/>
    <w:rsid w:val="002B6D27"/>
    <w:rsid w:val="002B7A09"/>
    <w:rsid w:val="002C00C4"/>
    <w:rsid w:val="002C060C"/>
    <w:rsid w:val="002C078A"/>
    <w:rsid w:val="002C4A18"/>
    <w:rsid w:val="002C4FC2"/>
    <w:rsid w:val="002D05DD"/>
    <w:rsid w:val="002D0E4D"/>
    <w:rsid w:val="002D2965"/>
    <w:rsid w:val="002D2C7A"/>
    <w:rsid w:val="002D3AEE"/>
    <w:rsid w:val="002D3D02"/>
    <w:rsid w:val="002D4CB5"/>
    <w:rsid w:val="002D5900"/>
    <w:rsid w:val="002D684B"/>
    <w:rsid w:val="002E003E"/>
    <w:rsid w:val="002E2142"/>
    <w:rsid w:val="002E2AA1"/>
    <w:rsid w:val="002E2D3A"/>
    <w:rsid w:val="002E3B26"/>
    <w:rsid w:val="002E422E"/>
    <w:rsid w:val="002E4AB8"/>
    <w:rsid w:val="002E7FC4"/>
    <w:rsid w:val="002F340B"/>
    <w:rsid w:val="002F4301"/>
    <w:rsid w:val="003042EB"/>
    <w:rsid w:val="00305FD7"/>
    <w:rsid w:val="00310070"/>
    <w:rsid w:val="0031081B"/>
    <w:rsid w:val="003110EC"/>
    <w:rsid w:val="00314289"/>
    <w:rsid w:val="0031667F"/>
    <w:rsid w:val="003206A6"/>
    <w:rsid w:val="0032560D"/>
    <w:rsid w:val="00326A36"/>
    <w:rsid w:val="00327C92"/>
    <w:rsid w:val="00333292"/>
    <w:rsid w:val="003344E7"/>
    <w:rsid w:val="0033580B"/>
    <w:rsid w:val="003365E7"/>
    <w:rsid w:val="003378D5"/>
    <w:rsid w:val="00343F97"/>
    <w:rsid w:val="003473D7"/>
    <w:rsid w:val="003478B8"/>
    <w:rsid w:val="00350BF4"/>
    <w:rsid w:val="00351AC8"/>
    <w:rsid w:val="00353075"/>
    <w:rsid w:val="00353F7F"/>
    <w:rsid w:val="00356EA5"/>
    <w:rsid w:val="00363E02"/>
    <w:rsid w:val="00363F8C"/>
    <w:rsid w:val="00370201"/>
    <w:rsid w:val="00373A37"/>
    <w:rsid w:val="00373A96"/>
    <w:rsid w:val="0037707D"/>
    <w:rsid w:val="003826C2"/>
    <w:rsid w:val="00383728"/>
    <w:rsid w:val="00384E57"/>
    <w:rsid w:val="003903BB"/>
    <w:rsid w:val="0039195E"/>
    <w:rsid w:val="00392627"/>
    <w:rsid w:val="00393232"/>
    <w:rsid w:val="00394128"/>
    <w:rsid w:val="00394ADC"/>
    <w:rsid w:val="00395235"/>
    <w:rsid w:val="003954A2"/>
    <w:rsid w:val="0039561A"/>
    <w:rsid w:val="00397C7D"/>
    <w:rsid w:val="003A004F"/>
    <w:rsid w:val="003A1D61"/>
    <w:rsid w:val="003A2158"/>
    <w:rsid w:val="003A3AC4"/>
    <w:rsid w:val="003A4A4C"/>
    <w:rsid w:val="003A5521"/>
    <w:rsid w:val="003B0C85"/>
    <w:rsid w:val="003B1EE4"/>
    <w:rsid w:val="003B25A5"/>
    <w:rsid w:val="003B4130"/>
    <w:rsid w:val="003B715B"/>
    <w:rsid w:val="003C1B12"/>
    <w:rsid w:val="003C2C62"/>
    <w:rsid w:val="003C5343"/>
    <w:rsid w:val="003C5566"/>
    <w:rsid w:val="003C577A"/>
    <w:rsid w:val="003C74A2"/>
    <w:rsid w:val="003C750E"/>
    <w:rsid w:val="003C7E43"/>
    <w:rsid w:val="003D1D14"/>
    <w:rsid w:val="003D6C7C"/>
    <w:rsid w:val="003D6EFB"/>
    <w:rsid w:val="003D7E52"/>
    <w:rsid w:val="003E259A"/>
    <w:rsid w:val="003E25C6"/>
    <w:rsid w:val="003E46E1"/>
    <w:rsid w:val="003E75FE"/>
    <w:rsid w:val="003F32BF"/>
    <w:rsid w:val="003F3623"/>
    <w:rsid w:val="003F3E11"/>
    <w:rsid w:val="003F4F56"/>
    <w:rsid w:val="003F7528"/>
    <w:rsid w:val="004011AA"/>
    <w:rsid w:val="00401E80"/>
    <w:rsid w:val="0040202C"/>
    <w:rsid w:val="00404A8F"/>
    <w:rsid w:val="00406508"/>
    <w:rsid w:val="004110F6"/>
    <w:rsid w:val="00412755"/>
    <w:rsid w:val="0041456E"/>
    <w:rsid w:val="004148E3"/>
    <w:rsid w:val="00414F7E"/>
    <w:rsid w:val="004164F8"/>
    <w:rsid w:val="00421164"/>
    <w:rsid w:val="0042434C"/>
    <w:rsid w:val="00426F05"/>
    <w:rsid w:val="00430C82"/>
    <w:rsid w:val="004316B3"/>
    <w:rsid w:val="004328E1"/>
    <w:rsid w:val="004400EE"/>
    <w:rsid w:val="004427B7"/>
    <w:rsid w:val="0044349F"/>
    <w:rsid w:val="00443AB7"/>
    <w:rsid w:val="0044541D"/>
    <w:rsid w:val="00445F1F"/>
    <w:rsid w:val="00447862"/>
    <w:rsid w:val="00451F60"/>
    <w:rsid w:val="00452BB2"/>
    <w:rsid w:val="00454C1F"/>
    <w:rsid w:val="00456054"/>
    <w:rsid w:val="0045656D"/>
    <w:rsid w:val="00462D98"/>
    <w:rsid w:val="00463E7D"/>
    <w:rsid w:val="00470527"/>
    <w:rsid w:val="00472498"/>
    <w:rsid w:val="0047259A"/>
    <w:rsid w:val="00472A44"/>
    <w:rsid w:val="00473773"/>
    <w:rsid w:val="00473A89"/>
    <w:rsid w:val="00474173"/>
    <w:rsid w:val="00475899"/>
    <w:rsid w:val="00482C78"/>
    <w:rsid w:val="00483ABC"/>
    <w:rsid w:val="00485078"/>
    <w:rsid w:val="0048634A"/>
    <w:rsid w:val="004874AE"/>
    <w:rsid w:val="0049056F"/>
    <w:rsid w:val="0049106C"/>
    <w:rsid w:val="004916E7"/>
    <w:rsid w:val="00491FF7"/>
    <w:rsid w:val="00492217"/>
    <w:rsid w:val="00494577"/>
    <w:rsid w:val="004948F2"/>
    <w:rsid w:val="00494D24"/>
    <w:rsid w:val="004951D1"/>
    <w:rsid w:val="004960BB"/>
    <w:rsid w:val="004A1BA3"/>
    <w:rsid w:val="004A27D0"/>
    <w:rsid w:val="004A461F"/>
    <w:rsid w:val="004A4D67"/>
    <w:rsid w:val="004A69B9"/>
    <w:rsid w:val="004B3E0A"/>
    <w:rsid w:val="004B7459"/>
    <w:rsid w:val="004B7E79"/>
    <w:rsid w:val="004C13CB"/>
    <w:rsid w:val="004C175E"/>
    <w:rsid w:val="004C1CE6"/>
    <w:rsid w:val="004C2003"/>
    <w:rsid w:val="004C5B90"/>
    <w:rsid w:val="004D3141"/>
    <w:rsid w:val="004D3D4B"/>
    <w:rsid w:val="004D3EC5"/>
    <w:rsid w:val="004D4557"/>
    <w:rsid w:val="004D5498"/>
    <w:rsid w:val="004D66A5"/>
    <w:rsid w:val="004D6B00"/>
    <w:rsid w:val="004E1D50"/>
    <w:rsid w:val="004E3266"/>
    <w:rsid w:val="004E38BA"/>
    <w:rsid w:val="004E3EB6"/>
    <w:rsid w:val="004E50CA"/>
    <w:rsid w:val="004E6BB1"/>
    <w:rsid w:val="004F27A0"/>
    <w:rsid w:val="004F28AC"/>
    <w:rsid w:val="004F33ED"/>
    <w:rsid w:val="004F75A8"/>
    <w:rsid w:val="0050027D"/>
    <w:rsid w:val="00500BC2"/>
    <w:rsid w:val="00501382"/>
    <w:rsid w:val="005036C6"/>
    <w:rsid w:val="005036D5"/>
    <w:rsid w:val="005048FB"/>
    <w:rsid w:val="00510798"/>
    <w:rsid w:val="005119B5"/>
    <w:rsid w:val="005125F1"/>
    <w:rsid w:val="005150CC"/>
    <w:rsid w:val="0051619F"/>
    <w:rsid w:val="005245C0"/>
    <w:rsid w:val="00524A11"/>
    <w:rsid w:val="00524DAD"/>
    <w:rsid w:val="00527768"/>
    <w:rsid w:val="00530EA4"/>
    <w:rsid w:val="005327FB"/>
    <w:rsid w:val="00533251"/>
    <w:rsid w:val="00533C85"/>
    <w:rsid w:val="00533FCA"/>
    <w:rsid w:val="005341AA"/>
    <w:rsid w:val="005346EF"/>
    <w:rsid w:val="005369F1"/>
    <w:rsid w:val="005470D4"/>
    <w:rsid w:val="005477E0"/>
    <w:rsid w:val="0055132A"/>
    <w:rsid w:val="00555E2F"/>
    <w:rsid w:val="00556270"/>
    <w:rsid w:val="0055705E"/>
    <w:rsid w:val="00560845"/>
    <w:rsid w:val="005616B5"/>
    <w:rsid w:val="00566690"/>
    <w:rsid w:val="005679A4"/>
    <w:rsid w:val="0057149F"/>
    <w:rsid w:val="00571B2D"/>
    <w:rsid w:val="00571F13"/>
    <w:rsid w:val="00572578"/>
    <w:rsid w:val="00573078"/>
    <w:rsid w:val="00574CE6"/>
    <w:rsid w:val="005849AB"/>
    <w:rsid w:val="00584FCB"/>
    <w:rsid w:val="00586E58"/>
    <w:rsid w:val="00590D9C"/>
    <w:rsid w:val="0059167E"/>
    <w:rsid w:val="0059223D"/>
    <w:rsid w:val="00592400"/>
    <w:rsid w:val="005934AB"/>
    <w:rsid w:val="0059365B"/>
    <w:rsid w:val="00593ABC"/>
    <w:rsid w:val="00595B40"/>
    <w:rsid w:val="00597B15"/>
    <w:rsid w:val="005A044C"/>
    <w:rsid w:val="005A149F"/>
    <w:rsid w:val="005A1E37"/>
    <w:rsid w:val="005A23D9"/>
    <w:rsid w:val="005A3A32"/>
    <w:rsid w:val="005A63EA"/>
    <w:rsid w:val="005A6AD8"/>
    <w:rsid w:val="005B2C9F"/>
    <w:rsid w:val="005B32CF"/>
    <w:rsid w:val="005B34C9"/>
    <w:rsid w:val="005B3C39"/>
    <w:rsid w:val="005B50FD"/>
    <w:rsid w:val="005B7D08"/>
    <w:rsid w:val="005C0FA7"/>
    <w:rsid w:val="005C1D52"/>
    <w:rsid w:val="005C1F10"/>
    <w:rsid w:val="005D0200"/>
    <w:rsid w:val="005D234B"/>
    <w:rsid w:val="005D2418"/>
    <w:rsid w:val="005D44EF"/>
    <w:rsid w:val="005D5112"/>
    <w:rsid w:val="005D5D67"/>
    <w:rsid w:val="005D6BBB"/>
    <w:rsid w:val="005E10BD"/>
    <w:rsid w:val="005F2088"/>
    <w:rsid w:val="005F34CC"/>
    <w:rsid w:val="005F3914"/>
    <w:rsid w:val="005F3B5A"/>
    <w:rsid w:val="005F6AB4"/>
    <w:rsid w:val="00600F6B"/>
    <w:rsid w:val="006034DE"/>
    <w:rsid w:val="00606184"/>
    <w:rsid w:val="00607471"/>
    <w:rsid w:val="00610874"/>
    <w:rsid w:val="00610A66"/>
    <w:rsid w:val="006119B8"/>
    <w:rsid w:val="00613177"/>
    <w:rsid w:val="00613F7C"/>
    <w:rsid w:val="00614BF2"/>
    <w:rsid w:val="00614F20"/>
    <w:rsid w:val="0061557C"/>
    <w:rsid w:val="0062326E"/>
    <w:rsid w:val="00623DE2"/>
    <w:rsid w:val="00625008"/>
    <w:rsid w:val="0062691F"/>
    <w:rsid w:val="00627601"/>
    <w:rsid w:val="006300D0"/>
    <w:rsid w:val="00632012"/>
    <w:rsid w:val="00632F28"/>
    <w:rsid w:val="00634694"/>
    <w:rsid w:val="00634D55"/>
    <w:rsid w:val="00636517"/>
    <w:rsid w:val="00636EE7"/>
    <w:rsid w:val="00637690"/>
    <w:rsid w:val="00637C02"/>
    <w:rsid w:val="00640E1E"/>
    <w:rsid w:val="00641BA3"/>
    <w:rsid w:val="0064389A"/>
    <w:rsid w:val="00645442"/>
    <w:rsid w:val="00646512"/>
    <w:rsid w:val="00650685"/>
    <w:rsid w:val="006525CD"/>
    <w:rsid w:val="00653F7F"/>
    <w:rsid w:val="006572DE"/>
    <w:rsid w:val="00657366"/>
    <w:rsid w:val="00662DCD"/>
    <w:rsid w:val="00662EE8"/>
    <w:rsid w:val="00663813"/>
    <w:rsid w:val="00663E30"/>
    <w:rsid w:val="00664AFD"/>
    <w:rsid w:val="00665F1D"/>
    <w:rsid w:val="00665FDF"/>
    <w:rsid w:val="006665DC"/>
    <w:rsid w:val="00667567"/>
    <w:rsid w:val="00670BD4"/>
    <w:rsid w:val="0067391A"/>
    <w:rsid w:val="00674173"/>
    <w:rsid w:val="0067534F"/>
    <w:rsid w:val="00675C65"/>
    <w:rsid w:val="00676A33"/>
    <w:rsid w:val="0067717E"/>
    <w:rsid w:val="00677D87"/>
    <w:rsid w:val="00690DB1"/>
    <w:rsid w:val="00693404"/>
    <w:rsid w:val="006953D9"/>
    <w:rsid w:val="006A1269"/>
    <w:rsid w:val="006A38C5"/>
    <w:rsid w:val="006A38D0"/>
    <w:rsid w:val="006A5803"/>
    <w:rsid w:val="006A65F3"/>
    <w:rsid w:val="006A69C3"/>
    <w:rsid w:val="006A7C15"/>
    <w:rsid w:val="006A7CF8"/>
    <w:rsid w:val="006B1242"/>
    <w:rsid w:val="006B1DBC"/>
    <w:rsid w:val="006B1F84"/>
    <w:rsid w:val="006B3712"/>
    <w:rsid w:val="006B7BC7"/>
    <w:rsid w:val="006B7D9A"/>
    <w:rsid w:val="006C06D9"/>
    <w:rsid w:val="006C3E22"/>
    <w:rsid w:val="006C5716"/>
    <w:rsid w:val="006C64B2"/>
    <w:rsid w:val="006C74A9"/>
    <w:rsid w:val="006D07DE"/>
    <w:rsid w:val="006D361A"/>
    <w:rsid w:val="006D41CD"/>
    <w:rsid w:val="006D5B6D"/>
    <w:rsid w:val="006D67D6"/>
    <w:rsid w:val="006D6A81"/>
    <w:rsid w:val="006D7213"/>
    <w:rsid w:val="006E06D9"/>
    <w:rsid w:val="006E17E5"/>
    <w:rsid w:val="006E1D40"/>
    <w:rsid w:val="006E2E1F"/>
    <w:rsid w:val="006E4DA7"/>
    <w:rsid w:val="006E5059"/>
    <w:rsid w:val="006E6810"/>
    <w:rsid w:val="006F33D8"/>
    <w:rsid w:val="006F4C5B"/>
    <w:rsid w:val="006F5749"/>
    <w:rsid w:val="006F5F03"/>
    <w:rsid w:val="006F5FFF"/>
    <w:rsid w:val="006F6592"/>
    <w:rsid w:val="006F7F4C"/>
    <w:rsid w:val="00701431"/>
    <w:rsid w:val="00702959"/>
    <w:rsid w:val="007051AA"/>
    <w:rsid w:val="00705DFD"/>
    <w:rsid w:val="00710804"/>
    <w:rsid w:val="00711398"/>
    <w:rsid w:val="00711CA8"/>
    <w:rsid w:val="00711FC6"/>
    <w:rsid w:val="00712952"/>
    <w:rsid w:val="007130B1"/>
    <w:rsid w:val="00713487"/>
    <w:rsid w:val="00715071"/>
    <w:rsid w:val="00715903"/>
    <w:rsid w:val="00715E88"/>
    <w:rsid w:val="007231E9"/>
    <w:rsid w:val="00723731"/>
    <w:rsid w:val="00724F0E"/>
    <w:rsid w:val="00725A3C"/>
    <w:rsid w:val="007270A6"/>
    <w:rsid w:val="00727C59"/>
    <w:rsid w:val="007328C6"/>
    <w:rsid w:val="00733730"/>
    <w:rsid w:val="00734E5D"/>
    <w:rsid w:val="0073507F"/>
    <w:rsid w:val="0073514E"/>
    <w:rsid w:val="00736013"/>
    <w:rsid w:val="00737BF8"/>
    <w:rsid w:val="0074339B"/>
    <w:rsid w:val="0074545D"/>
    <w:rsid w:val="007463F7"/>
    <w:rsid w:val="0074718C"/>
    <w:rsid w:val="00750B60"/>
    <w:rsid w:val="00750D27"/>
    <w:rsid w:val="00755E26"/>
    <w:rsid w:val="00756245"/>
    <w:rsid w:val="007568F0"/>
    <w:rsid w:val="00761662"/>
    <w:rsid w:val="00764043"/>
    <w:rsid w:val="00766A36"/>
    <w:rsid w:val="00771A72"/>
    <w:rsid w:val="00772A9A"/>
    <w:rsid w:val="007757CF"/>
    <w:rsid w:val="007769F6"/>
    <w:rsid w:val="00777103"/>
    <w:rsid w:val="00780F9D"/>
    <w:rsid w:val="0078128F"/>
    <w:rsid w:val="007819D9"/>
    <w:rsid w:val="007852E1"/>
    <w:rsid w:val="0078591D"/>
    <w:rsid w:val="0078642F"/>
    <w:rsid w:val="0078683C"/>
    <w:rsid w:val="00790EDB"/>
    <w:rsid w:val="00791538"/>
    <w:rsid w:val="00791DA9"/>
    <w:rsid w:val="0079326E"/>
    <w:rsid w:val="00794FCC"/>
    <w:rsid w:val="0079626F"/>
    <w:rsid w:val="00796E1C"/>
    <w:rsid w:val="00796EDE"/>
    <w:rsid w:val="00796F5F"/>
    <w:rsid w:val="007A1A6C"/>
    <w:rsid w:val="007A5A58"/>
    <w:rsid w:val="007B1C56"/>
    <w:rsid w:val="007B29AB"/>
    <w:rsid w:val="007B4036"/>
    <w:rsid w:val="007B4D44"/>
    <w:rsid w:val="007C1DD7"/>
    <w:rsid w:val="007C35D3"/>
    <w:rsid w:val="007C3CD5"/>
    <w:rsid w:val="007C4756"/>
    <w:rsid w:val="007C5E88"/>
    <w:rsid w:val="007C61EF"/>
    <w:rsid w:val="007C6218"/>
    <w:rsid w:val="007D03DE"/>
    <w:rsid w:val="007D1C0D"/>
    <w:rsid w:val="007D2D23"/>
    <w:rsid w:val="007D4A7E"/>
    <w:rsid w:val="007D746A"/>
    <w:rsid w:val="007D7CB7"/>
    <w:rsid w:val="007E27D6"/>
    <w:rsid w:val="007E2B06"/>
    <w:rsid w:val="007E36E5"/>
    <w:rsid w:val="007E3921"/>
    <w:rsid w:val="007E6E17"/>
    <w:rsid w:val="007E71F5"/>
    <w:rsid w:val="00801028"/>
    <w:rsid w:val="00801FD6"/>
    <w:rsid w:val="00803793"/>
    <w:rsid w:val="00804000"/>
    <w:rsid w:val="00805254"/>
    <w:rsid w:val="00805360"/>
    <w:rsid w:val="00806237"/>
    <w:rsid w:val="008101A2"/>
    <w:rsid w:val="008103A0"/>
    <w:rsid w:val="0081152E"/>
    <w:rsid w:val="00815F1F"/>
    <w:rsid w:val="00816343"/>
    <w:rsid w:val="00817A01"/>
    <w:rsid w:val="00820937"/>
    <w:rsid w:val="00825E35"/>
    <w:rsid w:val="00830A4E"/>
    <w:rsid w:val="0083234E"/>
    <w:rsid w:val="008334F8"/>
    <w:rsid w:val="00833BCB"/>
    <w:rsid w:val="00834249"/>
    <w:rsid w:val="00835FFD"/>
    <w:rsid w:val="00836FA9"/>
    <w:rsid w:val="008434CF"/>
    <w:rsid w:val="0084381F"/>
    <w:rsid w:val="00843E35"/>
    <w:rsid w:val="0084405B"/>
    <w:rsid w:val="00845F72"/>
    <w:rsid w:val="0084666D"/>
    <w:rsid w:val="0084791E"/>
    <w:rsid w:val="0085041B"/>
    <w:rsid w:val="00850A91"/>
    <w:rsid w:val="008524CE"/>
    <w:rsid w:val="008552EB"/>
    <w:rsid w:val="00857633"/>
    <w:rsid w:val="00861205"/>
    <w:rsid w:val="00863219"/>
    <w:rsid w:val="00863FC4"/>
    <w:rsid w:val="0086440C"/>
    <w:rsid w:val="008674ED"/>
    <w:rsid w:val="00872125"/>
    <w:rsid w:val="00874EE6"/>
    <w:rsid w:val="00876659"/>
    <w:rsid w:val="0087734C"/>
    <w:rsid w:val="00882141"/>
    <w:rsid w:val="00884DC6"/>
    <w:rsid w:val="00886BD4"/>
    <w:rsid w:val="00886CA2"/>
    <w:rsid w:val="008876EC"/>
    <w:rsid w:val="00887844"/>
    <w:rsid w:val="008922A8"/>
    <w:rsid w:val="00892949"/>
    <w:rsid w:val="00895BD5"/>
    <w:rsid w:val="0089647C"/>
    <w:rsid w:val="00896F93"/>
    <w:rsid w:val="008A0860"/>
    <w:rsid w:val="008A16C4"/>
    <w:rsid w:val="008A4A27"/>
    <w:rsid w:val="008A649F"/>
    <w:rsid w:val="008A6FED"/>
    <w:rsid w:val="008B0945"/>
    <w:rsid w:val="008B108C"/>
    <w:rsid w:val="008B2A8F"/>
    <w:rsid w:val="008B39C5"/>
    <w:rsid w:val="008B3E4D"/>
    <w:rsid w:val="008B51AA"/>
    <w:rsid w:val="008B5614"/>
    <w:rsid w:val="008C03A1"/>
    <w:rsid w:val="008C67F2"/>
    <w:rsid w:val="008C7E63"/>
    <w:rsid w:val="008D064A"/>
    <w:rsid w:val="008D2537"/>
    <w:rsid w:val="008D2B0F"/>
    <w:rsid w:val="008D5212"/>
    <w:rsid w:val="008D5B02"/>
    <w:rsid w:val="008D633C"/>
    <w:rsid w:val="008D76DA"/>
    <w:rsid w:val="008D7DB2"/>
    <w:rsid w:val="008D7E83"/>
    <w:rsid w:val="008E2078"/>
    <w:rsid w:val="008E449E"/>
    <w:rsid w:val="008E4BDD"/>
    <w:rsid w:val="008E770C"/>
    <w:rsid w:val="008F00F4"/>
    <w:rsid w:val="008F187F"/>
    <w:rsid w:val="008F402F"/>
    <w:rsid w:val="008F76E8"/>
    <w:rsid w:val="009037A1"/>
    <w:rsid w:val="00904508"/>
    <w:rsid w:val="009078A1"/>
    <w:rsid w:val="00911E9C"/>
    <w:rsid w:val="0091299E"/>
    <w:rsid w:val="00915E91"/>
    <w:rsid w:val="00917405"/>
    <w:rsid w:val="0092057E"/>
    <w:rsid w:val="00920F7C"/>
    <w:rsid w:val="00922718"/>
    <w:rsid w:val="00924743"/>
    <w:rsid w:val="00932A87"/>
    <w:rsid w:val="00934CAE"/>
    <w:rsid w:val="0093560E"/>
    <w:rsid w:val="00936244"/>
    <w:rsid w:val="00936EA2"/>
    <w:rsid w:val="00936F36"/>
    <w:rsid w:val="009406E3"/>
    <w:rsid w:val="0094257D"/>
    <w:rsid w:val="00943817"/>
    <w:rsid w:val="009442BE"/>
    <w:rsid w:val="009443B6"/>
    <w:rsid w:val="00946F68"/>
    <w:rsid w:val="00952F36"/>
    <w:rsid w:val="00953421"/>
    <w:rsid w:val="0095467C"/>
    <w:rsid w:val="00954A61"/>
    <w:rsid w:val="00955027"/>
    <w:rsid w:val="00955C6F"/>
    <w:rsid w:val="00961623"/>
    <w:rsid w:val="00966526"/>
    <w:rsid w:val="00966C7B"/>
    <w:rsid w:val="009676E7"/>
    <w:rsid w:val="009679A2"/>
    <w:rsid w:val="009701DC"/>
    <w:rsid w:val="009715D8"/>
    <w:rsid w:val="00971D78"/>
    <w:rsid w:val="0097297B"/>
    <w:rsid w:val="009732D5"/>
    <w:rsid w:val="00977B3D"/>
    <w:rsid w:val="009811A8"/>
    <w:rsid w:val="009847BC"/>
    <w:rsid w:val="00985C4F"/>
    <w:rsid w:val="00986E3C"/>
    <w:rsid w:val="00986F86"/>
    <w:rsid w:val="00990479"/>
    <w:rsid w:val="00991460"/>
    <w:rsid w:val="009932CF"/>
    <w:rsid w:val="009941BF"/>
    <w:rsid w:val="00995BF9"/>
    <w:rsid w:val="009975CC"/>
    <w:rsid w:val="009A0CAF"/>
    <w:rsid w:val="009A2207"/>
    <w:rsid w:val="009A3199"/>
    <w:rsid w:val="009A3A0D"/>
    <w:rsid w:val="009A5E4C"/>
    <w:rsid w:val="009B0AC1"/>
    <w:rsid w:val="009B0EDA"/>
    <w:rsid w:val="009B1561"/>
    <w:rsid w:val="009B6A37"/>
    <w:rsid w:val="009B6C42"/>
    <w:rsid w:val="009C3F38"/>
    <w:rsid w:val="009D2998"/>
    <w:rsid w:val="009D31F7"/>
    <w:rsid w:val="009D32C2"/>
    <w:rsid w:val="009D50DB"/>
    <w:rsid w:val="009D7D17"/>
    <w:rsid w:val="009E2932"/>
    <w:rsid w:val="009E2D44"/>
    <w:rsid w:val="009E2DFA"/>
    <w:rsid w:val="009E3A0A"/>
    <w:rsid w:val="009E7BCF"/>
    <w:rsid w:val="009F1936"/>
    <w:rsid w:val="009F3E91"/>
    <w:rsid w:val="009F4E0E"/>
    <w:rsid w:val="009F676F"/>
    <w:rsid w:val="009F7F75"/>
    <w:rsid w:val="00A008DA"/>
    <w:rsid w:val="00A00C93"/>
    <w:rsid w:val="00A04B56"/>
    <w:rsid w:val="00A0571E"/>
    <w:rsid w:val="00A1397D"/>
    <w:rsid w:val="00A13A27"/>
    <w:rsid w:val="00A148CC"/>
    <w:rsid w:val="00A1499B"/>
    <w:rsid w:val="00A16512"/>
    <w:rsid w:val="00A170D8"/>
    <w:rsid w:val="00A20E9D"/>
    <w:rsid w:val="00A26BC5"/>
    <w:rsid w:val="00A26FC5"/>
    <w:rsid w:val="00A27D73"/>
    <w:rsid w:val="00A30A1B"/>
    <w:rsid w:val="00A314C2"/>
    <w:rsid w:val="00A34A48"/>
    <w:rsid w:val="00A40B71"/>
    <w:rsid w:val="00A42E2A"/>
    <w:rsid w:val="00A501BF"/>
    <w:rsid w:val="00A519A0"/>
    <w:rsid w:val="00A52A65"/>
    <w:rsid w:val="00A5755A"/>
    <w:rsid w:val="00A57A18"/>
    <w:rsid w:val="00A60FF1"/>
    <w:rsid w:val="00A6249F"/>
    <w:rsid w:val="00A62A2E"/>
    <w:rsid w:val="00A62A4B"/>
    <w:rsid w:val="00A63E86"/>
    <w:rsid w:val="00A63EA4"/>
    <w:rsid w:val="00A641FB"/>
    <w:rsid w:val="00A7403F"/>
    <w:rsid w:val="00A75185"/>
    <w:rsid w:val="00A754A0"/>
    <w:rsid w:val="00A756F8"/>
    <w:rsid w:val="00A757C3"/>
    <w:rsid w:val="00A75E5B"/>
    <w:rsid w:val="00A75F4B"/>
    <w:rsid w:val="00A7684A"/>
    <w:rsid w:val="00A80C58"/>
    <w:rsid w:val="00A83894"/>
    <w:rsid w:val="00A83B69"/>
    <w:rsid w:val="00A86533"/>
    <w:rsid w:val="00A91CA2"/>
    <w:rsid w:val="00A9220A"/>
    <w:rsid w:val="00A92453"/>
    <w:rsid w:val="00A92FB8"/>
    <w:rsid w:val="00A948F1"/>
    <w:rsid w:val="00A9767A"/>
    <w:rsid w:val="00AA0BE3"/>
    <w:rsid w:val="00AA18F9"/>
    <w:rsid w:val="00AA1D7D"/>
    <w:rsid w:val="00AA2790"/>
    <w:rsid w:val="00AA2AF1"/>
    <w:rsid w:val="00AA3806"/>
    <w:rsid w:val="00AB139D"/>
    <w:rsid w:val="00AB2A35"/>
    <w:rsid w:val="00AB2D05"/>
    <w:rsid w:val="00AB348D"/>
    <w:rsid w:val="00AB3B17"/>
    <w:rsid w:val="00AB3EFB"/>
    <w:rsid w:val="00AB60A1"/>
    <w:rsid w:val="00AC0B05"/>
    <w:rsid w:val="00AC1962"/>
    <w:rsid w:val="00AC5C03"/>
    <w:rsid w:val="00AC5E4F"/>
    <w:rsid w:val="00AC7AD9"/>
    <w:rsid w:val="00AC7F9D"/>
    <w:rsid w:val="00AD079A"/>
    <w:rsid w:val="00AD1890"/>
    <w:rsid w:val="00AD6588"/>
    <w:rsid w:val="00AD7CCB"/>
    <w:rsid w:val="00AE16CE"/>
    <w:rsid w:val="00AE1F9E"/>
    <w:rsid w:val="00AE2149"/>
    <w:rsid w:val="00AE2BF3"/>
    <w:rsid w:val="00AE33AE"/>
    <w:rsid w:val="00AE3F91"/>
    <w:rsid w:val="00AF30B1"/>
    <w:rsid w:val="00AF5B63"/>
    <w:rsid w:val="00B0053D"/>
    <w:rsid w:val="00B039E3"/>
    <w:rsid w:val="00B06D36"/>
    <w:rsid w:val="00B12BC4"/>
    <w:rsid w:val="00B13235"/>
    <w:rsid w:val="00B137B9"/>
    <w:rsid w:val="00B139FF"/>
    <w:rsid w:val="00B15AC1"/>
    <w:rsid w:val="00B2043C"/>
    <w:rsid w:val="00B22838"/>
    <w:rsid w:val="00B22EE6"/>
    <w:rsid w:val="00B2401A"/>
    <w:rsid w:val="00B33E8F"/>
    <w:rsid w:val="00B33E95"/>
    <w:rsid w:val="00B3556F"/>
    <w:rsid w:val="00B3720B"/>
    <w:rsid w:val="00B372DF"/>
    <w:rsid w:val="00B40933"/>
    <w:rsid w:val="00B420C8"/>
    <w:rsid w:val="00B45D0B"/>
    <w:rsid w:val="00B460EA"/>
    <w:rsid w:val="00B4635B"/>
    <w:rsid w:val="00B47BD1"/>
    <w:rsid w:val="00B54A22"/>
    <w:rsid w:val="00B5558A"/>
    <w:rsid w:val="00B56513"/>
    <w:rsid w:val="00B5736B"/>
    <w:rsid w:val="00B576F1"/>
    <w:rsid w:val="00B6167E"/>
    <w:rsid w:val="00B61B64"/>
    <w:rsid w:val="00B61F34"/>
    <w:rsid w:val="00B64376"/>
    <w:rsid w:val="00B64489"/>
    <w:rsid w:val="00B649E7"/>
    <w:rsid w:val="00B6570C"/>
    <w:rsid w:val="00B731B3"/>
    <w:rsid w:val="00B7401F"/>
    <w:rsid w:val="00B748E5"/>
    <w:rsid w:val="00B769CF"/>
    <w:rsid w:val="00B806C3"/>
    <w:rsid w:val="00B80D6F"/>
    <w:rsid w:val="00B84FCA"/>
    <w:rsid w:val="00B855D2"/>
    <w:rsid w:val="00B863D0"/>
    <w:rsid w:val="00B9089F"/>
    <w:rsid w:val="00B91826"/>
    <w:rsid w:val="00B91AEE"/>
    <w:rsid w:val="00B93568"/>
    <w:rsid w:val="00B95C9A"/>
    <w:rsid w:val="00B95F5A"/>
    <w:rsid w:val="00B96EAD"/>
    <w:rsid w:val="00B979D2"/>
    <w:rsid w:val="00BA4B7C"/>
    <w:rsid w:val="00BA79F5"/>
    <w:rsid w:val="00BA7EA7"/>
    <w:rsid w:val="00BB30DD"/>
    <w:rsid w:val="00BB3AB6"/>
    <w:rsid w:val="00BB766D"/>
    <w:rsid w:val="00BB7A8D"/>
    <w:rsid w:val="00BB7BF8"/>
    <w:rsid w:val="00BC007B"/>
    <w:rsid w:val="00BC26BA"/>
    <w:rsid w:val="00BC3328"/>
    <w:rsid w:val="00BC35F8"/>
    <w:rsid w:val="00BC403F"/>
    <w:rsid w:val="00BC481B"/>
    <w:rsid w:val="00BC6EAF"/>
    <w:rsid w:val="00BD08DF"/>
    <w:rsid w:val="00BD2D29"/>
    <w:rsid w:val="00BD5E36"/>
    <w:rsid w:val="00BD617C"/>
    <w:rsid w:val="00BE5974"/>
    <w:rsid w:val="00BE632B"/>
    <w:rsid w:val="00BE746B"/>
    <w:rsid w:val="00BE782C"/>
    <w:rsid w:val="00BF17B4"/>
    <w:rsid w:val="00BF186E"/>
    <w:rsid w:val="00BF3588"/>
    <w:rsid w:val="00BF376F"/>
    <w:rsid w:val="00BF426A"/>
    <w:rsid w:val="00BF46A6"/>
    <w:rsid w:val="00BF5352"/>
    <w:rsid w:val="00BF572F"/>
    <w:rsid w:val="00BF6517"/>
    <w:rsid w:val="00BF6CAD"/>
    <w:rsid w:val="00BF71FB"/>
    <w:rsid w:val="00C00AC1"/>
    <w:rsid w:val="00C01254"/>
    <w:rsid w:val="00C03543"/>
    <w:rsid w:val="00C04DBF"/>
    <w:rsid w:val="00C05737"/>
    <w:rsid w:val="00C05C07"/>
    <w:rsid w:val="00C05E4C"/>
    <w:rsid w:val="00C06545"/>
    <w:rsid w:val="00C11D8C"/>
    <w:rsid w:val="00C134AF"/>
    <w:rsid w:val="00C14FCF"/>
    <w:rsid w:val="00C15D7C"/>
    <w:rsid w:val="00C160C7"/>
    <w:rsid w:val="00C220FC"/>
    <w:rsid w:val="00C23B07"/>
    <w:rsid w:val="00C24DFA"/>
    <w:rsid w:val="00C24F9D"/>
    <w:rsid w:val="00C2521C"/>
    <w:rsid w:val="00C30067"/>
    <w:rsid w:val="00C30182"/>
    <w:rsid w:val="00C30B71"/>
    <w:rsid w:val="00C31FC9"/>
    <w:rsid w:val="00C37A63"/>
    <w:rsid w:val="00C40D16"/>
    <w:rsid w:val="00C42248"/>
    <w:rsid w:val="00C44682"/>
    <w:rsid w:val="00C44E12"/>
    <w:rsid w:val="00C46A36"/>
    <w:rsid w:val="00C47037"/>
    <w:rsid w:val="00C509E3"/>
    <w:rsid w:val="00C50EFF"/>
    <w:rsid w:val="00C5241B"/>
    <w:rsid w:val="00C53625"/>
    <w:rsid w:val="00C548BA"/>
    <w:rsid w:val="00C5679D"/>
    <w:rsid w:val="00C57731"/>
    <w:rsid w:val="00C57784"/>
    <w:rsid w:val="00C57F87"/>
    <w:rsid w:val="00C602C1"/>
    <w:rsid w:val="00C63FC0"/>
    <w:rsid w:val="00C66392"/>
    <w:rsid w:val="00C71B9E"/>
    <w:rsid w:val="00C7304F"/>
    <w:rsid w:val="00C73D09"/>
    <w:rsid w:val="00C74C5E"/>
    <w:rsid w:val="00C768B0"/>
    <w:rsid w:val="00C82558"/>
    <w:rsid w:val="00C827A2"/>
    <w:rsid w:val="00C82965"/>
    <w:rsid w:val="00C82B69"/>
    <w:rsid w:val="00C82C8E"/>
    <w:rsid w:val="00C82CB3"/>
    <w:rsid w:val="00C86C9B"/>
    <w:rsid w:val="00C91B28"/>
    <w:rsid w:val="00C91F3A"/>
    <w:rsid w:val="00C92E1A"/>
    <w:rsid w:val="00C93590"/>
    <w:rsid w:val="00C93B1F"/>
    <w:rsid w:val="00C97315"/>
    <w:rsid w:val="00CA467D"/>
    <w:rsid w:val="00CA4C7F"/>
    <w:rsid w:val="00CA5446"/>
    <w:rsid w:val="00CB14E5"/>
    <w:rsid w:val="00CB218D"/>
    <w:rsid w:val="00CB377B"/>
    <w:rsid w:val="00CB3C62"/>
    <w:rsid w:val="00CB5625"/>
    <w:rsid w:val="00CB5797"/>
    <w:rsid w:val="00CB64C3"/>
    <w:rsid w:val="00CC1400"/>
    <w:rsid w:val="00CC1C17"/>
    <w:rsid w:val="00CC4F7F"/>
    <w:rsid w:val="00CD09E1"/>
    <w:rsid w:val="00CD1673"/>
    <w:rsid w:val="00CD25FD"/>
    <w:rsid w:val="00CD7304"/>
    <w:rsid w:val="00CE1780"/>
    <w:rsid w:val="00CE32B0"/>
    <w:rsid w:val="00CE4913"/>
    <w:rsid w:val="00CE66BD"/>
    <w:rsid w:val="00CF0671"/>
    <w:rsid w:val="00CF0B17"/>
    <w:rsid w:val="00CF247A"/>
    <w:rsid w:val="00CF44AD"/>
    <w:rsid w:val="00CF4D7C"/>
    <w:rsid w:val="00CF4FC0"/>
    <w:rsid w:val="00CF7486"/>
    <w:rsid w:val="00D07203"/>
    <w:rsid w:val="00D1072F"/>
    <w:rsid w:val="00D108A5"/>
    <w:rsid w:val="00D11559"/>
    <w:rsid w:val="00D14585"/>
    <w:rsid w:val="00D14F29"/>
    <w:rsid w:val="00D153C8"/>
    <w:rsid w:val="00D169F2"/>
    <w:rsid w:val="00D20EFF"/>
    <w:rsid w:val="00D21B3C"/>
    <w:rsid w:val="00D23167"/>
    <w:rsid w:val="00D236BB"/>
    <w:rsid w:val="00D26845"/>
    <w:rsid w:val="00D3019D"/>
    <w:rsid w:val="00D31324"/>
    <w:rsid w:val="00D34C2C"/>
    <w:rsid w:val="00D4221B"/>
    <w:rsid w:val="00D4386E"/>
    <w:rsid w:val="00D43DE5"/>
    <w:rsid w:val="00D51432"/>
    <w:rsid w:val="00D53ED8"/>
    <w:rsid w:val="00D541A0"/>
    <w:rsid w:val="00D56704"/>
    <w:rsid w:val="00D5697F"/>
    <w:rsid w:val="00D62AEA"/>
    <w:rsid w:val="00D63DED"/>
    <w:rsid w:val="00D6426D"/>
    <w:rsid w:val="00D6465A"/>
    <w:rsid w:val="00D64857"/>
    <w:rsid w:val="00D6493A"/>
    <w:rsid w:val="00D649A5"/>
    <w:rsid w:val="00D660EA"/>
    <w:rsid w:val="00D66833"/>
    <w:rsid w:val="00D67875"/>
    <w:rsid w:val="00D71E86"/>
    <w:rsid w:val="00D72F0F"/>
    <w:rsid w:val="00D73159"/>
    <w:rsid w:val="00D731C6"/>
    <w:rsid w:val="00D745C5"/>
    <w:rsid w:val="00D74BE6"/>
    <w:rsid w:val="00D75327"/>
    <w:rsid w:val="00D779D5"/>
    <w:rsid w:val="00D77D6B"/>
    <w:rsid w:val="00D801FE"/>
    <w:rsid w:val="00D80C36"/>
    <w:rsid w:val="00D81A32"/>
    <w:rsid w:val="00D84263"/>
    <w:rsid w:val="00D86EE1"/>
    <w:rsid w:val="00D945DC"/>
    <w:rsid w:val="00D95E90"/>
    <w:rsid w:val="00D96126"/>
    <w:rsid w:val="00DA2FD5"/>
    <w:rsid w:val="00DA3A2C"/>
    <w:rsid w:val="00DA4050"/>
    <w:rsid w:val="00DA66CD"/>
    <w:rsid w:val="00DB0C86"/>
    <w:rsid w:val="00DB4B1C"/>
    <w:rsid w:val="00DB5085"/>
    <w:rsid w:val="00DB5D49"/>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2061"/>
    <w:rsid w:val="00DE352F"/>
    <w:rsid w:val="00DE3C3E"/>
    <w:rsid w:val="00DE4A3F"/>
    <w:rsid w:val="00DE5A99"/>
    <w:rsid w:val="00DF1FA0"/>
    <w:rsid w:val="00DF4367"/>
    <w:rsid w:val="00DF7291"/>
    <w:rsid w:val="00E010AF"/>
    <w:rsid w:val="00E03FF0"/>
    <w:rsid w:val="00E0574A"/>
    <w:rsid w:val="00E07C32"/>
    <w:rsid w:val="00E1243D"/>
    <w:rsid w:val="00E12742"/>
    <w:rsid w:val="00E13165"/>
    <w:rsid w:val="00E146D4"/>
    <w:rsid w:val="00E14815"/>
    <w:rsid w:val="00E21D37"/>
    <w:rsid w:val="00E220ED"/>
    <w:rsid w:val="00E22B44"/>
    <w:rsid w:val="00E233AD"/>
    <w:rsid w:val="00E2636D"/>
    <w:rsid w:val="00E26EB1"/>
    <w:rsid w:val="00E3091C"/>
    <w:rsid w:val="00E30ACD"/>
    <w:rsid w:val="00E31656"/>
    <w:rsid w:val="00E32735"/>
    <w:rsid w:val="00E34236"/>
    <w:rsid w:val="00E435C3"/>
    <w:rsid w:val="00E44B88"/>
    <w:rsid w:val="00E50BFA"/>
    <w:rsid w:val="00E66E36"/>
    <w:rsid w:val="00E702ED"/>
    <w:rsid w:val="00E709A4"/>
    <w:rsid w:val="00E71D4A"/>
    <w:rsid w:val="00E73662"/>
    <w:rsid w:val="00E74932"/>
    <w:rsid w:val="00E75917"/>
    <w:rsid w:val="00E772DB"/>
    <w:rsid w:val="00E86012"/>
    <w:rsid w:val="00E860CA"/>
    <w:rsid w:val="00E86BAB"/>
    <w:rsid w:val="00E92962"/>
    <w:rsid w:val="00E94E10"/>
    <w:rsid w:val="00E94FB5"/>
    <w:rsid w:val="00E96743"/>
    <w:rsid w:val="00E96A42"/>
    <w:rsid w:val="00E97497"/>
    <w:rsid w:val="00EA046F"/>
    <w:rsid w:val="00EA2EF1"/>
    <w:rsid w:val="00EA3EC1"/>
    <w:rsid w:val="00EA49C5"/>
    <w:rsid w:val="00EA6279"/>
    <w:rsid w:val="00EA6454"/>
    <w:rsid w:val="00EA73D8"/>
    <w:rsid w:val="00EB212A"/>
    <w:rsid w:val="00EB2F26"/>
    <w:rsid w:val="00EB402C"/>
    <w:rsid w:val="00EB404D"/>
    <w:rsid w:val="00EB5027"/>
    <w:rsid w:val="00EB588B"/>
    <w:rsid w:val="00EB6955"/>
    <w:rsid w:val="00EB7D0C"/>
    <w:rsid w:val="00EC1836"/>
    <w:rsid w:val="00EC3990"/>
    <w:rsid w:val="00EC484B"/>
    <w:rsid w:val="00EC4E25"/>
    <w:rsid w:val="00EC736E"/>
    <w:rsid w:val="00EC7E58"/>
    <w:rsid w:val="00ED15FA"/>
    <w:rsid w:val="00ED49BA"/>
    <w:rsid w:val="00ED5C9F"/>
    <w:rsid w:val="00EE050C"/>
    <w:rsid w:val="00EE2113"/>
    <w:rsid w:val="00EE5730"/>
    <w:rsid w:val="00EE6E9A"/>
    <w:rsid w:val="00EE7F82"/>
    <w:rsid w:val="00EF24F0"/>
    <w:rsid w:val="00EF2AC4"/>
    <w:rsid w:val="00EF397E"/>
    <w:rsid w:val="00F00766"/>
    <w:rsid w:val="00F0340C"/>
    <w:rsid w:val="00F04CED"/>
    <w:rsid w:val="00F06F68"/>
    <w:rsid w:val="00F11241"/>
    <w:rsid w:val="00F11D35"/>
    <w:rsid w:val="00F15E9D"/>
    <w:rsid w:val="00F16683"/>
    <w:rsid w:val="00F23FA7"/>
    <w:rsid w:val="00F24C2D"/>
    <w:rsid w:val="00F272C4"/>
    <w:rsid w:val="00F27D59"/>
    <w:rsid w:val="00F316E1"/>
    <w:rsid w:val="00F317D8"/>
    <w:rsid w:val="00F32155"/>
    <w:rsid w:val="00F32A81"/>
    <w:rsid w:val="00F40C82"/>
    <w:rsid w:val="00F41871"/>
    <w:rsid w:val="00F4197F"/>
    <w:rsid w:val="00F438EE"/>
    <w:rsid w:val="00F44958"/>
    <w:rsid w:val="00F44F2A"/>
    <w:rsid w:val="00F45367"/>
    <w:rsid w:val="00F46998"/>
    <w:rsid w:val="00F5093F"/>
    <w:rsid w:val="00F5382D"/>
    <w:rsid w:val="00F53D9C"/>
    <w:rsid w:val="00F5447A"/>
    <w:rsid w:val="00F5462B"/>
    <w:rsid w:val="00F54653"/>
    <w:rsid w:val="00F569DE"/>
    <w:rsid w:val="00F57205"/>
    <w:rsid w:val="00F634AD"/>
    <w:rsid w:val="00F63677"/>
    <w:rsid w:val="00F64684"/>
    <w:rsid w:val="00F6550D"/>
    <w:rsid w:val="00F659DA"/>
    <w:rsid w:val="00F65D44"/>
    <w:rsid w:val="00F671CE"/>
    <w:rsid w:val="00F674DA"/>
    <w:rsid w:val="00F70658"/>
    <w:rsid w:val="00F7144F"/>
    <w:rsid w:val="00F71CFC"/>
    <w:rsid w:val="00F7341E"/>
    <w:rsid w:val="00F74B50"/>
    <w:rsid w:val="00F75B81"/>
    <w:rsid w:val="00F761CA"/>
    <w:rsid w:val="00F804C4"/>
    <w:rsid w:val="00F80C7E"/>
    <w:rsid w:val="00F82A85"/>
    <w:rsid w:val="00F82F83"/>
    <w:rsid w:val="00F86217"/>
    <w:rsid w:val="00F877DE"/>
    <w:rsid w:val="00F90C64"/>
    <w:rsid w:val="00F9210C"/>
    <w:rsid w:val="00F9217B"/>
    <w:rsid w:val="00F92B30"/>
    <w:rsid w:val="00F933B9"/>
    <w:rsid w:val="00F94674"/>
    <w:rsid w:val="00F94919"/>
    <w:rsid w:val="00F94A59"/>
    <w:rsid w:val="00FA25B6"/>
    <w:rsid w:val="00FA2B8B"/>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0A3D"/>
    <w:rsid w:val="00FD50FC"/>
    <w:rsid w:val="00FD5613"/>
    <w:rsid w:val="00FD7A18"/>
    <w:rsid w:val="00FE0E97"/>
    <w:rsid w:val="00FE1627"/>
    <w:rsid w:val="00FE2D4E"/>
    <w:rsid w:val="00FF092F"/>
    <w:rsid w:val="00FF0A38"/>
    <w:rsid w:val="00FF0DA7"/>
    <w:rsid w:val="00FF2DF6"/>
    <w:rsid w:val="00FF44E0"/>
    <w:rsid w:val="00FF5617"/>
    <w:rsid w:val="00FF6C72"/>
    <w:rsid w:val="00FF7311"/>
    <w:rsid w:val="01015F7A"/>
    <w:rsid w:val="01127137"/>
    <w:rsid w:val="012A1251"/>
    <w:rsid w:val="014976E6"/>
    <w:rsid w:val="015302CD"/>
    <w:rsid w:val="01545A05"/>
    <w:rsid w:val="01586CAE"/>
    <w:rsid w:val="01614E24"/>
    <w:rsid w:val="016806BD"/>
    <w:rsid w:val="01777BF4"/>
    <w:rsid w:val="0187402D"/>
    <w:rsid w:val="01B7102D"/>
    <w:rsid w:val="01CE57B8"/>
    <w:rsid w:val="020C4532"/>
    <w:rsid w:val="021653B1"/>
    <w:rsid w:val="021F4C82"/>
    <w:rsid w:val="02242480"/>
    <w:rsid w:val="023263C4"/>
    <w:rsid w:val="02685C0C"/>
    <w:rsid w:val="027F71D6"/>
    <w:rsid w:val="02A816E8"/>
    <w:rsid w:val="02C30CDE"/>
    <w:rsid w:val="030B62A1"/>
    <w:rsid w:val="031B2C7F"/>
    <w:rsid w:val="031C2553"/>
    <w:rsid w:val="032205B8"/>
    <w:rsid w:val="032F04D8"/>
    <w:rsid w:val="0337738D"/>
    <w:rsid w:val="035E4919"/>
    <w:rsid w:val="03662B3F"/>
    <w:rsid w:val="036D12B2"/>
    <w:rsid w:val="03977E2B"/>
    <w:rsid w:val="03B51673"/>
    <w:rsid w:val="03C15358"/>
    <w:rsid w:val="03D869D2"/>
    <w:rsid w:val="03E21CD5"/>
    <w:rsid w:val="04054CCC"/>
    <w:rsid w:val="04073FBB"/>
    <w:rsid w:val="041A2F36"/>
    <w:rsid w:val="04336711"/>
    <w:rsid w:val="043D0754"/>
    <w:rsid w:val="0475016D"/>
    <w:rsid w:val="047714C2"/>
    <w:rsid w:val="048D2EB5"/>
    <w:rsid w:val="04957798"/>
    <w:rsid w:val="04BC3FEE"/>
    <w:rsid w:val="04E60241"/>
    <w:rsid w:val="04E92909"/>
    <w:rsid w:val="04F956E1"/>
    <w:rsid w:val="05031C1C"/>
    <w:rsid w:val="05092444"/>
    <w:rsid w:val="050A3155"/>
    <w:rsid w:val="05196CD1"/>
    <w:rsid w:val="055F0B42"/>
    <w:rsid w:val="056C3663"/>
    <w:rsid w:val="0580501B"/>
    <w:rsid w:val="059B1E55"/>
    <w:rsid w:val="059D0E2D"/>
    <w:rsid w:val="059E4898"/>
    <w:rsid w:val="05AF5900"/>
    <w:rsid w:val="05AF67D0"/>
    <w:rsid w:val="05B9052D"/>
    <w:rsid w:val="05C05314"/>
    <w:rsid w:val="05CD39D7"/>
    <w:rsid w:val="05EC34F6"/>
    <w:rsid w:val="05F92040"/>
    <w:rsid w:val="060528C8"/>
    <w:rsid w:val="061B11E8"/>
    <w:rsid w:val="061D52A4"/>
    <w:rsid w:val="062C51A3"/>
    <w:rsid w:val="06333FE5"/>
    <w:rsid w:val="0639166E"/>
    <w:rsid w:val="06523F87"/>
    <w:rsid w:val="065B15E4"/>
    <w:rsid w:val="06677A1E"/>
    <w:rsid w:val="06783F44"/>
    <w:rsid w:val="06823015"/>
    <w:rsid w:val="068E0BC9"/>
    <w:rsid w:val="06B86E19"/>
    <w:rsid w:val="06BC3117"/>
    <w:rsid w:val="06CA005C"/>
    <w:rsid w:val="06CC2198"/>
    <w:rsid w:val="06E67100"/>
    <w:rsid w:val="06E77FBE"/>
    <w:rsid w:val="071B3F0A"/>
    <w:rsid w:val="073C31C4"/>
    <w:rsid w:val="074E7B40"/>
    <w:rsid w:val="077C1812"/>
    <w:rsid w:val="078A2181"/>
    <w:rsid w:val="079511E1"/>
    <w:rsid w:val="07966D78"/>
    <w:rsid w:val="07A174CB"/>
    <w:rsid w:val="07D822F4"/>
    <w:rsid w:val="07EA0E72"/>
    <w:rsid w:val="07EF5EDE"/>
    <w:rsid w:val="0808754A"/>
    <w:rsid w:val="082020F7"/>
    <w:rsid w:val="08337E2C"/>
    <w:rsid w:val="08636A5A"/>
    <w:rsid w:val="086A0E2C"/>
    <w:rsid w:val="08791229"/>
    <w:rsid w:val="088F1A65"/>
    <w:rsid w:val="08946CD7"/>
    <w:rsid w:val="08A43C6F"/>
    <w:rsid w:val="08A46BE7"/>
    <w:rsid w:val="08BB1E7B"/>
    <w:rsid w:val="08DA0EE6"/>
    <w:rsid w:val="08DB07BA"/>
    <w:rsid w:val="08F655F4"/>
    <w:rsid w:val="093A0988"/>
    <w:rsid w:val="09421669"/>
    <w:rsid w:val="0946657C"/>
    <w:rsid w:val="095B2106"/>
    <w:rsid w:val="09A0519F"/>
    <w:rsid w:val="09A409C4"/>
    <w:rsid w:val="09A52083"/>
    <w:rsid w:val="09B44E30"/>
    <w:rsid w:val="09CF5E40"/>
    <w:rsid w:val="09E33DCA"/>
    <w:rsid w:val="09E663FF"/>
    <w:rsid w:val="09F9539C"/>
    <w:rsid w:val="0A1A6666"/>
    <w:rsid w:val="0A365FB3"/>
    <w:rsid w:val="0A56459C"/>
    <w:rsid w:val="0A77544C"/>
    <w:rsid w:val="0AA65F45"/>
    <w:rsid w:val="0AC32089"/>
    <w:rsid w:val="0AC86268"/>
    <w:rsid w:val="0AD656DD"/>
    <w:rsid w:val="0AD825C4"/>
    <w:rsid w:val="0AFA5870"/>
    <w:rsid w:val="0AFE2088"/>
    <w:rsid w:val="0B061FC1"/>
    <w:rsid w:val="0B146AB7"/>
    <w:rsid w:val="0B163D2C"/>
    <w:rsid w:val="0B291CB1"/>
    <w:rsid w:val="0B3644E0"/>
    <w:rsid w:val="0B621FD4"/>
    <w:rsid w:val="0B6649C4"/>
    <w:rsid w:val="0B6E3B68"/>
    <w:rsid w:val="0B93537C"/>
    <w:rsid w:val="0BB46DF7"/>
    <w:rsid w:val="0BC528CF"/>
    <w:rsid w:val="0BE81B6C"/>
    <w:rsid w:val="0BEB5842"/>
    <w:rsid w:val="0C017795"/>
    <w:rsid w:val="0C1069CD"/>
    <w:rsid w:val="0C3D1EB8"/>
    <w:rsid w:val="0C3F23A5"/>
    <w:rsid w:val="0C4843B9"/>
    <w:rsid w:val="0C6709D0"/>
    <w:rsid w:val="0C676F35"/>
    <w:rsid w:val="0C6B6317"/>
    <w:rsid w:val="0C880C59"/>
    <w:rsid w:val="0C973305"/>
    <w:rsid w:val="0CAC4948"/>
    <w:rsid w:val="0CCA1C47"/>
    <w:rsid w:val="0CD914B5"/>
    <w:rsid w:val="0CE40707"/>
    <w:rsid w:val="0CED0F6C"/>
    <w:rsid w:val="0CEF2A86"/>
    <w:rsid w:val="0CF31BB9"/>
    <w:rsid w:val="0D0B3827"/>
    <w:rsid w:val="0D1F15A9"/>
    <w:rsid w:val="0D314E4D"/>
    <w:rsid w:val="0D5F3C41"/>
    <w:rsid w:val="0D6F1145"/>
    <w:rsid w:val="0D774F56"/>
    <w:rsid w:val="0D8E04F1"/>
    <w:rsid w:val="0D957AD2"/>
    <w:rsid w:val="0DAE646F"/>
    <w:rsid w:val="0DB241E0"/>
    <w:rsid w:val="0DE6032D"/>
    <w:rsid w:val="0E056A05"/>
    <w:rsid w:val="0E12396C"/>
    <w:rsid w:val="0E2055ED"/>
    <w:rsid w:val="0E267FA8"/>
    <w:rsid w:val="0E3E1F17"/>
    <w:rsid w:val="0E52151F"/>
    <w:rsid w:val="0E782F04"/>
    <w:rsid w:val="0E9A5F77"/>
    <w:rsid w:val="0E9E11E9"/>
    <w:rsid w:val="0E9F0171"/>
    <w:rsid w:val="0EAC50D3"/>
    <w:rsid w:val="0EBF6D9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E60171"/>
    <w:rsid w:val="0FF1293F"/>
    <w:rsid w:val="0FF4402F"/>
    <w:rsid w:val="10120C0F"/>
    <w:rsid w:val="10305890"/>
    <w:rsid w:val="103C7133"/>
    <w:rsid w:val="10463305"/>
    <w:rsid w:val="10615A49"/>
    <w:rsid w:val="10635C65"/>
    <w:rsid w:val="106A6FF4"/>
    <w:rsid w:val="10732D06"/>
    <w:rsid w:val="107F1F1F"/>
    <w:rsid w:val="1080396E"/>
    <w:rsid w:val="108E5392"/>
    <w:rsid w:val="10A2232D"/>
    <w:rsid w:val="10B22456"/>
    <w:rsid w:val="10CC55B8"/>
    <w:rsid w:val="10E044A9"/>
    <w:rsid w:val="11031026"/>
    <w:rsid w:val="11254CC9"/>
    <w:rsid w:val="112962F9"/>
    <w:rsid w:val="112A76C8"/>
    <w:rsid w:val="112F3D99"/>
    <w:rsid w:val="11333889"/>
    <w:rsid w:val="11395C39"/>
    <w:rsid w:val="113B7EFA"/>
    <w:rsid w:val="113F59F6"/>
    <w:rsid w:val="114710E3"/>
    <w:rsid w:val="116643A6"/>
    <w:rsid w:val="11780EBA"/>
    <w:rsid w:val="118A0FD0"/>
    <w:rsid w:val="11AE1162"/>
    <w:rsid w:val="11AF734D"/>
    <w:rsid w:val="11DA58F6"/>
    <w:rsid w:val="11E06E41"/>
    <w:rsid w:val="11F74B82"/>
    <w:rsid w:val="120927D5"/>
    <w:rsid w:val="12135469"/>
    <w:rsid w:val="121A19A4"/>
    <w:rsid w:val="122A47A5"/>
    <w:rsid w:val="122E64E1"/>
    <w:rsid w:val="1232333F"/>
    <w:rsid w:val="125B6A31"/>
    <w:rsid w:val="12722FED"/>
    <w:rsid w:val="12881D1A"/>
    <w:rsid w:val="129A3460"/>
    <w:rsid w:val="129B16E6"/>
    <w:rsid w:val="12A07F1A"/>
    <w:rsid w:val="12A14112"/>
    <w:rsid w:val="12C413D6"/>
    <w:rsid w:val="12CD6C86"/>
    <w:rsid w:val="13083E3E"/>
    <w:rsid w:val="13382425"/>
    <w:rsid w:val="134F36F9"/>
    <w:rsid w:val="13552459"/>
    <w:rsid w:val="136E0BA9"/>
    <w:rsid w:val="138A5F0F"/>
    <w:rsid w:val="139364DD"/>
    <w:rsid w:val="139F6FB4"/>
    <w:rsid w:val="13D03611"/>
    <w:rsid w:val="13DF2611"/>
    <w:rsid w:val="13F50945"/>
    <w:rsid w:val="141C2C34"/>
    <w:rsid w:val="14225A66"/>
    <w:rsid w:val="14376624"/>
    <w:rsid w:val="147A532B"/>
    <w:rsid w:val="147E12BF"/>
    <w:rsid w:val="14B7697B"/>
    <w:rsid w:val="14C412D5"/>
    <w:rsid w:val="14E36BC9"/>
    <w:rsid w:val="14F051F6"/>
    <w:rsid w:val="14F96B98"/>
    <w:rsid w:val="15082834"/>
    <w:rsid w:val="151E215B"/>
    <w:rsid w:val="15400C78"/>
    <w:rsid w:val="1565422D"/>
    <w:rsid w:val="15916384"/>
    <w:rsid w:val="15A308B2"/>
    <w:rsid w:val="15B74EC5"/>
    <w:rsid w:val="15EF35D8"/>
    <w:rsid w:val="164107F7"/>
    <w:rsid w:val="165B0B3D"/>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7FF13A"/>
    <w:rsid w:val="17836BED"/>
    <w:rsid w:val="178F10EE"/>
    <w:rsid w:val="17914E66"/>
    <w:rsid w:val="17916813"/>
    <w:rsid w:val="1797470D"/>
    <w:rsid w:val="17CF28BC"/>
    <w:rsid w:val="18015B6E"/>
    <w:rsid w:val="181635BD"/>
    <w:rsid w:val="18172587"/>
    <w:rsid w:val="18205A58"/>
    <w:rsid w:val="1840677F"/>
    <w:rsid w:val="185403EE"/>
    <w:rsid w:val="18693E47"/>
    <w:rsid w:val="187C13DD"/>
    <w:rsid w:val="18A46E1B"/>
    <w:rsid w:val="18A85B09"/>
    <w:rsid w:val="18BD54F4"/>
    <w:rsid w:val="18C748B7"/>
    <w:rsid w:val="18D94D16"/>
    <w:rsid w:val="18DC0363"/>
    <w:rsid w:val="18DD28F7"/>
    <w:rsid w:val="18E37943"/>
    <w:rsid w:val="190B0C48"/>
    <w:rsid w:val="19237362"/>
    <w:rsid w:val="19305329"/>
    <w:rsid w:val="194303E2"/>
    <w:rsid w:val="19706CFD"/>
    <w:rsid w:val="1978240B"/>
    <w:rsid w:val="1979120B"/>
    <w:rsid w:val="197B11D2"/>
    <w:rsid w:val="1997072D"/>
    <w:rsid w:val="19A312AE"/>
    <w:rsid w:val="19BE5CBA"/>
    <w:rsid w:val="19BF76EB"/>
    <w:rsid w:val="1A085187"/>
    <w:rsid w:val="1A11228E"/>
    <w:rsid w:val="1A136006"/>
    <w:rsid w:val="1A1A7CD9"/>
    <w:rsid w:val="1A1E5FB2"/>
    <w:rsid w:val="1A4457AE"/>
    <w:rsid w:val="1A4C5D31"/>
    <w:rsid w:val="1A50725A"/>
    <w:rsid w:val="1A5249BA"/>
    <w:rsid w:val="1A816B2F"/>
    <w:rsid w:val="1A9F3EA8"/>
    <w:rsid w:val="1ABF618E"/>
    <w:rsid w:val="1ACB4B33"/>
    <w:rsid w:val="1ACF69D5"/>
    <w:rsid w:val="1AD15CD3"/>
    <w:rsid w:val="1AF71484"/>
    <w:rsid w:val="1B1D3C5F"/>
    <w:rsid w:val="1B30248C"/>
    <w:rsid w:val="1B5468D6"/>
    <w:rsid w:val="1B58423C"/>
    <w:rsid w:val="1B816BC3"/>
    <w:rsid w:val="1B83540D"/>
    <w:rsid w:val="1B90640E"/>
    <w:rsid w:val="1B9C3F21"/>
    <w:rsid w:val="1BFB0379"/>
    <w:rsid w:val="1C0F0A4F"/>
    <w:rsid w:val="1C2C1B1A"/>
    <w:rsid w:val="1C3B7288"/>
    <w:rsid w:val="1C447AB7"/>
    <w:rsid w:val="1C450915"/>
    <w:rsid w:val="1C487397"/>
    <w:rsid w:val="1C580BF0"/>
    <w:rsid w:val="1C5C089A"/>
    <w:rsid w:val="1C6C51CA"/>
    <w:rsid w:val="1C6D2330"/>
    <w:rsid w:val="1C850D11"/>
    <w:rsid w:val="1C8953EE"/>
    <w:rsid w:val="1C8F393E"/>
    <w:rsid w:val="1C9761E9"/>
    <w:rsid w:val="1CA871CE"/>
    <w:rsid w:val="1CAA7575"/>
    <w:rsid w:val="1CBC7313"/>
    <w:rsid w:val="1CC47A8B"/>
    <w:rsid w:val="1CC6095E"/>
    <w:rsid w:val="1CF55E97"/>
    <w:rsid w:val="1CF85987"/>
    <w:rsid w:val="1D04257E"/>
    <w:rsid w:val="1D0600A4"/>
    <w:rsid w:val="1D15771C"/>
    <w:rsid w:val="1D3F4C86"/>
    <w:rsid w:val="1D4C6F21"/>
    <w:rsid w:val="1D61352C"/>
    <w:rsid w:val="1D8B7972"/>
    <w:rsid w:val="1DB05F30"/>
    <w:rsid w:val="1DC6406D"/>
    <w:rsid w:val="1DC934B1"/>
    <w:rsid w:val="1DCB4477"/>
    <w:rsid w:val="1DCD6CA7"/>
    <w:rsid w:val="1DE2702B"/>
    <w:rsid w:val="1DEB2FC8"/>
    <w:rsid w:val="1DEF2CD1"/>
    <w:rsid w:val="1DF0665E"/>
    <w:rsid w:val="1DF5319D"/>
    <w:rsid w:val="1E095FF1"/>
    <w:rsid w:val="1E0D736B"/>
    <w:rsid w:val="1E150A33"/>
    <w:rsid w:val="1E182176"/>
    <w:rsid w:val="1E373F96"/>
    <w:rsid w:val="1E3D139F"/>
    <w:rsid w:val="1E4A39BB"/>
    <w:rsid w:val="1E5310C7"/>
    <w:rsid w:val="1E74728F"/>
    <w:rsid w:val="1E7E389E"/>
    <w:rsid w:val="1E7F06F4"/>
    <w:rsid w:val="1EAA37A5"/>
    <w:rsid w:val="1ECF42FE"/>
    <w:rsid w:val="1ECF44C6"/>
    <w:rsid w:val="1F120F76"/>
    <w:rsid w:val="1F2E38E2"/>
    <w:rsid w:val="1F354E12"/>
    <w:rsid w:val="1F35643E"/>
    <w:rsid w:val="1F3A2287"/>
    <w:rsid w:val="1F48649D"/>
    <w:rsid w:val="1F644C4F"/>
    <w:rsid w:val="1F6E1A7C"/>
    <w:rsid w:val="1F705CA9"/>
    <w:rsid w:val="1F7D7C4C"/>
    <w:rsid w:val="1F9B1719"/>
    <w:rsid w:val="1FB5190D"/>
    <w:rsid w:val="1FC3227C"/>
    <w:rsid w:val="1FC85AE5"/>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E45634"/>
    <w:rsid w:val="20FC2382"/>
    <w:rsid w:val="214D1EC4"/>
    <w:rsid w:val="215A5101"/>
    <w:rsid w:val="2185070D"/>
    <w:rsid w:val="21957C48"/>
    <w:rsid w:val="219F6403"/>
    <w:rsid w:val="21A607FA"/>
    <w:rsid w:val="21AA70BB"/>
    <w:rsid w:val="21BA76AF"/>
    <w:rsid w:val="21BF0821"/>
    <w:rsid w:val="21D266CD"/>
    <w:rsid w:val="21DC5877"/>
    <w:rsid w:val="21E77118"/>
    <w:rsid w:val="21EC16E9"/>
    <w:rsid w:val="21EF1DF1"/>
    <w:rsid w:val="21FD1568"/>
    <w:rsid w:val="22010E3A"/>
    <w:rsid w:val="220F3557"/>
    <w:rsid w:val="222D199E"/>
    <w:rsid w:val="22625D47"/>
    <w:rsid w:val="22665141"/>
    <w:rsid w:val="22731755"/>
    <w:rsid w:val="227B6E3E"/>
    <w:rsid w:val="229323DA"/>
    <w:rsid w:val="22934188"/>
    <w:rsid w:val="22AF4936"/>
    <w:rsid w:val="22C83D5D"/>
    <w:rsid w:val="22C85680"/>
    <w:rsid w:val="22D8603F"/>
    <w:rsid w:val="22DE0399"/>
    <w:rsid w:val="22F570D1"/>
    <w:rsid w:val="23114424"/>
    <w:rsid w:val="23214077"/>
    <w:rsid w:val="232B7B53"/>
    <w:rsid w:val="23496F3C"/>
    <w:rsid w:val="234E00AF"/>
    <w:rsid w:val="234E6301"/>
    <w:rsid w:val="23582B7D"/>
    <w:rsid w:val="235B6269"/>
    <w:rsid w:val="236271B7"/>
    <w:rsid w:val="237779A5"/>
    <w:rsid w:val="238E494F"/>
    <w:rsid w:val="239649A9"/>
    <w:rsid w:val="23A57564"/>
    <w:rsid w:val="23B24235"/>
    <w:rsid w:val="23BC770E"/>
    <w:rsid w:val="23C465C3"/>
    <w:rsid w:val="23DD4441"/>
    <w:rsid w:val="23EF19B8"/>
    <w:rsid w:val="2401350C"/>
    <w:rsid w:val="240C33A1"/>
    <w:rsid w:val="240F2DC9"/>
    <w:rsid w:val="242765C4"/>
    <w:rsid w:val="24482D50"/>
    <w:rsid w:val="244D65B8"/>
    <w:rsid w:val="244F47D6"/>
    <w:rsid w:val="245C2B14"/>
    <w:rsid w:val="246456B0"/>
    <w:rsid w:val="249C4E4A"/>
    <w:rsid w:val="249F7859"/>
    <w:rsid w:val="24A106B2"/>
    <w:rsid w:val="24A7216D"/>
    <w:rsid w:val="24B94E7B"/>
    <w:rsid w:val="24BB627D"/>
    <w:rsid w:val="24C745BD"/>
    <w:rsid w:val="24F86524"/>
    <w:rsid w:val="250958CB"/>
    <w:rsid w:val="250E0AED"/>
    <w:rsid w:val="251C075D"/>
    <w:rsid w:val="25341526"/>
    <w:rsid w:val="25532140"/>
    <w:rsid w:val="25567B5A"/>
    <w:rsid w:val="255A71DF"/>
    <w:rsid w:val="257A162F"/>
    <w:rsid w:val="257F71D6"/>
    <w:rsid w:val="258B7398"/>
    <w:rsid w:val="25B763DF"/>
    <w:rsid w:val="25BA0095"/>
    <w:rsid w:val="25BF1CDF"/>
    <w:rsid w:val="25BF34E6"/>
    <w:rsid w:val="25CC2D38"/>
    <w:rsid w:val="25D728C0"/>
    <w:rsid w:val="25D72D0D"/>
    <w:rsid w:val="25DC37F5"/>
    <w:rsid w:val="25FE2A30"/>
    <w:rsid w:val="2604714B"/>
    <w:rsid w:val="26136E77"/>
    <w:rsid w:val="26466AD3"/>
    <w:rsid w:val="26467125"/>
    <w:rsid w:val="264F6618"/>
    <w:rsid w:val="26615822"/>
    <w:rsid w:val="26672E47"/>
    <w:rsid w:val="26722525"/>
    <w:rsid w:val="268D3B28"/>
    <w:rsid w:val="26991A16"/>
    <w:rsid w:val="26A01734"/>
    <w:rsid w:val="26D8157F"/>
    <w:rsid w:val="26E15B99"/>
    <w:rsid w:val="26F61189"/>
    <w:rsid w:val="26F82F41"/>
    <w:rsid w:val="27111B1F"/>
    <w:rsid w:val="27312345"/>
    <w:rsid w:val="273677D8"/>
    <w:rsid w:val="276460F3"/>
    <w:rsid w:val="2799188C"/>
    <w:rsid w:val="27A107B1"/>
    <w:rsid w:val="27B801ED"/>
    <w:rsid w:val="27E85AF1"/>
    <w:rsid w:val="27EB2370"/>
    <w:rsid w:val="27ED3892"/>
    <w:rsid w:val="2803672A"/>
    <w:rsid w:val="280557AF"/>
    <w:rsid w:val="281B3C03"/>
    <w:rsid w:val="282B4E63"/>
    <w:rsid w:val="2837207C"/>
    <w:rsid w:val="28515D28"/>
    <w:rsid w:val="28842155"/>
    <w:rsid w:val="288A1BE1"/>
    <w:rsid w:val="28902541"/>
    <w:rsid w:val="289D5510"/>
    <w:rsid w:val="28CA01D8"/>
    <w:rsid w:val="28D76D98"/>
    <w:rsid w:val="28DB23E5"/>
    <w:rsid w:val="28DC41A9"/>
    <w:rsid w:val="28EB7F11"/>
    <w:rsid w:val="28EF15D4"/>
    <w:rsid w:val="28F24E39"/>
    <w:rsid w:val="29067726"/>
    <w:rsid w:val="29174F37"/>
    <w:rsid w:val="292F0982"/>
    <w:rsid w:val="29570342"/>
    <w:rsid w:val="297414A2"/>
    <w:rsid w:val="2977611D"/>
    <w:rsid w:val="297939AC"/>
    <w:rsid w:val="297D10CF"/>
    <w:rsid w:val="29805BC8"/>
    <w:rsid w:val="298505A2"/>
    <w:rsid w:val="298760C9"/>
    <w:rsid w:val="29A7676B"/>
    <w:rsid w:val="29AA1DB7"/>
    <w:rsid w:val="29BB2DA4"/>
    <w:rsid w:val="29BC1CEE"/>
    <w:rsid w:val="29C52793"/>
    <w:rsid w:val="29DB79D0"/>
    <w:rsid w:val="29EF5F6E"/>
    <w:rsid w:val="29F574D6"/>
    <w:rsid w:val="29F63F49"/>
    <w:rsid w:val="29F647AE"/>
    <w:rsid w:val="2A09328E"/>
    <w:rsid w:val="2A117B94"/>
    <w:rsid w:val="2A1A444E"/>
    <w:rsid w:val="2A222F93"/>
    <w:rsid w:val="2A3D2C2B"/>
    <w:rsid w:val="2A7523C5"/>
    <w:rsid w:val="2A7F3320"/>
    <w:rsid w:val="2A8645D2"/>
    <w:rsid w:val="2A97058D"/>
    <w:rsid w:val="2AC51206"/>
    <w:rsid w:val="2B045371"/>
    <w:rsid w:val="2B1966E7"/>
    <w:rsid w:val="2B242C66"/>
    <w:rsid w:val="2B3758CC"/>
    <w:rsid w:val="2B5F745C"/>
    <w:rsid w:val="2BA36C82"/>
    <w:rsid w:val="2BC00D94"/>
    <w:rsid w:val="2BD05B4E"/>
    <w:rsid w:val="2BFC771C"/>
    <w:rsid w:val="2C00716D"/>
    <w:rsid w:val="2C0843C3"/>
    <w:rsid w:val="2C0B2FE1"/>
    <w:rsid w:val="2C0D495D"/>
    <w:rsid w:val="2C33370F"/>
    <w:rsid w:val="2C363DD6"/>
    <w:rsid w:val="2C472353"/>
    <w:rsid w:val="2C4F5652"/>
    <w:rsid w:val="2C7C7A3B"/>
    <w:rsid w:val="2C855E78"/>
    <w:rsid w:val="2C866B0B"/>
    <w:rsid w:val="2C9D628A"/>
    <w:rsid w:val="2CAC2014"/>
    <w:rsid w:val="2CAC798F"/>
    <w:rsid w:val="2CC72A5A"/>
    <w:rsid w:val="2CCB451E"/>
    <w:rsid w:val="2CD31FDB"/>
    <w:rsid w:val="2CD368AF"/>
    <w:rsid w:val="2CED0939"/>
    <w:rsid w:val="2CF17DF5"/>
    <w:rsid w:val="2CF57294"/>
    <w:rsid w:val="2CF9552F"/>
    <w:rsid w:val="2CFC034F"/>
    <w:rsid w:val="2D047A30"/>
    <w:rsid w:val="2D0C41FD"/>
    <w:rsid w:val="2D1633EB"/>
    <w:rsid w:val="2D1F486A"/>
    <w:rsid w:val="2D3C366E"/>
    <w:rsid w:val="2D6BB57D"/>
    <w:rsid w:val="2D6F134E"/>
    <w:rsid w:val="2D850B71"/>
    <w:rsid w:val="2D9F7C93"/>
    <w:rsid w:val="2DA80A8D"/>
    <w:rsid w:val="2DAA4BFF"/>
    <w:rsid w:val="2DDB7809"/>
    <w:rsid w:val="2DE51610"/>
    <w:rsid w:val="2DE97352"/>
    <w:rsid w:val="2DF301D1"/>
    <w:rsid w:val="2E067D4C"/>
    <w:rsid w:val="2E0D7FA5"/>
    <w:rsid w:val="2E1D349F"/>
    <w:rsid w:val="2E2C4A7E"/>
    <w:rsid w:val="2E3C2D07"/>
    <w:rsid w:val="2E4A51C1"/>
    <w:rsid w:val="2E4E3659"/>
    <w:rsid w:val="2E607436"/>
    <w:rsid w:val="2E615CCD"/>
    <w:rsid w:val="2E6C1899"/>
    <w:rsid w:val="2E810DE7"/>
    <w:rsid w:val="2E862DF3"/>
    <w:rsid w:val="2E8727AF"/>
    <w:rsid w:val="2E926FBB"/>
    <w:rsid w:val="2E9363D9"/>
    <w:rsid w:val="2EAE5EA6"/>
    <w:rsid w:val="2EEB0EA8"/>
    <w:rsid w:val="2EEB4275"/>
    <w:rsid w:val="2EF44200"/>
    <w:rsid w:val="2EF73CF0"/>
    <w:rsid w:val="2F1050BA"/>
    <w:rsid w:val="2F4F5615"/>
    <w:rsid w:val="2F5223C5"/>
    <w:rsid w:val="2F5527C5"/>
    <w:rsid w:val="2F662C24"/>
    <w:rsid w:val="2FAB0637"/>
    <w:rsid w:val="2FB91BFD"/>
    <w:rsid w:val="2FC71915"/>
    <w:rsid w:val="2FE204FD"/>
    <w:rsid w:val="2FE222AB"/>
    <w:rsid w:val="2FEA5603"/>
    <w:rsid w:val="300A0C97"/>
    <w:rsid w:val="300C7328"/>
    <w:rsid w:val="300E364A"/>
    <w:rsid w:val="301270DA"/>
    <w:rsid w:val="301A66C6"/>
    <w:rsid w:val="301F4C0C"/>
    <w:rsid w:val="302326E9"/>
    <w:rsid w:val="302A09A6"/>
    <w:rsid w:val="30330D58"/>
    <w:rsid w:val="30621346"/>
    <w:rsid w:val="30756A6C"/>
    <w:rsid w:val="307F3F9D"/>
    <w:rsid w:val="308B3C32"/>
    <w:rsid w:val="308B46F0"/>
    <w:rsid w:val="30934C53"/>
    <w:rsid w:val="309F63EE"/>
    <w:rsid w:val="30B42C9E"/>
    <w:rsid w:val="30C03C9B"/>
    <w:rsid w:val="30CA0B34"/>
    <w:rsid w:val="30F7442C"/>
    <w:rsid w:val="31111D33"/>
    <w:rsid w:val="31172428"/>
    <w:rsid w:val="31291211"/>
    <w:rsid w:val="315E0057"/>
    <w:rsid w:val="316605F4"/>
    <w:rsid w:val="319D0545"/>
    <w:rsid w:val="319D17F7"/>
    <w:rsid w:val="31AA6151"/>
    <w:rsid w:val="31D64091"/>
    <w:rsid w:val="321B78CE"/>
    <w:rsid w:val="3227669B"/>
    <w:rsid w:val="322B6ADF"/>
    <w:rsid w:val="32385F9C"/>
    <w:rsid w:val="323D4B10"/>
    <w:rsid w:val="3263094F"/>
    <w:rsid w:val="327614B6"/>
    <w:rsid w:val="327B69E7"/>
    <w:rsid w:val="327D17AF"/>
    <w:rsid w:val="327E4BBF"/>
    <w:rsid w:val="327F62D5"/>
    <w:rsid w:val="32864B25"/>
    <w:rsid w:val="329A50BF"/>
    <w:rsid w:val="32A001FB"/>
    <w:rsid w:val="32D81743"/>
    <w:rsid w:val="32E12CEE"/>
    <w:rsid w:val="32EA0830"/>
    <w:rsid w:val="32FA6DD7"/>
    <w:rsid w:val="33244988"/>
    <w:rsid w:val="33245299"/>
    <w:rsid w:val="33460DA3"/>
    <w:rsid w:val="335A65FC"/>
    <w:rsid w:val="33637EC3"/>
    <w:rsid w:val="33650106"/>
    <w:rsid w:val="336D4581"/>
    <w:rsid w:val="3371744F"/>
    <w:rsid w:val="337C5BFA"/>
    <w:rsid w:val="338B6E1C"/>
    <w:rsid w:val="338C734E"/>
    <w:rsid w:val="33AB3DC9"/>
    <w:rsid w:val="33AD0E22"/>
    <w:rsid w:val="33AE43D6"/>
    <w:rsid w:val="33CD2241"/>
    <w:rsid w:val="33D10E94"/>
    <w:rsid w:val="33D46F83"/>
    <w:rsid w:val="33E454D7"/>
    <w:rsid w:val="340D25AE"/>
    <w:rsid w:val="34177C19"/>
    <w:rsid w:val="34256CB2"/>
    <w:rsid w:val="34353186"/>
    <w:rsid w:val="344B7B58"/>
    <w:rsid w:val="345319C9"/>
    <w:rsid w:val="3474193F"/>
    <w:rsid w:val="34750EEE"/>
    <w:rsid w:val="34757B91"/>
    <w:rsid w:val="349B6ECC"/>
    <w:rsid w:val="34AC732B"/>
    <w:rsid w:val="34E45C10"/>
    <w:rsid w:val="35253045"/>
    <w:rsid w:val="354B0704"/>
    <w:rsid w:val="354D1DB2"/>
    <w:rsid w:val="356D1E9C"/>
    <w:rsid w:val="357D5D04"/>
    <w:rsid w:val="35A34C73"/>
    <w:rsid w:val="35AB0B07"/>
    <w:rsid w:val="35BF1EAB"/>
    <w:rsid w:val="35D83E40"/>
    <w:rsid w:val="35D94150"/>
    <w:rsid w:val="35FE1C9A"/>
    <w:rsid w:val="35FF0DB7"/>
    <w:rsid w:val="36195A35"/>
    <w:rsid w:val="362D7FF8"/>
    <w:rsid w:val="36620601"/>
    <w:rsid w:val="36B50719"/>
    <w:rsid w:val="36B86C0F"/>
    <w:rsid w:val="36C25ED8"/>
    <w:rsid w:val="36C3081B"/>
    <w:rsid w:val="36D2007E"/>
    <w:rsid w:val="36D36DF1"/>
    <w:rsid w:val="36E73774"/>
    <w:rsid w:val="36EB413B"/>
    <w:rsid w:val="36F1451E"/>
    <w:rsid w:val="37011251"/>
    <w:rsid w:val="371B68A6"/>
    <w:rsid w:val="373830F8"/>
    <w:rsid w:val="37434466"/>
    <w:rsid w:val="3747333B"/>
    <w:rsid w:val="377F356D"/>
    <w:rsid w:val="37893954"/>
    <w:rsid w:val="378E4AC6"/>
    <w:rsid w:val="379419BE"/>
    <w:rsid w:val="3794610E"/>
    <w:rsid w:val="379C3687"/>
    <w:rsid w:val="379F0A81"/>
    <w:rsid w:val="379F19A5"/>
    <w:rsid w:val="37BE184F"/>
    <w:rsid w:val="37CA01F4"/>
    <w:rsid w:val="37DC5DA4"/>
    <w:rsid w:val="37E011CC"/>
    <w:rsid w:val="37EA3F46"/>
    <w:rsid w:val="37FF59C4"/>
    <w:rsid w:val="380729ED"/>
    <w:rsid w:val="380B25BB"/>
    <w:rsid w:val="38175933"/>
    <w:rsid w:val="38517B27"/>
    <w:rsid w:val="386A7825"/>
    <w:rsid w:val="38733130"/>
    <w:rsid w:val="38767A34"/>
    <w:rsid w:val="388F4F35"/>
    <w:rsid w:val="38921A31"/>
    <w:rsid w:val="38B247E4"/>
    <w:rsid w:val="38C04D3D"/>
    <w:rsid w:val="38CE6B9E"/>
    <w:rsid w:val="38D66725"/>
    <w:rsid w:val="38E26156"/>
    <w:rsid w:val="38EA367A"/>
    <w:rsid w:val="38F83DFB"/>
    <w:rsid w:val="39123CD2"/>
    <w:rsid w:val="39220493"/>
    <w:rsid w:val="39282A8B"/>
    <w:rsid w:val="39783C80"/>
    <w:rsid w:val="39930ABA"/>
    <w:rsid w:val="39930C67"/>
    <w:rsid w:val="3993774F"/>
    <w:rsid w:val="39A2072B"/>
    <w:rsid w:val="39A44DF7"/>
    <w:rsid w:val="39B50DC2"/>
    <w:rsid w:val="39BB6B1C"/>
    <w:rsid w:val="39CD5D7A"/>
    <w:rsid w:val="39D5635C"/>
    <w:rsid w:val="3A037D18"/>
    <w:rsid w:val="3A0D43C8"/>
    <w:rsid w:val="3A230C04"/>
    <w:rsid w:val="3A26548A"/>
    <w:rsid w:val="3A355F37"/>
    <w:rsid w:val="3A40479E"/>
    <w:rsid w:val="3A502507"/>
    <w:rsid w:val="3A5567DF"/>
    <w:rsid w:val="3A556AF0"/>
    <w:rsid w:val="3A572443"/>
    <w:rsid w:val="3A6316FB"/>
    <w:rsid w:val="3AAB3AE0"/>
    <w:rsid w:val="3AB57BE2"/>
    <w:rsid w:val="3ABC00D6"/>
    <w:rsid w:val="3ACD3B57"/>
    <w:rsid w:val="3AF15A98"/>
    <w:rsid w:val="3AF561AE"/>
    <w:rsid w:val="3AFA5384"/>
    <w:rsid w:val="3B027CA5"/>
    <w:rsid w:val="3B134F55"/>
    <w:rsid w:val="3B186CC9"/>
    <w:rsid w:val="3B2132F9"/>
    <w:rsid w:val="3B2B252A"/>
    <w:rsid w:val="3B4D0683"/>
    <w:rsid w:val="3B714E2B"/>
    <w:rsid w:val="3B766AD0"/>
    <w:rsid w:val="3B94465C"/>
    <w:rsid w:val="3B9B5A04"/>
    <w:rsid w:val="3BA725FA"/>
    <w:rsid w:val="3BB0325D"/>
    <w:rsid w:val="3BE91F4A"/>
    <w:rsid w:val="3C335C3C"/>
    <w:rsid w:val="3C8010E6"/>
    <w:rsid w:val="3C9479A2"/>
    <w:rsid w:val="3C963645"/>
    <w:rsid w:val="3CA52FDE"/>
    <w:rsid w:val="3CAB2DAB"/>
    <w:rsid w:val="3CB21B8B"/>
    <w:rsid w:val="3CCA2A44"/>
    <w:rsid w:val="3CCC57A3"/>
    <w:rsid w:val="3CE32852"/>
    <w:rsid w:val="3CE62BFB"/>
    <w:rsid w:val="3CF03B2D"/>
    <w:rsid w:val="3D090B7C"/>
    <w:rsid w:val="3D1040CE"/>
    <w:rsid w:val="3D193084"/>
    <w:rsid w:val="3D264775"/>
    <w:rsid w:val="3D265478"/>
    <w:rsid w:val="3D332DDF"/>
    <w:rsid w:val="3D414A5D"/>
    <w:rsid w:val="3D453E79"/>
    <w:rsid w:val="3D52271E"/>
    <w:rsid w:val="3D536596"/>
    <w:rsid w:val="3D5A0F8B"/>
    <w:rsid w:val="3D642AD9"/>
    <w:rsid w:val="3D89645B"/>
    <w:rsid w:val="3D8A6929"/>
    <w:rsid w:val="3D8C49FE"/>
    <w:rsid w:val="3DAF1EA2"/>
    <w:rsid w:val="3DBD7F55"/>
    <w:rsid w:val="3DD70CF9"/>
    <w:rsid w:val="3DDD315E"/>
    <w:rsid w:val="3DF153E8"/>
    <w:rsid w:val="3E0964E6"/>
    <w:rsid w:val="3E0C196A"/>
    <w:rsid w:val="3E1201FF"/>
    <w:rsid w:val="3E1D0952"/>
    <w:rsid w:val="3E275915"/>
    <w:rsid w:val="3E30420A"/>
    <w:rsid w:val="3E3068D7"/>
    <w:rsid w:val="3E3C1720"/>
    <w:rsid w:val="3E5A1BA6"/>
    <w:rsid w:val="3E60015F"/>
    <w:rsid w:val="3E9275F9"/>
    <w:rsid w:val="3E9C21BE"/>
    <w:rsid w:val="3E9E5F37"/>
    <w:rsid w:val="3EA66B99"/>
    <w:rsid w:val="3EAD5E70"/>
    <w:rsid w:val="3EC3464E"/>
    <w:rsid w:val="3ECF60F0"/>
    <w:rsid w:val="3EE9355C"/>
    <w:rsid w:val="3F00099E"/>
    <w:rsid w:val="3F087854"/>
    <w:rsid w:val="3F193258"/>
    <w:rsid w:val="3F2F6EBF"/>
    <w:rsid w:val="3F465470"/>
    <w:rsid w:val="3F5D194E"/>
    <w:rsid w:val="3F7F14E7"/>
    <w:rsid w:val="3F8B1360"/>
    <w:rsid w:val="3F9F14A0"/>
    <w:rsid w:val="3FA37E9F"/>
    <w:rsid w:val="3FEF7356"/>
    <w:rsid w:val="3FF21F94"/>
    <w:rsid w:val="40005166"/>
    <w:rsid w:val="400B4C01"/>
    <w:rsid w:val="400D44B9"/>
    <w:rsid w:val="40302BBE"/>
    <w:rsid w:val="40316936"/>
    <w:rsid w:val="403B16EA"/>
    <w:rsid w:val="40477F08"/>
    <w:rsid w:val="405165FE"/>
    <w:rsid w:val="406867FC"/>
    <w:rsid w:val="408C6DF2"/>
    <w:rsid w:val="40BE4098"/>
    <w:rsid w:val="40C6735E"/>
    <w:rsid w:val="40D24B9C"/>
    <w:rsid w:val="40DE6ABE"/>
    <w:rsid w:val="40E67E32"/>
    <w:rsid w:val="410753AA"/>
    <w:rsid w:val="411E335F"/>
    <w:rsid w:val="41303889"/>
    <w:rsid w:val="415052BD"/>
    <w:rsid w:val="41636FC4"/>
    <w:rsid w:val="41870F04"/>
    <w:rsid w:val="41904D37"/>
    <w:rsid w:val="4192494C"/>
    <w:rsid w:val="41A1553C"/>
    <w:rsid w:val="41BB1716"/>
    <w:rsid w:val="41C32C44"/>
    <w:rsid w:val="41D979E0"/>
    <w:rsid w:val="41DE0A1F"/>
    <w:rsid w:val="41E73751"/>
    <w:rsid w:val="41FA2E3F"/>
    <w:rsid w:val="41FD3C44"/>
    <w:rsid w:val="4207478C"/>
    <w:rsid w:val="421C7F40"/>
    <w:rsid w:val="422A409B"/>
    <w:rsid w:val="422E75D1"/>
    <w:rsid w:val="42373D37"/>
    <w:rsid w:val="42520476"/>
    <w:rsid w:val="42593CC8"/>
    <w:rsid w:val="42770E26"/>
    <w:rsid w:val="428216CB"/>
    <w:rsid w:val="42864D18"/>
    <w:rsid w:val="428E5817"/>
    <w:rsid w:val="4293114E"/>
    <w:rsid w:val="429D4850"/>
    <w:rsid w:val="42A17DA3"/>
    <w:rsid w:val="42AB0CD7"/>
    <w:rsid w:val="42B57D65"/>
    <w:rsid w:val="42C13FA2"/>
    <w:rsid w:val="42DA5008"/>
    <w:rsid w:val="42DF267A"/>
    <w:rsid w:val="42FD1F8B"/>
    <w:rsid w:val="430345BA"/>
    <w:rsid w:val="43095B0E"/>
    <w:rsid w:val="4310009C"/>
    <w:rsid w:val="43244531"/>
    <w:rsid w:val="433A14FF"/>
    <w:rsid w:val="435868E4"/>
    <w:rsid w:val="43747266"/>
    <w:rsid w:val="43C53F65"/>
    <w:rsid w:val="43EF7993"/>
    <w:rsid w:val="43F81C45"/>
    <w:rsid w:val="43FC045F"/>
    <w:rsid w:val="440222FE"/>
    <w:rsid w:val="442F70DF"/>
    <w:rsid w:val="444C0820"/>
    <w:rsid w:val="4476700E"/>
    <w:rsid w:val="447F2366"/>
    <w:rsid w:val="44824D62"/>
    <w:rsid w:val="449138C6"/>
    <w:rsid w:val="44935F3F"/>
    <w:rsid w:val="44953938"/>
    <w:rsid w:val="44A65B45"/>
    <w:rsid w:val="44AE1377"/>
    <w:rsid w:val="44B244EA"/>
    <w:rsid w:val="44B55D88"/>
    <w:rsid w:val="44BC2C73"/>
    <w:rsid w:val="44D02189"/>
    <w:rsid w:val="44E623E5"/>
    <w:rsid w:val="44E97761"/>
    <w:rsid w:val="44F16666"/>
    <w:rsid w:val="44FF5255"/>
    <w:rsid w:val="45215B5E"/>
    <w:rsid w:val="45433394"/>
    <w:rsid w:val="45450906"/>
    <w:rsid w:val="455E535F"/>
    <w:rsid w:val="456261E9"/>
    <w:rsid w:val="456B22FF"/>
    <w:rsid w:val="456D1768"/>
    <w:rsid w:val="45832431"/>
    <w:rsid w:val="45C47B05"/>
    <w:rsid w:val="45C96E92"/>
    <w:rsid w:val="45CC0C03"/>
    <w:rsid w:val="46067BF3"/>
    <w:rsid w:val="46072613"/>
    <w:rsid w:val="462E0F7B"/>
    <w:rsid w:val="463D7DE3"/>
    <w:rsid w:val="46427B16"/>
    <w:rsid w:val="464A5E88"/>
    <w:rsid w:val="464E0242"/>
    <w:rsid w:val="46690BD8"/>
    <w:rsid w:val="467C6146"/>
    <w:rsid w:val="468974CC"/>
    <w:rsid w:val="468E6891"/>
    <w:rsid w:val="46AE2A8F"/>
    <w:rsid w:val="46D5510F"/>
    <w:rsid w:val="46DB1ADF"/>
    <w:rsid w:val="46EA00E0"/>
    <w:rsid w:val="46FD7572"/>
    <w:rsid w:val="47105641"/>
    <w:rsid w:val="471A6376"/>
    <w:rsid w:val="47392CA0"/>
    <w:rsid w:val="47437DEF"/>
    <w:rsid w:val="47451645"/>
    <w:rsid w:val="475D5395"/>
    <w:rsid w:val="477409B2"/>
    <w:rsid w:val="47AC3472"/>
    <w:rsid w:val="47AE29D8"/>
    <w:rsid w:val="47B462FA"/>
    <w:rsid w:val="47B745D4"/>
    <w:rsid w:val="47BC567F"/>
    <w:rsid w:val="47EA3F9B"/>
    <w:rsid w:val="4814634D"/>
    <w:rsid w:val="481907FA"/>
    <w:rsid w:val="48226AEB"/>
    <w:rsid w:val="48327166"/>
    <w:rsid w:val="483673CE"/>
    <w:rsid w:val="484646E2"/>
    <w:rsid w:val="48884A4E"/>
    <w:rsid w:val="489A776F"/>
    <w:rsid w:val="489F4D85"/>
    <w:rsid w:val="48B12D0A"/>
    <w:rsid w:val="48BE41E3"/>
    <w:rsid w:val="48C77E38"/>
    <w:rsid w:val="48CB5B7A"/>
    <w:rsid w:val="48D92B4D"/>
    <w:rsid w:val="48DC7D87"/>
    <w:rsid w:val="48FD1AAC"/>
    <w:rsid w:val="490523D5"/>
    <w:rsid w:val="49135467"/>
    <w:rsid w:val="49221812"/>
    <w:rsid w:val="494D67E4"/>
    <w:rsid w:val="4972249A"/>
    <w:rsid w:val="49766784"/>
    <w:rsid w:val="497D3957"/>
    <w:rsid w:val="498668DA"/>
    <w:rsid w:val="49A00E51"/>
    <w:rsid w:val="49B91563"/>
    <w:rsid w:val="49BA799D"/>
    <w:rsid w:val="4A314103"/>
    <w:rsid w:val="4A451330"/>
    <w:rsid w:val="4A5B0EAB"/>
    <w:rsid w:val="4A5C478F"/>
    <w:rsid w:val="4A631DE2"/>
    <w:rsid w:val="4A667117"/>
    <w:rsid w:val="4A802994"/>
    <w:rsid w:val="4A8C758B"/>
    <w:rsid w:val="4A8E0642"/>
    <w:rsid w:val="4A91694F"/>
    <w:rsid w:val="4AB02304"/>
    <w:rsid w:val="4AC95736"/>
    <w:rsid w:val="4AEA4371"/>
    <w:rsid w:val="4AF320B9"/>
    <w:rsid w:val="4B15132F"/>
    <w:rsid w:val="4B2B2900"/>
    <w:rsid w:val="4B410375"/>
    <w:rsid w:val="4B5B0856"/>
    <w:rsid w:val="4B5F07FC"/>
    <w:rsid w:val="4B63653E"/>
    <w:rsid w:val="4B6B53F2"/>
    <w:rsid w:val="4B863FDA"/>
    <w:rsid w:val="4B884F61"/>
    <w:rsid w:val="4B8C04E8"/>
    <w:rsid w:val="4B9506C1"/>
    <w:rsid w:val="4B9F32EE"/>
    <w:rsid w:val="4BA17066"/>
    <w:rsid w:val="4BB10086"/>
    <w:rsid w:val="4BB9449E"/>
    <w:rsid w:val="4BC52D55"/>
    <w:rsid w:val="4BF930BB"/>
    <w:rsid w:val="4C2A2BB8"/>
    <w:rsid w:val="4C4D4AF8"/>
    <w:rsid w:val="4C6267F5"/>
    <w:rsid w:val="4C831B77"/>
    <w:rsid w:val="4C83676C"/>
    <w:rsid w:val="4C8E5BE5"/>
    <w:rsid w:val="4C982217"/>
    <w:rsid w:val="4CB6269D"/>
    <w:rsid w:val="4CC913FA"/>
    <w:rsid w:val="4CD35F5F"/>
    <w:rsid w:val="4CEA67EB"/>
    <w:rsid w:val="4CF64CFD"/>
    <w:rsid w:val="4D116B12"/>
    <w:rsid w:val="4D165151"/>
    <w:rsid w:val="4D191458"/>
    <w:rsid w:val="4D1B6B8F"/>
    <w:rsid w:val="4D1F6494"/>
    <w:rsid w:val="4D3D5FF4"/>
    <w:rsid w:val="4D487C17"/>
    <w:rsid w:val="4D5A72FA"/>
    <w:rsid w:val="4D633A18"/>
    <w:rsid w:val="4D99487C"/>
    <w:rsid w:val="4DB90697"/>
    <w:rsid w:val="4DC52A56"/>
    <w:rsid w:val="4DDB0C4B"/>
    <w:rsid w:val="4DE4148C"/>
    <w:rsid w:val="4E0062C6"/>
    <w:rsid w:val="4E086B35"/>
    <w:rsid w:val="4E0B2970"/>
    <w:rsid w:val="4E1759C1"/>
    <w:rsid w:val="4E3E6DEE"/>
    <w:rsid w:val="4E462FE9"/>
    <w:rsid w:val="4E4E0777"/>
    <w:rsid w:val="4E8862BB"/>
    <w:rsid w:val="4EB0623C"/>
    <w:rsid w:val="4ED8558E"/>
    <w:rsid w:val="4EEC23A6"/>
    <w:rsid w:val="4F1039FB"/>
    <w:rsid w:val="4F245FE4"/>
    <w:rsid w:val="4F433169"/>
    <w:rsid w:val="4F581B73"/>
    <w:rsid w:val="4F712626"/>
    <w:rsid w:val="4FAC3C07"/>
    <w:rsid w:val="4FC7696F"/>
    <w:rsid w:val="4FD51C85"/>
    <w:rsid w:val="4FDE63F4"/>
    <w:rsid w:val="4FF54478"/>
    <w:rsid w:val="50067498"/>
    <w:rsid w:val="505A492D"/>
    <w:rsid w:val="505B4BCF"/>
    <w:rsid w:val="50966A6E"/>
    <w:rsid w:val="50967210"/>
    <w:rsid w:val="50A36B81"/>
    <w:rsid w:val="50A4580C"/>
    <w:rsid w:val="50B75FB1"/>
    <w:rsid w:val="50CC248F"/>
    <w:rsid w:val="50D96F51"/>
    <w:rsid w:val="50F97A8C"/>
    <w:rsid w:val="51005BF8"/>
    <w:rsid w:val="51013297"/>
    <w:rsid w:val="5105419D"/>
    <w:rsid w:val="51071719"/>
    <w:rsid w:val="510F2718"/>
    <w:rsid w:val="51177359"/>
    <w:rsid w:val="51324A1D"/>
    <w:rsid w:val="51706AE7"/>
    <w:rsid w:val="517F39A6"/>
    <w:rsid w:val="518E63E9"/>
    <w:rsid w:val="51C455C5"/>
    <w:rsid w:val="51DC38A0"/>
    <w:rsid w:val="51EC2A39"/>
    <w:rsid w:val="51F64F65"/>
    <w:rsid w:val="51F856CE"/>
    <w:rsid w:val="5221002A"/>
    <w:rsid w:val="52324E4E"/>
    <w:rsid w:val="52642B9B"/>
    <w:rsid w:val="526F3A1A"/>
    <w:rsid w:val="52816DE8"/>
    <w:rsid w:val="52976ACD"/>
    <w:rsid w:val="529F5982"/>
    <w:rsid w:val="52AD5B3E"/>
    <w:rsid w:val="52AF3C79"/>
    <w:rsid w:val="52E617B5"/>
    <w:rsid w:val="52F85E4C"/>
    <w:rsid w:val="52FF78E7"/>
    <w:rsid w:val="53093B64"/>
    <w:rsid w:val="533D19AF"/>
    <w:rsid w:val="53435F37"/>
    <w:rsid w:val="534E4309"/>
    <w:rsid w:val="53515F4F"/>
    <w:rsid w:val="537806AC"/>
    <w:rsid w:val="53837B15"/>
    <w:rsid w:val="538C7282"/>
    <w:rsid w:val="53983E43"/>
    <w:rsid w:val="539F403D"/>
    <w:rsid w:val="53D33222"/>
    <w:rsid w:val="541000EA"/>
    <w:rsid w:val="541008E5"/>
    <w:rsid w:val="54295E4B"/>
    <w:rsid w:val="54330A77"/>
    <w:rsid w:val="543640C4"/>
    <w:rsid w:val="5436550B"/>
    <w:rsid w:val="543A5A64"/>
    <w:rsid w:val="54495AE8"/>
    <w:rsid w:val="54547A6F"/>
    <w:rsid w:val="54547F90"/>
    <w:rsid w:val="545A6D5B"/>
    <w:rsid w:val="54670B35"/>
    <w:rsid w:val="546A3D88"/>
    <w:rsid w:val="547A238D"/>
    <w:rsid w:val="54817A35"/>
    <w:rsid w:val="548E627B"/>
    <w:rsid w:val="54A159E1"/>
    <w:rsid w:val="54C80146"/>
    <w:rsid w:val="54D209AB"/>
    <w:rsid w:val="54D42ADE"/>
    <w:rsid w:val="55004DFD"/>
    <w:rsid w:val="55175CA3"/>
    <w:rsid w:val="551F5BD2"/>
    <w:rsid w:val="552264FE"/>
    <w:rsid w:val="553C49CA"/>
    <w:rsid w:val="554747DA"/>
    <w:rsid w:val="555D5DAC"/>
    <w:rsid w:val="556F0C67"/>
    <w:rsid w:val="557138EC"/>
    <w:rsid w:val="5573527B"/>
    <w:rsid w:val="55756D9B"/>
    <w:rsid w:val="557F2A8A"/>
    <w:rsid w:val="559B4461"/>
    <w:rsid w:val="55A00722"/>
    <w:rsid w:val="55D106C9"/>
    <w:rsid w:val="55D751F9"/>
    <w:rsid w:val="55F14746"/>
    <w:rsid w:val="56203C97"/>
    <w:rsid w:val="562E599A"/>
    <w:rsid w:val="56420481"/>
    <w:rsid w:val="56464A92"/>
    <w:rsid w:val="564B3012"/>
    <w:rsid w:val="56521689"/>
    <w:rsid w:val="56574EF1"/>
    <w:rsid w:val="565B5592"/>
    <w:rsid w:val="567D5FDA"/>
    <w:rsid w:val="56921A85"/>
    <w:rsid w:val="56B07F59"/>
    <w:rsid w:val="56B20379"/>
    <w:rsid w:val="56B91708"/>
    <w:rsid w:val="56BD287A"/>
    <w:rsid w:val="56C37E91"/>
    <w:rsid w:val="56D0163C"/>
    <w:rsid w:val="56EC3176"/>
    <w:rsid w:val="57077749"/>
    <w:rsid w:val="571132F2"/>
    <w:rsid w:val="57203535"/>
    <w:rsid w:val="57351266"/>
    <w:rsid w:val="573613C1"/>
    <w:rsid w:val="57397068"/>
    <w:rsid w:val="5741183E"/>
    <w:rsid w:val="575F252E"/>
    <w:rsid w:val="57757E70"/>
    <w:rsid w:val="577B7280"/>
    <w:rsid w:val="579B12CF"/>
    <w:rsid w:val="579F7237"/>
    <w:rsid w:val="57A82F46"/>
    <w:rsid w:val="57A9177C"/>
    <w:rsid w:val="57B23339"/>
    <w:rsid w:val="57BF2D4E"/>
    <w:rsid w:val="57CF2865"/>
    <w:rsid w:val="57DC6DF3"/>
    <w:rsid w:val="5804270C"/>
    <w:rsid w:val="5809250B"/>
    <w:rsid w:val="58095451"/>
    <w:rsid w:val="582157B7"/>
    <w:rsid w:val="58227636"/>
    <w:rsid w:val="58384833"/>
    <w:rsid w:val="584638F4"/>
    <w:rsid w:val="585130AB"/>
    <w:rsid w:val="58564D34"/>
    <w:rsid w:val="587A1103"/>
    <w:rsid w:val="588418A2"/>
    <w:rsid w:val="589715D5"/>
    <w:rsid w:val="58975A79"/>
    <w:rsid w:val="58BA6E11"/>
    <w:rsid w:val="58C12AF6"/>
    <w:rsid w:val="58D02C31"/>
    <w:rsid w:val="58D57F7F"/>
    <w:rsid w:val="58DB209D"/>
    <w:rsid w:val="58F307D5"/>
    <w:rsid w:val="590649AC"/>
    <w:rsid w:val="590858A7"/>
    <w:rsid w:val="5914296F"/>
    <w:rsid w:val="591A6D73"/>
    <w:rsid w:val="59403789"/>
    <w:rsid w:val="59561490"/>
    <w:rsid w:val="5963340F"/>
    <w:rsid w:val="59637709"/>
    <w:rsid w:val="596E5E6A"/>
    <w:rsid w:val="59741221"/>
    <w:rsid w:val="59777658"/>
    <w:rsid w:val="598309D2"/>
    <w:rsid w:val="598C4EB2"/>
    <w:rsid w:val="59967080"/>
    <w:rsid w:val="599C5996"/>
    <w:rsid w:val="59AA17DC"/>
    <w:rsid w:val="59B43BDF"/>
    <w:rsid w:val="59BB7545"/>
    <w:rsid w:val="59C74CE3"/>
    <w:rsid w:val="5A0A227A"/>
    <w:rsid w:val="5A0E1D6B"/>
    <w:rsid w:val="5A184D97"/>
    <w:rsid w:val="5A1E7A92"/>
    <w:rsid w:val="5A2C29A8"/>
    <w:rsid w:val="5A3A32AF"/>
    <w:rsid w:val="5A492DA3"/>
    <w:rsid w:val="5A5F612B"/>
    <w:rsid w:val="5A7A7400"/>
    <w:rsid w:val="5AC43F81"/>
    <w:rsid w:val="5AD5780D"/>
    <w:rsid w:val="5AED72F3"/>
    <w:rsid w:val="5AF122EE"/>
    <w:rsid w:val="5AF56FC7"/>
    <w:rsid w:val="5B0347A3"/>
    <w:rsid w:val="5B1F19A0"/>
    <w:rsid w:val="5B4A6DD2"/>
    <w:rsid w:val="5B653C0C"/>
    <w:rsid w:val="5B765E19"/>
    <w:rsid w:val="5B835E40"/>
    <w:rsid w:val="5BA5225B"/>
    <w:rsid w:val="5BC06FFE"/>
    <w:rsid w:val="5BC63C92"/>
    <w:rsid w:val="5BF000ED"/>
    <w:rsid w:val="5BFE5E0F"/>
    <w:rsid w:val="5C052CF9"/>
    <w:rsid w:val="5C1E3DBB"/>
    <w:rsid w:val="5C291C9D"/>
    <w:rsid w:val="5C2B562F"/>
    <w:rsid w:val="5C2D654B"/>
    <w:rsid w:val="5C434944"/>
    <w:rsid w:val="5C655B7C"/>
    <w:rsid w:val="5C677510"/>
    <w:rsid w:val="5C6E4D42"/>
    <w:rsid w:val="5C734107"/>
    <w:rsid w:val="5C7560D1"/>
    <w:rsid w:val="5C7B120D"/>
    <w:rsid w:val="5C7E485A"/>
    <w:rsid w:val="5C9A29DA"/>
    <w:rsid w:val="5CB54C4F"/>
    <w:rsid w:val="5CB84210"/>
    <w:rsid w:val="5CEC5C67"/>
    <w:rsid w:val="5CEE456C"/>
    <w:rsid w:val="5D243653"/>
    <w:rsid w:val="5D393A04"/>
    <w:rsid w:val="5D675EF0"/>
    <w:rsid w:val="5D6A1882"/>
    <w:rsid w:val="5D8E5AFC"/>
    <w:rsid w:val="5D9E3405"/>
    <w:rsid w:val="5DB54D15"/>
    <w:rsid w:val="5DBA0F0B"/>
    <w:rsid w:val="5DCC4B5B"/>
    <w:rsid w:val="5DDD340B"/>
    <w:rsid w:val="5DE0757A"/>
    <w:rsid w:val="5DEE5DB8"/>
    <w:rsid w:val="5DFD2313"/>
    <w:rsid w:val="5E047173"/>
    <w:rsid w:val="5E2D7688"/>
    <w:rsid w:val="5E3C65CD"/>
    <w:rsid w:val="5E487FEC"/>
    <w:rsid w:val="5E4C1230"/>
    <w:rsid w:val="5E4D2736"/>
    <w:rsid w:val="5E543AC4"/>
    <w:rsid w:val="5E565A8E"/>
    <w:rsid w:val="5E8125D5"/>
    <w:rsid w:val="5EB90E35"/>
    <w:rsid w:val="5EC24ED2"/>
    <w:rsid w:val="5ED6597D"/>
    <w:rsid w:val="5EE8060E"/>
    <w:rsid w:val="5EF37781"/>
    <w:rsid w:val="5EF534F9"/>
    <w:rsid w:val="5EF86B45"/>
    <w:rsid w:val="5EFD426A"/>
    <w:rsid w:val="5F315310"/>
    <w:rsid w:val="5F320D14"/>
    <w:rsid w:val="5F4408D8"/>
    <w:rsid w:val="5F516722"/>
    <w:rsid w:val="5F5D0FE7"/>
    <w:rsid w:val="5F6146EB"/>
    <w:rsid w:val="5F68659C"/>
    <w:rsid w:val="5F797C86"/>
    <w:rsid w:val="5F882D59"/>
    <w:rsid w:val="5F897393"/>
    <w:rsid w:val="5F911445"/>
    <w:rsid w:val="5F9E149B"/>
    <w:rsid w:val="5F9F3465"/>
    <w:rsid w:val="5FA168CF"/>
    <w:rsid w:val="5FB87EBD"/>
    <w:rsid w:val="5FC00F4F"/>
    <w:rsid w:val="5FCA2314"/>
    <w:rsid w:val="5FCF5AF8"/>
    <w:rsid w:val="600328DF"/>
    <w:rsid w:val="60072310"/>
    <w:rsid w:val="600A6B30"/>
    <w:rsid w:val="600B265B"/>
    <w:rsid w:val="6011528E"/>
    <w:rsid w:val="601D2D07"/>
    <w:rsid w:val="60336BFF"/>
    <w:rsid w:val="60353F9F"/>
    <w:rsid w:val="607653E6"/>
    <w:rsid w:val="607C050A"/>
    <w:rsid w:val="607E5AB6"/>
    <w:rsid w:val="60805044"/>
    <w:rsid w:val="60932FCA"/>
    <w:rsid w:val="60A70B9F"/>
    <w:rsid w:val="60A70CC1"/>
    <w:rsid w:val="60AC188A"/>
    <w:rsid w:val="60B116A2"/>
    <w:rsid w:val="60C110C9"/>
    <w:rsid w:val="60CA5E20"/>
    <w:rsid w:val="60E31877"/>
    <w:rsid w:val="60EF52F0"/>
    <w:rsid w:val="6102109A"/>
    <w:rsid w:val="61133921"/>
    <w:rsid w:val="613075DF"/>
    <w:rsid w:val="613A1697"/>
    <w:rsid w:val="61404968"/>
    <w:rsid w:val="6153644A"/>
    <w:rsid w:val="616B56ED"/>
    <w:rsid w:val="617B2468"/>
    <w:rsid w:val="61961345"/>
    <w:rsid w:val="61B61EA8"/>
    <w:rsid w:val="61BE6571"/>
    <w:rsid w:val="61F47A98"/>
    <w:rsid w:val="62086704"/>
    <w:rsid w:val="621D31C2"/>
    <w:rsid w:val="62377308"/>
    <w:rsid w:val="624731C8"/>
    <w:rsid w:val="6260512D"/>
    <w:rsid w:val="6270048D"/>
    <w:rsid w:val="62740392"/>
    <w:rsid w:val="627604AD"/>
    <w:rsid w:val="627B3D15"/>
    <w:rsid w:val="62815399"/>
    <w:rsid w:val="62A570F7"/>
    <w:rsid w:val="62AA45FB"/>
    <w:rsid w:val="62DE26E8"/>
    <w:rsid w:val="62E94778"/>
    <w:rsid w:val="62F615EE"/>
    <w:rsid w:val="62F85366"/>
    <w:rsid w:val="631B1054"/>
    <w:rsid w:val="63246227"/>
    <w:rsid w:val="632B573B"/>
    <w:rsid w:val="63316ACA"/>
    <w:rsid w:val="633D3010"/>
    <w:rsid w:val="63497970"/>
    <w:rsid w:val="634E4F86"/>
    <w:rsid w:val="635A2851"/>
    <w:rsid w:val="6363432A"/>
    <w:rsid w:val="63666773"/>
    <w:rsid w:val="63715672"/>
    <w:rsid w:val="638B7F88"/>
    <w:rsid w:val="638E1826"/>
    <w:rsid w:val="638F4D78"/>
    <w:rsid w:val="63915F8F"/>
    <w:rsid w:val="639E4570"/>
    <w:rsid w:val="63A86178"/>
    <w:rsid w:val="63AE011A"/>
    <w:rsid w:val="63BE035D"/>
    <w:rsid w:val="63D10E96"/>
    <w:rsid w:val="63E636A7"/>
    <w:rsid w:val="63FF39BB"/>
    <w:rsid w:val="64545399"/>
    <w:rsid w:val="646E1562"/>
    <w:rsid w:val="649015CE"/>
    <w:rsid w:val="64B56DF7"/>
    <w:rsid w:val="64FF08D8"/>
    <w:rsid w:val="65181CEF"/>
    <w:rsid w:val="65336B29"/>
    <w:rsid w:val="653603C7"/>
    <w:rsid w:val="65362DF8"/>
    <w:rsid w:val="65377536"/>
    <w:rsid w:val="654900FB"/>
    <w:rsid w:val="6550702A"/>
    <w:rsid w:val="65523BCC"/>
    <w:rsid w:val="6554084E"/>
    <w:rsid w:val="655D3BA6"/>
    <w:rsid w:val="65610523"/>
    <w:rsid w:val="656A5FB1"/>
    <w:rsid w:val="657620B4"/>
    <w:rsid w:val="657868BA"/>
    <w:rsid w:val="65885575"/>
    <w:rsid w:val="659E16D7"/>
    <w:rsid w:val="65BB3B51"/>
    <w:rsid w:val="65C5024C"/>
    <w:rsid w:val="65C6799D"/>
    <w:rsid w:val="65CC0253"/>
    <w:rsid w:val="65CC4888"/>
    <w:rsid w:val="65DF784F"/>
    <w:rsid w:val="66353CE9"/>
    <w:rsid w:val="66372649"/>
    <w:rsid w:val="664762A1"/>
    <w:rsid w:val="66566780"/>
    <w:rsid w:val="66591008"/>
    <w:rsid w:val="665C7632"/>
    <w:rsid w:val="666C3E63"/>
    <w:rsid w:val="667217DA"/>
    <w:rsid w:val="66910EE1"/>
    <w:rsid w:val="66915AF7"/>
    <w:rsid w:val="6694184A"/>
    <w:rsid w:val="66C73EA9"/>
    <w:rsid w:val="66DC18E2"/>
    <w:rsid w:val="6711176C"/>
    <w:rsid w:val="671E7365"/>
    <w:rsid w:val="67472418"/>
    <w:rsid w:val="674A40AB"/>
    <w:rsid w:val="675668ED"/>
    <w:rsid w:val="67784CC7"/>
    <w:rsid w:val="679177C5"/>
    <w:rsid w:val="67BF433B"/>
    <w:rsid w:val="67C972D1"/>
    <w:rsid w:val="67E37916"/>
    <w:rsid w:val="67E46AF1"/>
    <w:rsid w:val="6809591F"/>
    <w:rsid w:val="683A3D2B"/>
    <w:rsid w:val="683B296D"/>
    <w:rsid w:val="68534B4F"/>
    <w:rsid w:val="68573C08"/>
    <w:rsid w:val="68757459"/>
    <w:rsid w:val="687B5FA0"/>
    <w:rsid w:val="687C5234"/>
    <w:rsid w:val="68806E4D"/>
    <w:rsid w:val="68820ED6"/>
    <w:rsid w:val="6884144A"/>
    <w:rsid w:val="68925915"/>
    <w:rsid w:val="689D43BC"/>
    <w:rsid w:val="68B47F81"/>
    <w:rsid w:val="68C11E75"/>
    <w:rsid w:val="68E7090B"/>
    <w:rsid w:val="68F24605"/>
    <w:rsid w:val="69076303"/>
    <w:rsid w:val="69174FB5"/>
    <w:rsid w:val="69270753"/>
    <w:rsid w:val="692F7608"/>
    <w:rsid w:val="69411436"/>
    <w:rsid w:val="694F1A58"/>
    <w:rsid w:val="69545442"/>
    <w:rsid w:val="695F613F"/>
    <w:rsid w:val="69653029"/>
    <w:rsid w:val="69855479"/>
    <w:rsid w:val="699C67E2"/>
    <w:rsid w:val="69D34437"/>
    <w:rsid w:val="69D514B6"/>
    <w:rsid w:val="69E119FE"/>
    <w:rsid w:val="69EB3B79"/>
    <w:rsid w:val="6A006484"/>
    <w:rsid w:val="6A022F6E"/>
    <w:rsid w:val="6A0B3BD1"/>
    <w:rsid w:val="6A2E1C6B"/>
    <w:rsid w:val="6A3A6264"/>
    <w:rsid w:val="6A420F15"/>
    <w:rsid w:val="6A424C4E"/>
    <w:rsid w:val="6A4338BE"/>
    <w:rsid w:val="6A4C25F6"/>
    <w:rsid w:val="6A5437CA"/>
    <w:rsid w:val="6A5D139E"/>
    <w:rsid w:val="6A7A0D56"/>
    <w:rsid w:val="6A7C9D40"/>
    <w:rsid w:val="6A8D1BE6"/>
    <w:rsid w:val="6A936470"/>
    <w:rsid w:val="6A9373DA"/>
    <w:rsid w:val="6AA656A7"/>
    <w:rsid w:val="6AA87B5B"/>
    <w:rsid w:val="6AAE27AE"/>
    <w:rsid w:val="6AB839BE"/>
    <w:rsid w:val="6ACB3360"/>
    <w:rsid w:val="6ACB7804"/>
    <w:rsid w:val="6B0B416F"/>
    <w:rsid w:val="6B0E58F8"/>
    <w:rsid w:val="6B1348BC"/>
    <w:rsid w:val="6B281E2F"/>
    <w:rsid w:val="6B2A62D8"/>
    <w:rsid w:val="6B36165F"/>
    <w:rsid w:val="6B3F17AA"/>
    <w:rsid w:val="6B4E4875"/>
    <w:rsid w:val="6B58791B"/>
    <w:rsid w:val="6B6712DB"/>
    <w:rsid w:val="6B693994"/>
    <w:rsid w:val="6B734BFF"/>
    <w:rsid w:val="6B792DBC"/>
    <w:rsid w:val="6B7A3866"/>
    <w:rsid w:val="6B7B5DD9"/>
    <w:rsid w:val="6BB23B13"/>
    <w:rsid w:val="6BC04E8F"/>
    <w:rsid w:val="6BE50451"/>
    <w:rsid w:val="6BE84077"/>
    <w:rsid w:val="6BEE7306"/>
    <w:rsid w:val="6C0274A7"/>
    <w:rsid w:val="6C1637BD"/>
    <w:rsid w:val="6C202F44"/>
    <w:rsid w:val="6C354F35"/>
    <w:rsid w:val="6C3948F8"/>
    <w:rsid w:val="6C502DA0"/>
    <w:rsid w:val="6C5264E5"/>
    <w:rsid w:val="6C77379F"/>
    <w:rsid w:val="6C7D1B9D"/>
    <w:rsid w:val="6C8D10DE"/>
    <w:rsid w:val="6C991968"/>
    <w:rsid w:val="6CAF619F"/>
    <w:rsid w:val="6CB04490"/>
    <w:rsid w:val="6CB26BFE"/>
    <w:rsid w:val="6CBA5193"/>
    <w:rsid w:val="6CC629C6"/>
    <w:rsid w:val="6CDB4851"/>
    <w:rsid w:val="6CEF1588"/>
    <w:rsid w:val="6CFA7F2C"/>
    <w:rsid w:val="6CFC7A9E"/>
    <w:rsid w:val="6D201310"/>
    <w:rsid w:val="6D286848"/>
    <w:rsid w:val="6D2D20B0"/>
    <w:rsid w:val="6D45389E"/>
    <w:rsid w:val="6D5C2694"/>
    <w:rsid w:val="6D5E4A16"/>
    <w:rsid w:val="6D633D24"/>
    <w:rsid w:val="6D6F091A"/>
    <w:rsid w:val="6D8B570C"/>
    <w:rsid w:val="6DD42C17"/>
    <w:rsid w:val="6DDD5FDA"/>
    <w:rsid w:val="6DE24E01"/>
    <w:rsid w:val="6DEB2D4F"/>
    <w:rsid w:val="6E037F05"/>
    <w:rsid w:val="6E0472B5"/>
    <w:rsid w:val="6E164774"/>
    <w:rsid w:val="6E1F7D5F"/>
    <w:rsid w:val="6E5666E4"/>
    <w:rsid w:val="6E5D423C"/>
    <w:rsid w:val="6E62222D"/>
    <w:rsid w:val="6E8977BA"/>
    <w:rsid w:val="6EAE0FCF"/>
    <w:rsid w:val="6EC4452A"/>
    <w:rsid w:val="6EC9320D"/>
    <w:rsid w:val="6ECC38B8"/>
    <w:rsid w:val="6ECF163D"/>
    <w:rsid w:val="6ED00F45"/>
    <w:rsid w:val="6ED22024"/>
    <w:rsid w:val="6ED80D6D"/>
    <w:rsid w:val="6ED91ED1"/>
    <w:rsid w:val="6EF74724"/>
    <w:rsid w:val="6F0E3C2E"/>
    <w:rsid w:val="6F181F26"/>
    <w:rsid w:val="6F2C2DE1"/>
    <w:rsid w:val="6F3465D4"/>
    <w:rsid w:val="6F40431D"/>
    <w:rsid w:val="6F477302"/>
    <w:rsid w:val="6F55454C"/>
    <w:rsid w:val="6F5F10A7"/>
    <w:rsid w:val="6F676490"/>
    <w:rsid w:val="6F7C10CD"/>
    <w:rsid w:val="6F857F81"/>
    <w:rsid w:val="6F916A65"/>
    <w:rsid w:val="6FB277EB"/>
    <w:rsid w:val="6FBB77AB"/>
    <w:rsid w:val="6FC00FB9"/>
    <w:rsid w:val="6FC37B4C"/>
    <w:rsid w:val="6FCF651D"/>
    <w:rsid w:val="6FDD4BFC"/>
    <w:rsid w:val="6FF36D35"/>
    <w:rsid w:val="702941FD"/>
    <w:rsid w:val="702A0B29"/>
    <w:rsid w:val="702A22EE"/>
    <w:rsid w:val="70532E5D"/>
    <w:rsid w:val="70636AF5"/>
    <w:rsid w:val="70664BE0"/>
    <w:rsid w:val="706859A2"/>
    <w:rsid w:val="706F1447"/>
    <w:rsid w:val="707906C7"/>
    <w:rsid w:val="708055A9"/>
    <w:rsid w:val="7080699B"/>
    <w:rsid w:val="7088613C"/>
    <w:rsid w:val="708D33F6"/>
    <w:rsid w:val="70A9583B"/>
    <w:rsid w:val="70FA6DA8"/>
    <w:rsid w:val="70FF799F"/>
    <w:rsid w:val="71155F5E"/>
    <w:rsid w:val="714D223A"/>
    <w:rsid w:val="71AB7A47"/>
    <w:rsid w:val="71BC7EA6"/>
    <w:rsid w:val="71D92806"/>
    <w:rsid w:val="721B2B31"/>
    <w:rsid w:val="723560A9"/>
    <w:rsid w:val="723B3BA8"/>
    <w:rsid w:val="723F4010"/>
    <w:rsid w:val="724C2FD8"/>
    <w:rsid w:val="726A345E"/>
    <w:rsid w:val="72891078"/>
    <w:rsid w:val="728A58AF"/>
    <w:rsid w:val="729071D7"/>
    <w:rsid w:val="729205CD"/>
    <w:rsid w:val="729F135A"/>
    <w:rsid w:val="72D22AA1"/>
    <w:rsid w:val="72D579E3"/>
    <w:rsid w:val="72E651DB"/>
    <w:rsid w:val="72EE408F"/>
    <w:rsid w:val="73046205"/>
    <w:rsid w:val="73092C77"/>
    <w:rsid w:val="732523F5"/>
    <w:rsid w:val="7329276F"/>
    <w:rsid w:val="733B05A6"/>
    <w:rsid w:val="734737A0"/>
    <w:rsid w:val="73490EF1"/>
    <w:rsid w:val="73492F89"/>
    <w:rsid w:val="734D525A"/>
    <w:rsid w:val="73700F48"/>
    <w:rsid w:val="73A11102"/>
    <w:rsid w:val="73C03C7E"/>
    <w:rsid w:val="73C05329"/>
    <w:rsid w:val="73C97AD2"/>
    <w:rsid w:val="73CB7CE1"/>
    <w:rsid w:val="73F60210"/>
    <w:rsid w:val="74266539"/>
    <w:rsid w:val="7443665D"/>
    <w:rsid w:val="744A2BD2"/>
    <w:rsid w:val="745814C0"/>
    <w:rsid w:val="745E614E"/>
    <w:rsid w:val="74677CD6"/>
    <w:rsid w:val="746E36DA"/>
    <w:rsid w:val="748F1C7A"/>
    <w:rsid w:val="74B031AD"/>
    <w:rsid w:val="74B221BF"/>
    <w:rsid w:val="74B6388F"/>
    <w:rsid w:val="74CE4179"/>
    <w:rsid w:val="74D23860"/>
    <w:rsid w:val="74D35128"/>
    <w:rsid w:val="74D52B6F"/>
    <w:rsid w:val="74FA31C0"/>
    <w:rsid w:val="74FC2405"/>
    <w:rsid w:val="75020B69"/>
    <w:rsid w:val="750C4CA1"/>
    <w:rsid w:val="752814FA"/>
    <w:rsid w:val="75330480"/>
    <w:rsid w:val="754601B3"/>
    <w:rsid w:val="755374DD"/>
    <w:rsid w:val="75797145"/>
    <w:rsid w:val="75812F0D"/>
    <w:rsid w:val="75842A89"/>
    <w:rsid w:val="758C0449"/>
    <w:rsid w:val="758C6643"/>
    <w:rsid w:val="758E2517"/>
    <w:rsid w:val="759F2A5E"/>
    <w:rsid w:val="75B16FA1"/>
    <w:rsid w:val="75CB06B8"/>
    <w:rsid w:val="75CB690A"/>
    <w:rsid w:val="75E1732A"/>
    <w:rsid w:val="75FC2F67"/>
    <w:rsid w:val="7603347B"/>
    <w:rsid w:val="760360A4"/>
    <w:rsid w:val="760D6DDC"/>
    <w:rsid w:val="76147566"/>
    <w:rsid w:val="76592168"/>
    <w:rsid w:val="766D187A"/>
    <w:rsid w:val="7674673D"/>
    <w:rsid w:val="7679608D"/>
    <w:rsid w:val="76AC0BFB"/>
    <w:rsid w:val="76AC7D7D"/>
    <w:rsid w:val="76B31AD3"/>
    <w:rsid w:val="76D22E4C"/>
    <w:rsid w:val="76D90BB3"/>
    <w:rsid w:val="76D96E05"/>
    <w:rsid w:val="76DA7887"/>
    <w:rsid w:val="770A0699"/>
    <w:rsid w:val="771542E1"/>
    <w:rsid w:val="771670BC"/>
    <w:rsid w:val="77291523"/>
    <w:rsid w:val="772937FE"/>
    <w:rsid w:val="77400489"/>
    <w:rsid w:val="77402735"/>
    <w:rsid w:val="776B3F01"/>
    <w:rsid w:val="777C7EBC"/>
    <w:rsid w:val="777D1E86"/>
    <w:rsid w:val="77843214"/>
    <w:rsid w:val="77894387"/>
    <w:rsid w:val="77A022D6"/>
    <w:rsid w:val="77A80CB1"/>
    <w:rsid w:val="77C27899"/>
    <w:rsid w:val="77D26013"/>
    <w:rsid w:val="77DD3383"/>
    <w:rsid w:val="78112CFA"/>
    <w:rsid w:val="78191D9D"/>
    <w:rsid w:val="781A237F"/>
    <w:rsid w:val="78212811"/>
    <w:rsid w:val="782567A5"/>
    <w:rsid w:val="785D18DA"/>
    <w:rsid w:val="785E1101"/>
    <w:rsid w:val="78734760"/>
    <w:rsid w:val="78804339"/>
    <w:rsid w:val="789409E0"/>
    <w:rsid w:val="78BD36C3"/>
    <w:rsid w:val="78D45AD6"/>
    <w:rsid w:val="78E81581"/>
    <w:rsid w:val="78F07D11"/>
    <w:rsid w:val="78FE2B52"/>
    <w:rsid w:val="7931117A"/>
    <w:rsid w:val="79343A59"/>
    <w:rsid w:val="7940316B"/>
    <w:rsid w:val="794745F4"/>
    <w:rsid w:val="79604D22"/>
    <w:rsid w:val="79676361"/>
    <w:rsid w:val="79832B7B"/>
    <w:rsid w:val="798728D3"/>
    <w:rsid w:val="7989351C"/>
    <w:rsid w:val="79915091"/>
    <w:rsid w:val="799B26EC"/>
    <w:rsid w:val="79A731EA"/>
    <w:rsid w:val="79AE6327"/>
    <w:rsid w:val="79C773E8"/>
    <w:rsid w:val="79D55FA9"/>
    <w:rsid w:val="79D638B6"/>
    <w:rsid w:val="7A10712E"/>
    <w:rsid w:val="7A2B7977"/>
    <w:rsid w:val="7A35180C"/>
    <w:rsid w:val="7A476E16"/>
    <w:rsid w:val="7A660CD8"/>
    <w:rsid w:val="7A92282C"/>
    <w:rsid w:val="7A9705E4"/>
    <w:rsid w:val="7AB169DF"/>
    <w:rsid w:val="7ACD712C"/>
    <w:rsid w:val="7ADB2EB6"/>
    <w:rsid w:val="7AE30252"/>
    <w:rsid w:val="7B1C0345"/>
    <w:rsid w:val="7B24133B"/>
    <w:rsid w:val="7B4D3D08"/>
    <w:rsid w:val="7B6E3FBF"/>
    <w:rsid w:val="7B9D48A5"/>
    <w:rsid w:val="7BC576C6"/>
    <w:rsid w:val="7BC9569A"/>
    <w:rsid w:val="7BCC6F38"/>
    <w:rsid w:val="7BF02C26"/>
    <w:rsid w:val="7BF24BEF"/>
    <w:rsid w:val="7BFB6337"/>
    <w:rsid w:val="7C0340C2"/>
    <w:rsid w:val="7C070588"/>
    <w:rsid w:val="7C0B180E"/>
    <w:rsid w:val="7C0B6CB7"/>
    <w:rsid w:val="7C122B9D"/>
    <w:rsid w:val="7C183F2B"/>
    <w:rsid w:val="7C342153"/>
    <w:rsid w:val="7C3B5358"/>
    <w:rsid w:val="7C757E9E"/>
    <w:rsid w:val="7C7A6994"/>
    <w:rsid w:val="7C7E4A7D"/>
    <w:rsid w:val="7C885555"/>
    <w:rsid w:val="7C9F3684"/>
    <w:rsid w:val="7CA801B8"/>
    <w:rsid w:val="7CA95420"/>
    <w:rsid w:val="7CC158FC"/>
    <w:rsid w:val="7CD866E7"/>
    <w:rsid w:val="7CE60F2F"/>
    <w:rsid w:val="7D16178D"/>
    <w:rsid w:val="7D1B1F25"/>
    <w:rsid w:val="7D1F5429"/>
    <w:rsid w:val="7D290D52"/>
    <w:rsid w:val="7D376633"/>
    <w:rsid w:val="7D524231"/>
    <w:rsid w:val="7D531E0F"/>
    <w:rsid w:val="7D570CC2"/>
    <w:rsid w:val="7D617D11"/>
    <w:rsid w:val="7D6E02A7"/>
    <w:rsid w:val="7DBF4A67"/>
    <w:rsid w:val="7DC45624"/>
    <w:rsid w:val="7DD277C6"/>
    <w:rsid w:val="7E235535"/>
    <w:rsid w:val="7E3A63DB"/>
    <w:rsid w:val="7E3C67B6"/>
    <w:rsid w:val="7E3E47E3"/>
    <w:rsid w:val="7E4B05E8"/>
    <w:rsid w:val="7E4D4360"/>
    <w:rsid w:val="7E9100D2"/>
    <w:rsid w:val="7EB0785F"/>
    <w:rsid w:val="7EBC3294"/>
    <w:rsid w:val="7EC02D84"/>
    <w:rsid w:val="7EDA196C"/>
    <w:rsid w:val="7EED4AC3"/>
    <w:rsid w:val="7EF2547B"/>
    <w:rsid w:val="7EFC3D40"/>
    <w:rsid w:val="7EFD1A58"/>
    <w:rsid w:val="7F0864D9"/>
    <w:rsid w:val="7F177E9D"/>
    <w:rsid w:val="7F1A159B"/>
    <w:rsid w:val="7F232194"/>
    <w:rsid w:val="7F5F4186"/>
    <w:rsid w:val="7F7736A3"/>
    <w:rsid w:val="7F7E49ED"/>
    <w:rsid w:val="7F8A7F87"/>
    <w:rsid w:val="7F8F581D"/>
    <w:rsid w:val="7FB65F35"/>
    <w:rsid w:val="7FC5261C"/>
    <w:rsid w:val="7FD708BE"/>
    <w:rsid w:val="7FDC1E3F"/>
    <w:rsid w:val="7FDF36FC"/>
    <w:rsid w:val="7FF547AE"/>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heme="minorBidi"/>
      <w:sz w:val="24"/>
      <w:lang w:val="en-US" w:eastAsia="zh-CN" w:bidi="ar-SA"/>
    </w:rPr>
  </w:style>
  <w:style w:type="paragraph" w:styleId="2">
    <w:name w:val="heading 1"/>
    <w:basedOn w:val="1"/>
    <w:next w:val="1"/>
    <w:link w:val="8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2"/>
    <w:unhideWhenUsed/>
    <w:qFormat/>
    <w:uiPriority w:val="0"/>
    <w:pPr>
      <w:keepNext/>
      <w:keepLines/>
      <w:spacing w:before="260" w:after="260" w:line="416" w:lineRule="auto"/>
      <w:jc w:val="center"/>
      <w:outlineLvl w:val="1"/>
    </w:pPr>
    <w:rPr>
      <w:rFonts w:ascii="Cambria" w:hAnsi="Cambria" w:cs="Times New Roman"/>
      <w:b/>
      <w:bCs/>
      <w:kern w:val="2"/>
      <w:sz w:val="28"/>
      <w:szCs w:val="28"/>
    </w:rPr>
  </w:style>
  <w:style w:type="paragraph" w:styleId="4">
    <w:name w:val="heading 3"/>
    <w:basedOn w:val="1"/>
    <w:next w:val="1"/>
    <w:link w:val="91"/>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6"/>
    <w:qFormat/>
    <w:uiPriority w:val="0"/>
    <w:pPr>
      <w:keepNext/>
      <w:keepLines/>
      <w:spacing w:before="280" w:after="290" w:line="376" w:lineRule="auto"/>
      <w:outlineLvl w:val="3"/>
    </w:pPr>
    <w:rPr>
      <w:b/>
      <w:bCs/>
      <w:sz w:val="28"/>
      <w:szCs w:val="28"/>
    </w:rPr>
  </w:style>
  <w:style w:type="paragraph" w:styleId="6">
    <w:name w:val="heading 5"/>
    <w:basedOn w:val="1"/>
    <w:next w:val="1"/>
    <w:link w:val="103"/>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4"/>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5"/>
    <w:qFormat/>
    <w:uiPriority w:val="0"/>
    <w:pPr>
      <w:tabs>
        <w:tab w:val="left" w:pos="1800"/>
        <w:tab w:val="clear" w:pos="1440"/>
      </w:tabs>
      <w:ind w:left="1276" w:hanging="1276"/>
      <w:outlineLvl w:val="6"/>
    </w:pPr>
  </w:style>
  <w:style w:type="paragraph" w:styleId="9">
    <w:name w:val="heading 8"/>
    <w:basedOn w:val="1"/>
    <w:next w:val="1"/>
    <w:link w:val="106"/>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7"/>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semiHidden/>
    <w:unhideWhenUsed/>
    <w:qFormat/>
    <w:uiPriority w:val="1"/>
  </w:style>
  <w:style w:type="table" w:default="1" w:styleId="5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unhideWhenUsed/>
    <w:qFormat/>
    <w:uiPriority w:val="39"/>
    <w:pPr>
      <w:ind w:left="1260"/>
      <w:jc w:val="left"/>
    </w:pPr>
    <w:rPr>
      <w:rFonts w:ascii="Calibri" w:hAnsi="Calibri" w:cs="Calibri"/>
      <w:kern w:val="2"/>
      <w:sz w:val="18"/>
      <w:szCs w:val="18"/>
    </w:rPr>
  </w:style>
  <w:style w:type="paragraph" w:styleId="13">
    <w:name w:val="Normal Indent"/>
    <w:basedOn w:val="1"/>
    <w:next w:val="1"/>
    <w:qFormat/>
    <w:uiPriority w:val="0"/>
    <w:pPr>
      <w:autoSpaceDE w:val="0"/>
      <w:autoSpaceDN w:val="0"/>
      <w:adjustRightInd w:val="0"/>
      <w:ind w:firstLine="420"/>
      <w:jc w:val="left"/>
    </w:pPr>
    <w:rPr>
      <w:rFonts w:hAnsi="Times New Roman" w:cs="Times New Roman"/>
    </w:rPr>
  </w:style>
  <w:style w:type="paragraph" w:styleId="14">
    <w:name w:val="caption"/>
    <w:basedOn w:val="1"/>
    <w:next w:val="1"/>
    <w:qFormat/>
    <w:uiPriority w:val="0"/>
    <w:pPr>
      <w:spacing w:before="152" w:after="160"/>
    </w:pPr>
    <w:rPr>
      <w:rFonts w:ascii="Arial" w:hAnsi="Arial" w:eastAsia="黑体" w:cs="Arial"/>
      <w:kern w:val="2"/>
    </w:rPr>
  </w:style>
  <w:style w:type="paragraph" w:styleId="15">
    <w:name w:val="Document Map"/>
    <w:basedOn w:val="1"/>
    <w:link w:val="152"/>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8"/>
    <w:qFormat/>
    <w:uiPriority w:val="0"/>
    <w:pPr>
      <w:jc w:val="left"/>
    </w:pPr>
    <w:rPr>
      <w:rFonts w:ascii="Arial" w:hAnsi="Arial" w:eastAsia="黑体" w:cs="Arial"/>
    </w:rPr>
  </w:style>
  <w:style w:type="paragraph" w:styleId="17">
    <w:name w:val="Salutation"/>
    <w:basedOn w:val="1"/>
    <w:next w:val="1"/>
    <w:link w:val="118"/>
    <w:qFormat/>
    <w:uiPriority w:val="0"/>
    <w:rPr>
      <w:rFonts w:ascii="仿宋_GB2312" w:hAnsi="Times New Roman" w:eastAsia="仿宋_GB2312" w:cs="Times New Roman"/>
      <w:kern w:val="2"/>
      <w:sz w:val="28"/>
      <w:lang w:val="zh-CN"/>
    </w:rPr>
  </w:style>
  <w:style w:type="paragraph" w:styleId="18">
    <w:name w:val="Body Text 3"/>
    <w:basedOn w:val="1"/>
    <w:link w:val="138"/>
    <w:qFormat/>
    <w:uiPriority w:val="0"/>
    <w:pPr>
      <w:adjustRightInd w:val="0"/>
      <w:snapToGrid w:val="0"/>
    </w:pPr>
    <w:rPr>
      <w:rFonts w:ascii="仿宋_GB2312" w:eastAsia="仿宋_GB2312" w:cs="Times New Roman"/>
      <w:bCs/>
      <w:color w:val="000000"/>
      <w:kern w:val="2"/>
      <w:szCs w:val="32"/>
      <w:lang w:val="zh-CN"/>
    </w:rPr>
  </w:style>
  <w:style w:type="paragraph" w:styleId="19">
    <w:name w:val="Body Text"/>
    <w:basedOn w:val="1"/>
    <w:link w:val="97"/>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12"/>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qFormat/>
    <w:uiPriority w:val="0"/>
  </w:style>
  <w:style w:type="paragraph" w:styleId="22">
    <w:name w:val="List 2"/>
    <w:basedOn w:val="1"/>
    <w:qFormat/>
    <w:uiPriority w:val="0"/>
    <w:pPr>
      <w:ind w:left="100" w:leftChars="200" w:hanging="200" w:hangingChars="200"/>
    </w:pPr>
    <w:rPr>
      <w:rFonts w:ascii="Calibri" w:hAnsi="Calibri" w:cs="Times New Roman"/>
      <w:kern w:val="2"/>
      <w:sz w:val="21"/>
      <w:szCs w:val="22"/>
    </w:rPr>
  </w:style>
  <w:style w:type="paragraph" w:styleId="23">
    <w:name w:val="List Continue"/>
    <w:basedOn w:val="1"/>
    <w:qFormat/>
    <w:uiPriority w:val="0"/>
    <w:pPr>
      <w:spacing w:after="120"/>
      <w:ind w:left="420" w:leftChars="200"/>
    </w:pPr>
    <w:rPr>
      <w:rFonts w:ascii="Calibri" w:hAnsi="Calibri" w:cs="Times New Roman"/>
      <w:kern w:val="2"/>
      <w:sz w:val="21"/>
      <w:szCs w:val="22"/>
    </w:rPr>
  </w:style>
  <w:style w:type="paragraph" w:styleId="24">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qFormat/>
    <w:uiPriority w:val="0"/>
    <w:pPr>
      <w:ind w:left="600" w:leftChars="600"/>
    </w:pPr>
    <w:rPr>
      <w:rFonts w:ascii="Times New Roman" w:hAnsi="Times New Roman" w:cs="Times New Roman"/>
      <w:kern w:val="2"/>
      <w:sz w:val="21"/>
      <w:szCs w:val="24"/>
    </w:rPr>
  </w:style>
  <w:style w:type="paragraph" w:styleId="26">
    <w:name w:val="toc 5"/>
    <w:basedOn w:val="1"/>
    <w:next w:val="1"/>
    <w:unhideWhenUsed/>
    <w:qFormat/>
    <w:uiPriority w:val="39"/>
    <w:pPr>
      <w:ind w:left="840"/>
      <w:jc w:val="left"/>
    </w:pPr>
    <w:rPr>
      <w:rFonts w:ascii="Calibri" w:hAnsi="Calibri" w:cs="Calibri"/>
      <w:kern w:val="2"/>
      <w:sz w:val="18"/>
      <w:szCs w:val="18"/>
    </w:rPr>
  </w:style>
  <w:style w:type="paragraph" w:styleId="27">
    <w:name w:val="toc 3"/>
    <w:basedOn w:val="1"/>
    <w:next w:val="1"/>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7"/>
    <w:qFormat/>
    <w:uiPriority w:val="0"/>
    <w:rPr>
      <w:rFonts w:hAnsi="Courier New" w:eastAsiaTheme="minorEastAsia"/>
      <w:szCs w:val="22"/>
    </w:rPr>
  </w:style>
  <w:style w:type="paragraph" w:styleId="29">
    <w:name w:val="toc 8"/>
    <w:basedOn w:val="1"/>
    <w:next w:val="1"/>
    <w:unhideWhenUsed/>
    <w:qFormat/>
    <w:uiPriority w:val="39"/>
    <w:pPr>
      <w:ind w:left="1470"/>
      <w:jc w:val="left"/>
    </w:pPr>
    <w:rPr>
      <w:rFonts w:ascii="Calibri" w:hAnsi="Calibri" w:cs="Calibri"/>
      <w:kern w:val="2"/>
      <w:sz w:val="18"/>
      <w:szCs w:val="18"/>
    </w:rPr>
  </w:style>
  <w:style w:type="paragraph" w:styleId="30">
    <w:name w:val="Date"/>
    <w:basedOn w:val="1"/>
    <w:next w:val="1"/>
    <w:link w:val="84"/>
    <w:qFormat/>
    <w:uiPriority w:val="0"/>
    <w:rPr>
      <w:rFonts w:ascii="Arial" w:hAnsi="Arial" w:cs="Arial"/>
      <w:b/>
      <w:sz w:val="28"/>
    </w:rPr>
  </w:style>
  <w:style w:type="paragraph" w:styleId="31">
    <w:name w:val="Body Text Indent 2"/>
    <w:basedOn w:val="1"/>
    <w:link w:val="134"/>
    <w:qFormat/>
    <w:uiPriority w:val="0"/>
    <w:pPr>
      <w:widowControl/>
      <w:overflowPunct w:val="0"/>
      <w:autoSpaceDE w:val="0"/>
      <w:autoSpaceDN w:val="0"/>
      <w:adjustRightInd w:val="0"/>
      <w:ind w:firstLine="555"/>
      <w:textAlignment w:val="baseline"/>
    </w:pPr>
    <w:rPr>
      <w:rFonts w:hAnsi="MS Sans Serif" w:cs="Times New Roman"/>
      <w:bCs/>
      <w:spacing w:val="12"/>
      <w:lang w:val="zh-CN"/>
    </w:rPr>
  </w:style>
  <w:style w:type="paragraph" w:styleId="32">
    <w:name w:val="Balloon Text"/>
    <w:basedOn w:val="1"/>
    <w:link w:val="71"/>
    <w:unhideWhenUsed/>
    <w:qFormat/>
    <w:uiPriority w:val="0"/>
    <w:rPr>
      <w:sz w:val="18"/>
      <w:szCs w:val="18"/>
    </w:rPr>
  </w:style>
  <w:style w:type="paragraph" w:styleId="33">
    <w:name w:val="footer"/>
    <w:basedOn w:val="1"/>
    <w:link w:val="76"/>
    <w:unhideWhenUsed/>
    <w:qFormat/>
    <w:uiPriority w:val="99"/>
    <w:pPr>
      <w:tabs>
        <w:tab w:val="center" w:pos="4153"/>
        <w:tab w:val="right" w:pos="8306"/>
      </w:tabs>
      <w:snapToGrid w:val="0"/>
      <w:jc w:val="left"/>
    </w:pPr>
    <w:rPr>
      <w:sz w:val="18"/>
      <w:szCs w:val="18"/>
    </w:rPr>
  </w:style>
  <w:style w:type="paragraph" w:styleId="34">
    <w:name w:val="header"/>
    <w:basedOn w:val="1"/>
    <w:link w:val="75"/>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qFormat/>
    <w:uiPriority w:val="0"/>
    <w:pPr>
      <w:spacing w:after="120"/>
      <w:ind w:left="1680" w:leftChars="800"/>
    </w:pPr>
    <w:rPr>
      <w:rFonts w:ascii="Calibri" w:hAnsi="Calibri" w:cs="Times New Roman"/>
      <w:kern w:val="2"/>
      <w:sz w:val="21"/>
      <w:szCs w:val="22"/>
    </w:rPr>
  </w:style>
  <w:style w:type="paragraph" w:styleId="37">
    <w:name w:val="toc 4"/>
    <w:basedOn w:val="1"/>
    <w:next w:val="1"/>
    <w:unhideWhenUsed/>
    <w:qFormat/>
    <w:uiPriority w:val="39"/>
    <w:pPr>
      <w:ind w:left="630"/>
      <w:jc w:val="left"/>
    </w:pPr>
    <w:rPr>
      <w:rFonts w:ascii="Calibri" w:hAnsi="Calibri" w:cs="Calibri"/>
      <w:kern w:val="2"/>
      <w:sz w:val="18"/>
      <w:szCs w:val="18"/>
    </w:rPr>
  </w:style>
  <w:style w:type="paragraph" w:styleId="38">
    <w:name w:val="index heading"/>
    <w:basedOn w:val="1"/>
    <w:next w:val="39"/>
    <w:semiHidden/>
    <w:qFormat/>
    <w:uiPriority w:val="0"/>
    <w:rPr>
      <w:rFonts w:ascii="Times New Roman" w:hAnsi="Times New Roman" w:cs="Times New Roman"/>
      <w:kern w:val="2"/>
      <w:sz w:val="21"/>
      <w:szCs w:val="24"/>
    </w:rPr>
  </w:style>
  <w:style w:type="paragraph" w:styleId="39">
    <w:name w:val="index 1"/>
    <w:basedOn w:val="1"/>
    <w:next w:val="1"/>
    <w:qFormat/>
    <w:uiPriority w:val="0"/>
    <w:pPr>
      <w:ind w:firstLine="480"/>
      <w:jc w:val="center"/>
    </w:pPr>
    <w:rPr>
      <w:rFonts w:cs="Arial"/>
      <w:bCs/>
      <w:i/>
      <w:color w:val="000000" w:themeColor="text1"/>
      <w14:textFill>
        <w14:solidFill>
          <w14:schemeClr w14:val="tx1"/>
        </w14:solidFill>
      </w14:textFill>
    </w:rPr>
  </w:style>
  <w:style w:type="paragraph" w:styleId="40">
    <w:name w:val="Subtitle"/>
    <w:basedOn w:val="1"/>
    <w:link w:val="226"/>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qFormat/>
    <w:uiPriority w:val="0"/>
    <w:pPr>
      <w:ind w:left="200" w:hanging="200" w:hangingChars="200"/>
    </w:pPr>
    <w:rPr>
      <w:rFonts w:ascii="Calibri" w:hAnsi="Calibri" w:cs="Times New Roman"/>
      <w:kern w:val="2"/>
      <w:sz w:val="21"/>
      <w:szCs w:val="22"/>
    </w:rPr>
  </w:style>
  <w:style w:type="paragraph" w:styleId="42">
    <w:name w:val="footnote text"/>
    <w:basedOn w:val="1"/>
    <w:link w:val="114"/>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unhideWhenUsed/>
    <w:qFormat/>
    <w:uiPriority w:val="39"/>
    <w:pPr>
      <w:ind w:left="1050"/>
      <w:jc w:val="left"/>
    </w:pPr>
    <w:rPr>
      <w:rFonts w:ascii="Calibri" w:hAnsi="Calibri" w:cs="Calibri"/>
      <w:kern w:val="2"/>
      <w:sz w:val="18"/>
      <w:szCs w:val="18"/>
    </w:rPr>
  </w:style>
  <w:style w:type="paragraph" w:styleId="44">
    <w:name w:val="Body Text Indent 3"/>
    <w:basedOn w:val="1"/>
    <w:link w:val="133"/>
    <w:qFormat/>
    <w:uiPriority w:val="0"/>
    <w:pPr>
      <w:widowControl/>
      <w:overflowPunct w:val="0"/>
      <w:autoSpaceDE w:val="0"/>
      <w:autoSpaceDN w:val="0"/>
      <w:adjustRightInd w:val="0"/>
      <w:ind w:firstLine="540"/>
      <w:textAlignment w:val="baseline"/>
    </w:pPr>
    <w:rPr>
      <w:rFonts w:hAnsi="MS Sans Serif" w:cs="Times New Roman"/>
      <w:bCs/>
      <w:color w:val="000000"/>
      <w:lang w:val="zh-CN"/>
    </w:rPr>
  </w:style>
  <w:style w:type="paragraph" w:styleId="45">
    <w:name w:val="toc 2"/>
    <w:basedOn w:val="1"/>
    <w:next w:val="1"/>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unhideWhenUsed/>
    <w:qFormat/>
    <w:uiPriority w:val="39"/>
    <w:pPr>
      <w:ind w:left="1680"/>
      <w:jc w:val="left"/>
    </w:pPr>
    <w:rPr>
      <w:rFonts w:ascii="Calibri" w:hAnsi="Calibri" w:cs="Calibri"/>
      <w:kern w:val="2"/>
      <w:sz w:val="18"/>
      <w:szCs w:val="18"/>
    </w:rPr>
  </w:style>
  <w:style w:type="paragraph" w:styleId="47">
    <w:name w:val="Body Text 2"/>
    <w:basedOn w:val="1"/>
    <w:link w:val="137"/>
    <w:qFormat/>
    <w:uiPriority w:val="0"/>
    <w:rPr>
      <w:rFonts w:hAnsi="Times New Roman" w:cs="Times New Roman"/>
      <w:spacing w:val="-20"/>
      <w:kern w:val="2"/>
      <w:sz w:val="28"/>
      <w:lang w:val="zh-CN"/>
    </w:rPr>
  </w:style>
  <w:style w:type="paragraph" w:styleId="48">
    <w:name w:val="List 4"/>
    <w:basedOn w:val="1"/>
    <w:qFormat/>
    <w:uiPriority w:val="0"/>
    <w:pPr>
      <w:ind w:left="100" w:leftChars="600" w:hanging="200" w:hangingChars="200"/>
    </w:pPr>
    <w:rPr>
      <w:rFonts w:ascii="Calibri" w:hAnsi="Calibri" w:cs="Times New Roman"/>
      <w:kern w:val="2"/>
      <w:sz w:val="21"/>
      <w:szCs w:val="22"/>
    </w:rPr>
  </w:style>
  <w:style w:type="paragraph" w:styleId="49">
    <w:name w:val="List Continue 2"/>
    <w:basedOn w:val="1"/>
    <w:qFormat/>
    <w:uiPriority w:val="0"/>
    <w:pPr>
      <w:spacing w:after="120"/>
      <w:ind w:left="840" w:leftChars="400"/>
    </w:pPr>
    <w:rPr>
      <w:rFonts w:ascii="Calibri" w:hAnsi="Calibri" w:cs="Times New Roman"/>
      <w:kern w:val="2"/>
      <w:sz w:val="21"/>
      <w:szCs w:val="22"/>
    </w:rPr>
  </w:style>
  <w:style w:type="paragraph" w:styleId="50">
    <w:name w:val="Message Header"/>
    <w:basedOn w:val="1"/>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qFormat/>
    <w:uiPriority w:val="0"/>
    <w:pPr>
      <w:widowControl/>
      <w:spacing w:before="100" w:beforeAutospacing="1" w:after="100" w:afterAutospacing="1"/>
      <w:jc w:val="left"/>
    </w:pPr>
    <w:rPr>
      <w:rFonts w:cs="宋体"/>
      <w:color w:val="0066CC"/>
      <w:szCs w:val="24"/>
    </w:rPr>
  </w:style>
  <w:style w:type="paragraph" w:styleId="52">
    <w:name w:val="Title"/>
    <w:basedOn w:val="3"/>
    <w:next w:val="1"/>
    <w:link w:val="141"/>
    <w:qFormat/>
    <w:uiPriority w:val="0"/>
    <w:pPr>
      <w:spacing w:before="0" w:after="0" w:line="360" w:lineRule="auto"/>
    </w:pPr>
    <w:rPr>
      <w:rFonts w:ascii="宋体" w:hAnsi="宋体" w:eastAsia="黑体"/>
      <w:bCs w:val="0"/>
      <w:smallCaps/>
      <w:snapToGrid w:val="0"/>
      <w:sz w:val="44"/>
      <w:szCs w:val="24"/>
    </w:rPr>
  </w:style>
  <w:style w:type="paragraph" w:styleId="53">
    <w:name w:val="annotation subject"/>
    <w:basedOn w:val="16"/>
    <w:next w:val="16"/>
    <w:link w:val="99"/>
    <w:unhideWhenUsed/>
    <w:qFormat/>
    <w:uiPriority w:val="0"/>
    <w:rPr>
      <w:rFonts w:ascii="宋体" w:hAnsi="宋体" w:eastAsia="宋体" w:cstheme="minorBidi"/>
      <w:b/>
      <w:bCs/>
    </w:rPr>
  </w:style>
  <w:style w:type="paragraph" w:styleId="54">
    <w:name w:val="Body Text First Indent"/>
    <w:basedOn w:val="19"/>
    <w:link w:val="275"/>
    <w:unhideWhenUsed/>
    <w:qFormat/>
    <w:uiPriority w:val="99"/>
    <w:pPr>
      <w:ind w:firstLine="420" w:firstLineChars="100"/>
    </w:pPr>
  </w:style>
  <w:style w:type="paragraph" w:styleId="55">
    <w:name w:val="Body Text First Indent 2"/>
    <w:basedOn w:val="20"/>
    <w:link w:val="277"/>
    <w:unhideWhenUsed/>
    <w:qFormat/>
    <w:uiPriority w:val="99"/>
    <w:pPr>
      <w:ind w:firstLine="420"/>
    </w:pPr>
    <w:rPr>
      <w:rFonts w:ascii="Calibri" w:hAnsi="Calibri"/>
    </w:rPr>
  </w:style>
  <w:style w:type="table" w:styleId="57">
    <w:name w:val="Table Grid"/>
    <w:basedOn w:val="5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qFormat/>
    <w:uiPriority w:val="0"/>
    <w:rPr>
      <w:b/>
      <w:bCs/>
    </w:rPr>
  </w:style>
  <w:style w:type="character" w:styleId="60">
    <w:name w:val="page number"/>
    <w:basedOn w:val="58"/>
    <w:qFormat/>
    <w:uiPriority w:val="0"/>
  </w:style>
  <w:style w:type="character" w:styleId="61">
    <w:name w:val="FollowedHyperlink"/>
    <w:basedOn w:val="58"/>
    <w:semiHidden/>
    <w:unhideWhenUsed/>
    <w:qFormat/>
    <w:uiPriority w:val="99"/>
    <w:rPr>
      <w:color w:val="800080" w:themeColor="followedHyperlink"/>
      <w:u w:val="single"/>
      <w14:textFill>
        <w14:solidFill>
          <w14:schemeClr w14:val="folHlink"/>
        </w14:solidFill>
      </w14:textFill>
    </w:rPr>
  </w:style>
  <w:style w:type="character" w:styleId="62">
    <w:name w:val="Emphasis"/>
    <w:qFormat/>
    <w:uiPriority w:val="0"/>
    <w:rPr>
      <w:color w:val="CC0033"/>
    </w:rPr>
  </w:style>
  <w:style w:type="character" w:styleId="63">
    <w:name w:val="Hyperlink"/>
    <w:basedOn w:val="58"/>
    <w:unhideWhenUsed/>
    <w:qFormat/>
    <w:uiPriority w:val="99"/>
    <w:rPr>
      <w:color w:val="0000FF" w:themeColor="hyperlink"/>
      <w:u w:val="single"/>
      <w14:textFill>
        <w14:solidFill>
          <w14:schemeClr w14:val="hlink"/>
        </w14:solidFill>
      </w14:textFill>
    </w:rPr>
  </w:style>
  <w:style w:type="character" w:styleId="64">
    <w:name w:val="annotation reference"/>
    <w:basedOn w:val="58"/>
    <w:unhideWhenUsed/>
    <w:qFormat/>
    <w:uiPriority w:val="0"/>
    <w:rPr>
      <w:sz w:val="21"/>
      <w:szCs w:val="21"/>
    </w:rPr>
  </w:style>
  <w:style w:type="character" w:styleId="65">
    <w:name w:val="footnote reference"/>
    <w:unhideWhenUsed/>
    <w:qFormat/>
    <w:uiPriority w:val="0"/>
    <w:rPr>
      <w:vertAlign w:val="superscript"/>
    </w:rPr>
  </w:style>
  <w:style w:type="character" w:styleId="66">
    <w:name w:val="HTML Sample"/>
    <w:qFormat/>
    <w:uiPriority w:val="0"/>
    <w:rPr>
      <w:rFonts w:hint="default" w:ascii="monospace" w:hAnsi="monospace" w:eastAsia="monospace" w:cs="monospace"/>
      <w:sz w:val="21"/>
      <w:szCs w:val="21"/>
    </w:rPr>
  </w:style>
  <w:style w:type="paragraph" w:customStyle="1" w:styleId="67">
    <w:name w:val="BodyText1I"/>
    <w:basedOn w:val="68"/>
    <w:qFormat/>
    <w:uiPriority w:val="0"/>
    <w:pPr>
      <w:ind w:firstLine="420" w:firstLineChars="100"/>
    </w:pPr>
  </w:style>
  <w:style w:type="paragraph" w:customStyle="1" w:styleId="68">
    <w:name w:val="BodyText"/>
    <w:basedOn w:val="1"/>
    <w:next w:val="69"/>
    <w:qFormat/>
    <w:uiPriority w:val="0"/>
    <w:pPr>
      <w:widowControl/>
      <w:snapToGrid w:val="0"/>
      <w:spacing w:line="240" w:lineRule="auto"/>
      <w:jc w:val="left"/>
      <w:textAlignment w:val="baseline"/>
    </w:pPr>
    <w:rPr>
      <w:color w:val="000000"/>
      <w:szCs w:val="24"/>
      <w:lang w:val="zh-CN" w:bidi="zh-CN"/>
    </w:rPr>
  </w:style>
  <w:style w:type="paragraph" w:customStyle="1" w:styleId="69">
    <w:name w:val="Acetate"/>
    <w:basedOn w:val="1"/>
    <w:qFormat/>
    <w:uiPriority w:val="0"/>
    <w:pPr>
      <w:widowControl/>
      <w:snapToGrid w:val="0"/>
      <w:spacing w:line="240" w:lineRule="auto"/>
      <w:jc w:val="left"/>
      <w:textAlignment w:val="baseline"/>
    </w:pPr>
    <w:rPr>
      <w:rFonts w:ascii="Times New Roman" w:hAnsi="Times New Roman" w:eastAsia="Arial"/>
      <w:color w:val="000000"/>
      <w:sz w:val="18"/>
      <w:szCs w:val="18"/>
    </w:rPr>
  </w:style>
  <w:style w:type="paragraph" w:customStyle="1" w:styleId="70">
    <w:name w:val="五级目录"/>
    <w:basedOn w:val="1"/>
    <w:qFormat/>
    <w:uiPriority w:val="0"/>
    <w:pPr>
      <w:ind w:left="150" w:leftChars="150"/>
      <w:outlineLvl w:val="4"/>
    </w:pPr>
    <w:rPr>
      <w:rFonts w:ascii="黑体" w:hAnsi="Times New Roman"/>
      <w:szCs w:val="28"/>
    </w:rPr>
  </w:style>
  <w:style w:type="character" w:customStyle="1" w:styleId="71">
    <w:name w:val="批注框文本 字符"/>
    <w:basedOn w:val="58"/>
    <w:link w:val="32"/>
    <w:qFormat/>
    <w:uiPriority w:val="0"/>
    <w:rPr>
      <w:rFonts w:ascii="@仿宋_GB2312" w:hAnsi="@仿宋_GB2312" w:eastAsia="@仿宋_GB2312" w:cs="@仿宋_GB2312"/>
      <w:sz w:val="18"/>
      <w:szCs w:val="18"/>
    </w:rPr>
  </w:style>
  <w:style w:type="paragraph" w:customStyle="1" w:styleId="72">
    <w:name w:val="正文（缩进）"/>
    <w:basedOn w:val="1"/>
    <w:qFormat/>
    <w:uiPriority w:val="0"/>
    <w:pPr>
      <w:widowControl/>
      <w:spacing w:before="156" w:after="156"/>
      <w:ind w:firstLine="480"/>
      <w:jc w:val="left"/>
    </w:pPr>
    <w:rPr>
      <w:szCs w:val="24"/>
    </w:rPr>
  </w:style>
  <w:style w:type="paragraph" w:customStyle="1" w:styleId="73">
    <w:name w:val="xl31"/>
    <w:basedOn w:val="1"/>
    <w:qFormat/>
    <w:uiPriority w:val="0"/>
    <w:pPr>
      <w:ind w:firstLine="0" w:firstLineChars="0"/>
    </w:pPr>
    <w:rPr>
      <w:rFonts w:cs="宋体"/>
      <w:bCs/>
      <w:color w:val="000000" w:themeColor="text1"/>
      <w:szCs w:val="24"/>
      <w14:textFill>
        <w14:solidFill>
          <w14:schemeClr w14:val="tx1"/>
        </w14:solidFill>
      </w14:textFill>
    </w:rPr>
  </w:style>
  <w:style w:type="paragraph" w:customStyle="1" w:styleId="74">
    <w:name w:val="D&amp;L"/>
    <w:basedOn w:val="34"/>
    <w:qFormat/>
    <w:uiPriority w:val="0"/>
    <w:pPr>
      <w:pBdr>
        <w:bottom w:val="none" w:color="auto" w:sz="0" w:space="0"/>
      </w:pBdr>
      <w:tabs>
        <w:tab w:val="clear" w:pos="4153"/>
        <w:tab w:val="clear" w:pos="8306"/>
      </w:tabs>
      <w:snapToGrid/>
    </w:pPr>
    <w:rPr>
      <w:rFonts w:cs="宋体"/>
      <w:bCs/>
      <w:kern w:val="2"/>
      <w:sz w:val="24"/>
      <w:szCs w:val="24"/>
    </w:rPr>
  </w:style>
  <w:style w:type="character" w:customStyle="1" w:styleId="75">
    <w:name w:val="页眉 字符"/>
    <w:basedOn w:val="58"/>
    <w:link w:val="34"/>
    <w:qFormat/>
    <w:uiPriority w:val="99"/>
    <w:rPr>
      <w:rFonts w:ascii="@仿宋_GB2312" w:hAnsi="@仿宋_GB2312" w:eastAsia="@仿宋_GB2312" w:cs="@仿宋_GB2312"/>
      <w:sz w:val="18"/>
      <w:szCs w:val="18"/>
    </w:rPr>
  </w:style>
  <w:style w:type="character" w:customStyle="1" w:styleId="76">
    <w:name w:val="页脚 字符"/>
    <w:basedOn w:val="58"/>
    <w:link w:val="33"/>
    <w:qFormat/>
    <w:uiPriority w:val="99"/>
    <w:rPr>
      <w:rFonts w:ascii="@仿宋_GB2312" w:hAnsi="@仿宋_GB2312" w:eastAsia="@仿宋_GB2312" w:cs="@仿宋_GB2312"/>
      <w:sz w:val="18"/>
      <w:szCs w:val="18"/>
    </w:rPr>
  </w:style>
  <w:style w:type="character" w:customStyle="1" w:styleId="77">
    <w:name w:val="纯文本 字符"/>
    <w:link w:val="28"/>
    <w:qFormat/>
    <w:uiPriority w:val="0"/>
    <w:rPr>
      <w:rFonts w:ascii="宋体" w:hAnsi="Courier New"/>
    </w:rPr>
  </w:style>
  <w:style w:type="character" w:customStyle="1" w:styleId="78">
    <w:name w:val="纯文本 字符1"/>
    <w:basedOn w:val="58"/>
    <w:semiHidden/>
    <w:qFormat/>
    <w:uiPriority w:val="99"/>
    <w:rPr>
      <w:rFonts w:hAnsi="Courier New" w:cs="Courier New" w:asciiTheme="minorEastAsia"/>
      <w:szCs w:val="20"/>
    </w:rPr>
  </w:style>
  <w:style w:type="character" w:customStyle="1" w:styleId="79">
    <w:name w:val="未处理的提及1"/>
    <w:basedOn w:val="58"/>
    <w:semiHidden/>
    <w:unhideWhenUsed/>
    <w:qFormat/>
    <w:uiPriority w:val="99"/>
    <w:rPr>
      <w:color w:val="605E5C"/>
      <w:shd w:val="clear" w:color="auto" w:fill="E1DFDD"/>
    </w:rPr>
  </w:style>
  <w:style w:type="paragraph" w:styleId="80">
    <w:name w:val="List Paragraph"/>
    <w:basedOn w:val="1"/>
    <w:qFormat/>
    <w:uiPriority w:val="34"/>
    <w:pPr>
      <w:numPr>
        <w:ilvl w:val="0"/>
        <w:numId w:val="1"/>
      </w:numPr>
      <w:ind w:firstLine="0" w:firstLineChars="0"/>
      <w:jc w:val="left"/>
    </w:pPr>
  </w:style>
  <w:style w:type="paragraph" w:customStyle="1" w:styleId="81">
    <w:name w:val="Char Char Char Char Char Char Char1 Char"/>
    <w:basedOn w:val="1"/>
    <w:qFormat/>
    <w:uiPriority w:val="0"/>
    <w:rPr>
      <w:rFonts w:ascii="Arial" w:hAnsi="Arial" w:cs="Arial"/>
    </w:rPr>
  </w:style>
  <w:style w:type="table" w:customStyle="1" w:styleId="82">
    <w:name w:val="网格表 1 浅色1"/>
    <w:basedOn w:val="56"/>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3">
    <w:name w:val="日期 字符"/>
    <w:basedOn w:val="58"/>
    <w:semiHidden/>
    <w:qFormat/>
    <w:uiPriority w:val="99"/>
    <w:rPr>
      <w:rFonts w:ascii="@仿宋_GB2312" w:hAnsi="@仿宋_GB2312" w:eastAsia="@仿宋_GB2312" w:cs="@仿宋_GB2312"/>
      <w:szCs w:val="20"/>
    </w:rPr>
  </w:style>
  <w:style w:type="character" w:customStyle="1" w:styleId="84">
    <w:name w:val="日期 字符1"/>
    <w:link w:val="30"/>
    <w:qFormat/>
    <w:uiPriority w:val="0"/>
    <w:rPr>
      <w:rFonts w:ascii="Arial" w:hAnsi="Arial" w:eastAsia="宋体" w:cs="Arial"/>
      <w:b/>
      <w:sz w:val="28"/>
      <w:szCs w:val="20"/>
    </w:rPr>
  </w:style>
  <w:style w:type="character" w:customStyle="1" w:styleId="85">
    <w:name w:val="纯文本 Char1"/>
    <w:link w:val="86"/>
    <w:qFormat/>
    <w:locked/>
    <w:uiPriority w:val="99"/>
    <w:rPr>
      <w:rFonts w:ascii="Arial" w:hAnsi="Arial" w:eastAsia="Arial"/>
      <w:kern w:val="2"/>
      <w:sz w:val="21"/>
      <w:lang w:val="en-US" w:eastAsia="zh-CN" w:bidi="ar-SA"/>
    </w:rPr>
  </w:style>
  <w:style w:type="paragraph" w:customStyle="1" w:styleId="86">
    <w:name w:val="纯文本1"/>
    <w:basedOn w:val="1"/>
    <w:link w:val="85"/>
    <w:qFormat/>
    <w:uiPriority w:val="0"/>
    <w:rPr>
      <w:rFonts w:ascii="Arial" w:hAnsi="Arial" w:eastAsia="Arial"/>
    </w:rPr>
  </w:style>
  <w:style w:type="character" w:customStyle="1" w:styleId="87">
    <w:name w:val="批注文字 Char"/>
    <w:basedOn w:val="58"/>
    <w:qFormat/>
    <w:uiPriority w:val="0"/>
    <w:rPr>
      <w:rFonts w:ascii="@仿宋_GB2312" w:hAnsi="@仿宋_GB2312" w:eastAsia="@仿宋_GB2312" w:cs="@仿宋_GB2312"/>
      <w:szCs w:val="20"/>
    </w:rPr>
  </w:style>
  <w:style w:type="character" w:customStyle="1" w:styleId="88">
    <w:name w:val="批注文字 字符"/>
    <w:link w:val="16"/>
    <w:qFormat/>
    <w:uiPriority w:val="0"/>
    <w:rPr>
      <w:rFonts w:ascii="Arial" w:hAnsi="Arial" w:eastAsia="黑体" w:cs="Arial"/>
      <w:szCs w:val="20"/>
    </w:rPr>
  </w:style>
  <w:style w:type="character" w:customStyle="1" w:styleId="89">
    <w:name w:val="标题 1 字符"/>
    <w:basedOn w:val="58"/>
    <w:link w:val="2"/>
    <w:qFormat/>
    <w:uiPriority w:val="0"/>
    <w:rPr>
      <w:rFonts w:ascii="@仿宋_GB2312" w:hAnsi="@仿宋_GB2312" w:eastAsia="@仿宋_GB2312" w:cs="@仿宋_GB2312"/>
      <w:b/>
      <w:bCs/>
      <w:kern w:val="44"/>
      <w:sz w:val="44"/>
      <w:szCs w:val="44"/>
    </w:rPr>
  </w:style>
  <w:style w:type="paragraph" w:customStyle="1" w:styleId="90">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91">
    <w:name w:val="标题 3 字符"/>
    <w:basedOn w:val="58"/>
    <w:link w:val="4"/>
    <w:qFormat/>
    <w:uiPriority w:val="0"/>
    <w:rPr>
      <w:rFonts w:ascii="@仿宋_GB2312" w:hAnsi="@仿宋_GB2312" w:eastAsia="@仿宋_GB2312" w:cs="@仿宋_GB2312"/>
      <w:b/>
      <w:bCs/>
      <w:sz w:val="32"/>
      <w:szCs w:val="32"/>
    </w:rPr>
  </w:style>
  <w:style w:type="character" w:customStyle="1" w:styleId="92">
    <w:name w:val="fontstyle01"/>
    <w:basedOn w:val="58"/>
    <w:qFormat/>
    <w:uiPriority w:val="0"/>
    <w:rPr>
      <w:rFonts w:hint="eastAsia" w:ascii="宋体" w:hAnsi="宋体" w:eastAsia="宋体"/>
      <w:color w:val="000000"/>
      <w:sz w:val="22"/>
      <w:szCs w:val="22"/>
    </w:rPr>
  </w:style>
  <w:style w:type="character" w:customStyle="1" w:styleId="93">
    <w:name w:val="fontstyle21"/>
    <w:basedOn w:val="58"/>
    <w:qFormat/>
    <w:uiPriority w:val="0"/>
    <w:rPr>
      <w:rFonts w:hint="default" w:ascii="TimesNewRomanPSMT" w:hAnsi="TimesNewRomanPSMT"/>
      <w:color w:val="000000"/>
      <w:sz w:val="22"/>
      <w:szCs w:val="22"/>
    </w:rPr>
  </w:style>
  <w:style w:type="character" w:customStyle="1" w:styleId="9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95">
    <w:name w:val="标题 4 字符"/>
    <w:basedOn w:val="58"/>
    <w:semiHidden/>
    <w:qFormat/>
    <w:uiPriority w:val="9"/>
    <w:rPr>
      <w:rFonts w:asciiTheme="majorHAnsi" w:hAnsiTheme="majorHAnsi" w:eastAsiaTheme="majorEastAsia" w:cstheme="majorBidi"/>
      <w:b/>
      <w:bCs/>
      <w:sz w:val="28"/>
      <w:szCs w:val="28"/>
    </w:rPr>
  </w:style>
  <w:style w:type="character" w:customStyle="1" w:styleId="96">
    <w:name w:val="标题 4 字符1"/>
    <w:link w:val="5"/>
    <w:qFormat/>
    <w:uiPriority w:val="0"/>
    <w:rPr>
      <w:rFonts w:ascii="@仿宋_GB2312" w:hAnsi="@仿宋_GB2312" w:eastAsia="@仿宋_GB2312" w:cs="@仿宋_GB2312"/>
      <w:b/>
      <w:bCs/>
      <w:sz w:val="28"/>
      <w:szCs w:val="28"/>
    </w:rPr>
  </w:style>
  <w:style w:type="character" w:customStyle="1" w:styleId="97">
    <w:name w:val="正文文本 字符"/>
    <w:basedOn w:val="58"/>
    <w:link w:val="19"/>
    <w:qFormat/>
    <w:uiPriority w:val="0"/>
    <w:rPr>
      <w:rFonts w:ascii="@微软简标宋" w:hAnsi="@微软简标宋" w:eastAsia="@微软简标宋" w:cs="@微软简标宋"/>
      <w:szCs w:val="24"/>
      <w:lang w:val="zh-CN" w:eastAsia="zh-CN"/>
    </w:rPr>
  </w:style>
  <w:style w:type="table" w:customStyle="1" w:styleId="98">
    <w:name w:val="网格型1"/>
    <w:basedOn w:val="56"/>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
    <w:name w:val="批注主题 字符"/>
    <w:basedOn w:val="88"/>
    <w:link w:val="53"/>
    <w:qFormat/>
    <w:uiPriority w:val="0"/>
    <w:rPr>
      <w:rFonts w:ascii="Arial" w:hAnsi="Arial" w:eastAsia="黑体" w:cs="Arial"/>
      <w:b/>
      <w:bCs/>
      <w:szCs w:val="20"/>
    </w:rPr>
  </w:style>
  <w:style w:type="paragraph" w:customStyle="1" w:styleId="100">
    <w:name w:val="普通 (Web)"/>
    <w:basedOn w:val="1"/>
    <w:qFormat/>
    <w:uiPriority w:val="0"/>
    <w:pPr>
      <w:widowControl/>
      <w:tabs>
        <w:tab w:val="left" w:pos="1152"/>
      </w:tabs>
      <w:ind w:firstLine="0" w:firstLineChars="0"/>
      <w:jc w:val="left"/>
    </w:pPr>
    <w:rPr>
      <w:rFonts w:cs="宋体"/>
      <w:b/>
      <w:color w:val="000000" w:themeColor="text1"/>
      <w:szCs w:val="24"/>
      <w14:textFill>
        <w14:solidFill>
          <w14:schemeClr w14:val="tx1"/>
        </w14:solidFill>
      </w14:textFill>
    </w:rPr>
  </w:style>
  <w:style w:type="table" w:customStyle="1" w:styleId="101">
    <w:name w:val="网格型2"/>
    <w:basedOn w:val="56"/>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2">
    <w:name w:val="标题 2 字符"/>
    <w:basedOn w:val="58"/>
    <w:link w:val="3"/>
    <w:qFormat/>
    <w:uiPriority w:val="0"/>
    <w:rPr>
      <w:rFonts w:ascii="Cambria" w:hAnsi="Cambria"/>
      <w:b/>
      <w:bCs/>
      <w:kern w:val="2"/>
      <w:sz w:val="28"/>
      <w:szCs w:val="28"/>
    </w:rPr>
  </w:style>
  <w:style w:type="character" w:customStyle="1" w:styleId="103">
    <w:name w:val="标题 5 字符"/>
    <w:basedOn w:val="58"/>
    <w:link w:val="6"/>
    <w:qFormat/>
    <w:uiPriority w:val="0"/>
    <w:rPr>
      <w:rFonts w:ascii="Calibri" w:hAnsi="Calibri" w:cs="Times New Roman"/>
      <w:b/>
      <w:bCs/>
      <w:kern w:val="2"/>
      <w:sz w:val="28"/>
      <w:szCs w:val="28"/>
      <w:lang w:val="zh-CN" w:eastAsia="zh-CN"/>
    </w:rPr>
  </w:style>
  <w:style w:type="character" w:customStyle="1" w:styleId="104">
    <w:name w:val="标题 6 字符"/>
    <w:basedOn w:val="58"/>
    <w:link w:val="7"/>
    <w:qFormat/>
    <w:uiPriority w:val="0"/>
    <w:rPr>
      <w:rFonts w:ascii="Times New Roman" w:hAnsi="Times New Roman" w:cs="Times New Roman"/>
      <w:b/>
      <w:bCs/>
      <w:kern w:val="2"/>
      <w:sz w:val="30"/>
      <w:szCs w:val="18"/>
      <w:lang w:val="zh-CN" w:eastAsia="zh-CN"/>
    </w:rPr>
  </w:style>
  <w:style w:type="character" w:customStyle="1" w:styleId="105">
    <w:name w:val="标题 7 字符"/>
    <w:basedOn w:val="58"/>
    <w:link w:val="8"/>
    <w:qFormat/>
    <w:uiPriority w:val="0"/>
    <w:rPr>
      <w:rFonts w:ascii="Times New Roman" w:hAnsi="Times New Roman" w:cs="Times New Roman"/>
      <w:b/>
      <w:bCs/>
      <w:kern w:val="2"/>
      <w:sz w:val="30"/>
      <w:szCs w:val="18"/>
      <w:lang w:val="zh-CN" w:eastAsia="zh-CN"/>
    </w:rPr>
  </w:style>
  <w:style w:type="character" w:customStyle="1" w:styleId="106">
    <w:name w:val="标题 8 字符"/>
    <w:basedOn w:val="58"/>
    <w:link w:val="9"/>
    <w:qFormat/>
    <w:uiPriority w:val="0"/>
    <w:rPr>
      <w:rFonts w:eastAsia="黑体" w:cs="Times New Roman"/>
      <w:kern w:val="2"/>
      <w:sz w:val="32"/>
      <w:szCs w:val="32"/>
      <w:lang w:val="zh-CN" w:eastAsia="zh-CN"/>
    </w:rPr>
  </w:style>
  <w:style w:type="character" w:customStyle="1" w:styleId="107">
    <w:name w:val="标题 9 字符"/>
    <w:basedOn w:val="58"/>
    <w:link w:val="10"/>
    <w:qFormat/>
    <w:uiPriority w:val="0"/>
    <w:rPr>
      <w:rFonts w:ascii="Cambria" w:hAnsi="Cambria" w:cs="Times New Roman"/>
      <w:kern w:val="2"/>
      <w:sz w:val="21"/>
      <w:szCs w:val="21"/>
      <w:lang w:val="zh-CN" w:eastAsia="zh-CN"/>
    </w:rPr>
  </w:style>
  <w:style w:type="character" w:customStyle="1" w:styleId="108">
    <w:name w:val="纯文本 Char2"/>
    <w:qFormat/>
    <w:uiPriority w:val="0"/>
    <w:rPr>
      <w:rFonts w:ascii="宋体" w:hAnsi="Courier New"/>
    </w:rPr>
  </w:style>
  <w:style w:type="table" w:customStyle="1" w:styleId="109">
    <w:name w:val="网格型3"/>
    <w:basedOn w:val="56"/>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网格表 1 浅色11"/>
    <w:basedOn w:val="56"/>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11">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12">
    <w:name w:val="正文文本缩进 字符"/>
    <w:basedOn w:val="58"/>
    <w:link w:val="20"/>
    <w:qFormat/>
    <w:uiPriority w:val="0"/>
    <w:rPr>
      <w:rFonts w:asciiTheme="minorHAnsi" w:hAnsiTheme="minorHAnsi"/>
      <w:kern w:val="2"/>
      <w:sz w:val="21"/>
      <w:szCs w:val="22"/>
    </w:rPr>
  </w:style>
  <w:style w:type="paragraph" w:customStyle="1" w:styleId="113">
    <w:name w:val="Char"/>
    <w:basedOn w:val="1"/>
    <w:qFormat/>
    <w:uiPriority w:val="0"/>
    <w:rPr>
      <w:rFonts w:ascii="Tahoma" w:hAnsi="Tahoma" w:cs="Times New Roman"/>
    </w:rPr>
  </w:style>
  <w:style w:type="character" w:customStyle="1" w:styleId="114">
    <w:name w:val="脚注文本 字符"/>
    <w:basedOn w:val="58"/>
    <w:link w:val="42"/>
    <w:qFormat/>
    <w:uiPriority w:val="0"/>
    <w:rPr>
      <w:rFonts w:ascii="Times New Roman" w:hAnsi="Times New Roman" w:cs="Times New Roman"/>
      <w:kern w:val="2"/>
      <w:sz w:val="18"/>
      <w:szCs w:val="18"/>
      <w:lang w:val="zh-CN" w:eastAsia="zh-CN"/>
    </w:rPr>
  </w:style>
  <w:style w:type="paragraph" w:customStyle="1" w:styleId="115">
    <w:name w:val="样式 标题 3 + (中文) 黑体 小四 非加粗 段前: 7.8 磅 段后: 0 磅 行距: 固定值 20 磅"/>
    <w:basedOn w:val="4"/>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6">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Cs w:val="20"/>
    </w:rPr>
  </w:style>
  <w:style w:type="paragraph" w:customStyle="1" w:styleId="117">
    <w:name w:val="Normal_2"/>
    <w:qFormat/>
    <w:uiPriority w:val="0"/>
    <w:rPr>
      <w:rFonts w:ascii="Times New Roman" w:hAnsi="Times New Roman" w:eastAsia="Times New Roman" w:cs="Times New Roman"/>
      <w:sz w:val="24"/>
      <w:szCs w:val="24"/>
      <w:lang w:val="en-US" w:eastAsia="zh-CN" w:bidi="ar-SA"/>
    </w:rPr>
  </w:style>
  <w:style w:type="character" w:customStyle="1" w:styleId="118">
    <w:name w:val="称呼 字符"/>
    <w:basedOn w:val="58"/>
    <w:link w:val="17"/>
    <w:qFormat/>
    <w:uiPriority w:val="0"/>
    <w:rPr>
      <w:rFonts w:ascii="仿宋_GB2312" w:hAnsi="Times New Roman" w:eastAsia="仿宋_GB2312" w:cs="Times New Roman"/>
      <w:kern w:val="2"/>
      <w:sz w:val="28"/>
      <w:lang w:val="zh-CN" w:eastAsia="zh-CN"/>
    </w:rPr>
  </w:style>
  <w:style w:type="paragraph" w:customStyle="1" w:styleId="11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20">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21">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Normal_1"/>
    <w:qFormat/>
    <w:uiPriority w:val="0"/>
    <w:rPr>
      <w:rFonts w:ascii="Times New Roman" w:hAnsi="Times New Roman" w:eastAsia="Times New Roman" w:cs="Times New Roman"/>
      <w:sz w:val="24"/>
      <w:szCs w:val="24"/>
      <w:lang w:val="en-US" w:eastAsia="zh-CN" w:bidi="ar-SA"/>
    </w:rPr>
  </w:style>
  <w:style w:type="paragraph" w:customStyle="1" w:styleId="125">
    <w:name w:val="Normal_3"/>
    <w:qFormat/>
    <w:uiPriority w:val="0"/>
    <w:rPr>
      <w:rFonts w:ascii="Times New Roman" w:hAnsi="Times New Roman" w:eastAsia="Times New Roman" w:cs="Times New Roman"/>
      <w:sz w:val="24"/>
      <w:szCs w:val="24"/>
      <w:lang w:val="en-US" w:eastAsia="zh-CN" w:bidi="ar-SA"/>
    </w:rPr>
  </w:style>
  <w:style w:type="paragraph" w:customStyle="1" w:styleId="126">
    <w:name w:val="Char Char Char Char Char Char"/>
    <w:basedOn w:val="1"/>
    <w:qFormat/>
    <w:uiPriority w:val="0"/>
    <w:rPr>
      <w:rFonts w:ascii="Tahoma" w:hAnsi="Tahoma" w:cs="Times New Roman"/>
      <w:kern w:val="2"/>
    </w:rPr>
  </w:style>
  <w:style w:type="paragraph" w:customStyle="1" w:styleId="127">
    <w:name w:val="Blockquote"/>
    <w:basedOn w:val="1"/>
    <w:link w:val="128"/>
    <w:qFormat/>
    <w:uiPriority w:val="0"/>
    <w:pPr>
      <w:autoSpaceDE w:val="0"/>
      <w:autoSpaceDN w:val="0"/>
      <w:adjustRightInd w:val="0"/>
      <w:spacing w:before="100" w:after="100"/>
      <w:ind w:left="360" w:right="360"/>
      <w:jc w:val="left"/>
    </w:pPr>
    <w:rPr>
      <w:rFonts w:ascii="Times New Roman" w:hAnsi="Times New Roman" w:cs="Times New Roman"/>
      <w:lang w:val="zh-CN"/>
    </w:rPr>
  </w:style>
  <w:style w:type="character" w:customStyle="1" w:styleId="128">
    <w:name w:val="Blockquote Char"/>
    <w:link w:val="127"/>
    <w:qFormat/>
    <w:uiPriority w:val="0"/>
    <w:rPr>
      <w:rFonts w:ascii="Times New Roman" w:hAnsi="Times New Roman" w:cs="Times New Roman"/>
      <w:sz w:val="24"/>
      <w:lang w:val="zh-CN" w:eastAsia="zh-CN"/>
    </w:rPr>
  </w:style>
  <w:style w:type="paragraph" w:customStyle="1" w:styleId="129">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Cs w:val="22"/>
    </w:rPr>
  </w:style>
  <w:style w:type="paragraph" w:customStyle="1" w:styleId="130">
    <w:name w:val="样式1"/>
    <w:basedOn w:val="1"/>
    <w:next w:val="5"/>
    <w:qFormat/>
    <w:uiPriority w:val="0"/>
    <w:pPr>
      <w:ind w:firstLine="420"/>
    </w:pPr>
    <w:rPr>
      <w:rFonts w:cs="Times New Roman"/>
      <w:kern w:val="2"/>
      <w:sz w:val="21"/>
      <w:szCs w:val="21"/>
    </w:rPr>
  </w:style>
  <w:style w:type="character" w:customStyle="1" w:styleId="131">
    <w:name w:val="tdrownotice1"/>
    <w:qFormat/>
    <w:uiPriority w:val="0"/>
    <w:rPr>
      <w:sz w:val="22"/>
    </w:rPr>
  </w:style>
  <w:style w:type="paragraph" w:customStyle="1" w:styleId="132">
    <w:name w:val="段落2"/>
    <w:basedOn w:val="1"/>
    <w:qFormat/>
    <w:uiPriority w:val="0"/>
    <w:pPr>
      <w:ind w:firstLine="480"/>
    </w:pPr>
    <w:rPr>
      <w:rFonts w:ascii="Calibri" w:hAnsi="Calibri" w:cs="Courier New"/>
      <w:kern w:val="2"/>
      <w:szCs w:val="21"/>
    </w:rPr>
  </w:style>
  <w:style w:type="character" w:customStyle="1" w:styleId="133">
    <w:name w:val="正文文本缩进 3 字符"/>
    <w:basedOn w:val="58"/>
    <w:link w:val="44"/>
    <w:qFormat/>
    <w:uiPriority w:val="0"/>
    <w:rPr>
      <w:rFonts w:hAnsi="MS Sans Serif" w:cs="Times New Roman"/>
      <w:bCs/>
      <w:color w:val="000000"/>
      <w:sz w:val="24"/>
      <w:lang w:val="zh-CN" w:eastAsia="zh-CN"/>
    </w:rPr>
  </w:style>
  <w:style w:type="character" w:customStyle="1" w:styleId="134">
    <w:name w:val="正文文本缩进 2 字符"/>
    <w:basedOn w:val="58"/>
    <w:link w:val="31"/>
    <w:qFormat/>
    <w:uiPriority w:val="0"/>
    <w:rPr>
      <w:rFonts w:hAnsi="MS Sans Serif" w:cs="Times New Roman"/>
      <w:bCs/>
      <w:spacing w:val="12"/>
      <w:sz w:val="24"/>
      <w:lang w:val="zh-CN" w:eastAsia="zh-CN"/>
    </w:rPr>
  </w:style>
  <w:style w:type="paragraph" w:customStyle="1" w:styleId="135">
    <w:name w:val="目录"/>
    <w:basedOn w:val="1"/>
    <w:qFormat/>
    <w:uiPriority w:val="0"/>
    <w:pPr>
      <w:widowControl/>
      <w:jc w:val="center"/>
    </w:pPr>
    <w:rPr>
      <w:rFonts w:hAnsi="Calibri" w:cs="Times New Roman"/>
      <w:b/>
      <w:sz w:val="36"/>
    </w:rPr>
  </w:style>
  <w:style w:type="paragraph" w:customStyle="1" w:styleId="136">
    <w:name w:val="目录文字"/>
    <w:basedOn w:val="1"/>
    <w:qFormat/>
    <w:uiPriority w:val="0"/>
    <w:pPr>
      <w:widowControl/>
      <w:spacing w:line="480" w:lineRule="auto"/>
      <w:jc w:val="left"/>
    </w:pPr>
    <w:rPr>
      <w:rFonts w:cs="Times New Roman"/>
    </w:rPr>
  </w:style>
  <w:style w:type="character" w:customStyle="1" w:styleId="137">
    <w:name w:val="正文文本 2 字符"/>
    <w:basedOn w:val="58"/>
    <w:link w:val="47"/>
    <w:qFormat/>
    <w:uiPriority w:val="0"/>
    <w:rPr>
      <w:rFonts w:hAnsi="Times New Roman" w:cs="Times New Roman"/>
      <w:spacing w:val="-20"/>
      <w:kern w:val="2"/>
      <w:sz w:val="28"/>
      <w:lang w:val="zh-CN" w:eastAsia="zh-CN"/>
    </w:rPr>
  </w:style>
  <w:style w:type="character" w:customStyle="1" w:styleId="138">
    <w:name w:val="正文文本 3 字符"/>
    <w:basedOn w:val="58"/>
    <w:link w:val="18"/>
    <w:qFormat/>
    <w:uiPriority w:val="0"/>
    <w:rPr>
      <w:rFonts w:ascii="仿宋_GB2312" w:eastAsia="仿宋_GB2312" w:cs="Times New Roman"/>
      <w:bCs/>
      <w:color w:val="000000"/>
      <w:kern w:val="2"/>
      <w:sz w:val="24"/>
      <w:szCs w:val="32"/>
      <w:lang w:val="zh-CN" w:eastAsia="zh-CN"/>
    </w:rPr>
  </w:style>
  <w:style w:type="paragraph" w:customStyle="1" w:styleId="13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40">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41">
    <w:name w:val="标题 字符"/>
    <w:basedOn w:val="58"/>
    <w:link w:val="52"/>
    <w:qFormat/>
    <w:uiPriority w:val="0"/>
    <w:rPr>
      <w:rFonts w:eastAsia="黑体" w:cs="Times New Roman"/>
      <w:b/>
      <w:smallCaps/>
      <w:snapToGrid w:val="0"/>
      <w:kern w:val="2"/>
      <w:sz w:val="44"/>
      <w:szCs w:val="24"/>
      <w:lang w:val="zh-CN" w:eastAsia="zh-CN"/>
    </w:rPr>
  </w:style>
  <w:style w:type="paragraph" w:customStyle="1" w:styleId="142">
    <w:name w:val="段落1 Char"/>
    <w:basedOn w:val="28"/>
    <w:qFormat/>
    <w:uiPriority w:val="0"/>
    <w:rPr>
      <w:rFonts w:ascii="Times New Roman" w:hAnsi="Times New Roman" w:eastAsia="宋体" w:cs="Times New Roman"/>
      <w:kern w:val="2"/>
      <w:szCs w:val="21"/>
      <w:lang w:val="zh-CN"/>
    </w:rPr>
  </w:style>
  <w:style w:type="paragraph" w:customStyle="1" w:styleId="143">
    <w:name w:val="样式3"/>
    <w:basedOn w:val="1"/>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4">
    <w:name w:val="简单回函地址"/>
    <w:basedOn w:val="1"/>
    <w:qFormat/>
    <w:uiPriority w:val="0"/>
    <w:rPr>
      <w:rFonts w:ascii="Calibri" w:hAnsi="Calibri" w:cs="Times New Roman"/>
      <w:kern w:val="2"/>
      <w:sz w:val="21"/>
      <w:szCs w:val="22"/>
    </w:rPr>
  </w:style>
  <w:style w:type="paragraph" w:customStyle="1" w:styleId="145">
    <w:name w:val="Char Char Char Char"/>
    <w:basedOn w:val="1"/>
    <w:qFormat/>
    <w:uiPriority w:val="0"/>
    <w:pPr>
      <w:snapToGrid w:val="0"/>
    </w:pPr>
    <w:rPr>
      <w:rFonts w:ascii="Calibri" w:hAnsi="Calibri" w:eastAsia="仿宋_GB2312" w:cs="Times New Roman"/>
      <w:kern w:val="2"/>
      <w:szCs w:val="22"/>
    </w:rPr>
  </w:style>
  <w:style w:type="paragraph" w:customStyle="1" w:styleId="146">
    <w:name w:val="Default Paragraph Char Char Char Char"/>
    <w:basedOn w:val="1"/>
    <w:next w:val="1"/>
    <w:qFormat/>
    <w:uiPriority w:val="0"/>
    <w:pPr>
      <w:widowControl/>
      <w:jc w:val="left"/>
    </w:pPr>
    <w:rPr>
      <w:rFonts w:ascii="Calibri" w:hAnsi="Calibri" w:cs="Times New Roman"/>
      <w:sz w:val="21"/>
      <w:lang w:eastAsia="en-US"/>
    </w:rPr>
  </w:style>
  <w:style w:type="character" w:customStyle="1" w:styleId="147">
    <w:name w:val="t_tag"/>
    <w:basedOn w:val="58"/>
    <w:qFormat/>
    <w:uiPriority w:val="0"/>
  </w:style>
  <w:style w:type="table" w:customStyle="1" w:styleId="148">
    <w:name w:val="网格型11"/>
    <w:basedOn w:val="5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9">
    <w:name w:val="批注框文本 Char1"/>
    <w:basedOn w:val="58"/>
    <w:qFormat/>
    <w:uiPriority w:val="0"/>
    <w:rPr>
      <w:rFonts w:ascii="Times New Roman" w:hAnsi="Times New Roman" w:eastAsia="宋体" w:cs="Times New Roman"/>
      <w:sz w:val="18"/>
      <w:szCs w:val="18"/>
    </w:rPr>
  </w:style>
  <w:style w:type="character" w:customStyle="1" w:styleId="150">
    <w:name w:val="批注主题 Char1"/>
    <w:basedOn w:val="88"/>
    <w:qFormat/>
    <w:uiPriority w:val="0"/>
    <w:rPr>
      <w:rFonts w:ascii="@仿宋_GB2312" w:hAnsi="@仿宋_GB2312" w:eastAsia="@仿宋_GB2312" w:cs="@仿宋_GB2312"/>
      <w:b/>
      <w:bCs/>
      <w:szCs w:val="20"/>
    </w:rPr>
  </w:style>
  <w:style w:type="paragraph" w:customStyle="1" w:styleId="151">
    <w:name w:val="Char10 Char Char Char Char Char Char Char Char Char"/>
    <w:basedOn w:val="1"/>
    <w:next w:val="1"/>
    <w:qFormat/>
    <w:uiPriority w:val="0"/>
    <w:rPr>
      <w:rFonts w:ascii="Calibri" w:hAnsi="Calibri" w:cs="Times New Roman"/>
      <w:kern w:val="2"/>
      <w:sz w:val="21"/>
      <w:szCs w:val="22"/>
    </w:rPr>
  </w:style>
  <w:style w:type="character" w:customStyle="1" w:styleId="152">
    <w:name w:val="文档结构图 字符"/>
    <w:basedOn w:val="58"/>
    <w:link w:val="15"/>
    <w:qFormat/>
    <w:uiPriority w:val="0"/>
    <w:rPr>
      <w:rFonts w:ascii="Calibri" w:hAnsi="Calibri" w:cs="Times New Roman"/>
      <w:bCs/>
      <w:kern w:val="2"/>
      <w:sz w:val="21"/>
      <w:szCs w:val="32"/>
      <w:shd w:val="clear" w:color="auto" w:fill="000080"/>
      <w:lang w:val="zh-CN" w:eastAsia="zh-CN"/>
    </w:rPr>
  </w:style>
  <w:style w:type="character" w:customStyle="1" w:styleId="153">
    <w:name w:val="标题 1 Char1"/>
    <w:qFormat/>
    <w:uiPriority w:val="0"/>
    <w:rPr>
      <w:rFonts w:ascii="Calibri" w:hAnsi="Calibri" w:eastAsia="宋体"/>
      <w:b/>
      <w:kern w:val="44"/>
      <w:sz w:val="44"/>
      <w:szCs w:val="44"/>
    </w:rPr>
  </w:style>
  <w:style w:type="character" w:customStyle="1" w:styleId="154">
    <w:name w:val="标题 3 Char1"/>
    <w:semiHidden/>
    <w:qFormat/>
    <w:uiPriority w:val="0"/>
    <w:rPr>
      <w:rFonts w:ascii="Calibri" w:hAnsi="Calibri" w:eastAsia="宋体"/>
      <w:b/>
      <w:kern w:val="2"/>
      <w:sz w:val="32"/>
    </w:rPr>
  </w:style>
  <w:style w:type="character" w:customStyle="1" w:styleId="155">
    <w:name w:val="标题 4 Char1"/>
    <w:semiHidden/>
    <w:qFormat/>
    <w:uiPriority w:val="0"/>
    <w:rPr>
      <w:rFonts w:ascii="Cambria" w:hAnsi="Cambria" w:eastAsia="宋体"/>
      <w:b/>
      <w:kern w:val="2"/>
      <w:sz w:val="28"/>
      <w:szCs w:val="28"/>
    </w:rPr>
  </w:style>
  <w:style w:type="character" w:customStyle="1" w:styleId="156">
    <w:name w:val="标题 5 Char1"/>
    <w:semiHidden/>
    <w:qFormat/>
    <w:uiPriority w:val="0"/>
    <w:rPr>
      <w:rFonts w:ascii="Calibri" w:hAnsi="Calibri" w:eastAsia="宋体"/>
      <w:b/>
      <w:kern w:val="2"/>
      <w:sz w:val="28"/>
      <w:szCs w:val="28"/>
    </w:rPr>
  </w:style>
  <w:style w:type="character" w:customStyle="1" w:styleId="157">
    <w:name w:val="标题 6 Char1"/>
    <w:semiHidden/>
    <w:qFormat/>
    <w:uiPriority w:val="0"/>
    <w:rPr>
      <w:rFonts w:ascii="Cambria" w:hAnsi="Cambria" w:eastAsia="宋体"/>
      <w:b/>
      <w:kern w:val="2"/>
      <w:sz w:val="24"/>
      <w:szCs w:val="24"/>
    </w:rPr>
  </w:style>
  <w:style w:type="character" w:customStyle="1" w:styleId="158">
    <w:name w:val="标题 7 Char1"/>
    <w:semiHidden/>
    <w:qFormat/>
    <w:uiPriority w:val="0"/>
    <w:rPr>
      <w:rFonts w:ascii="Calibri" w:hAnsi="Calibri" w:eastAsia="宋体"/>
      <w:b/>
      <w:kern w:val="2"/>
      <w:sz w:val="24"/>
      <w:szCs w:val="24"/>
    </w:rPr>
  </w:style>
  <w:style w:type="character" w:customStyle="1" w:styleId="159">
    <w:name w:val="标题 8 Char1"/>
    <w:semiHidden/>
    <w:qFormat/>
    <w:uiPriority w:val="0"/>
    <w:rPr>
      <w:rFonts w:ascii="Cambria" w:hAnsi="Cambria" w:eastAsia="宋体"/>
      <w:kern w:val="2"/>
      <w:sz w:val="24"/>
      <w:szCs w:val="24"/>
    </w:rPr>
  </w:style>
  <w:style w:type="character" w:customStyle="1" w:styleId="160">
    <w:name w:val="标题 9 Char1"/>
    <w:semiHidden/>
    <w:qFormat/>
    <w:uiPriority w:val="0"/>
    <w:rPr>
      <w:rFonts w:ascii="Cambria" w:hAnsi="Cambria" w:eastAsia="宋体"/>
      <w:kern w:val="2"/>
      <w:sz w:val="21"/>
      <w:szCs w:val="21"/>
    </w:rPr>
  </w:style>
  <w:style w:type="paragraph" w:customStyle="1" w:styleId="161">
    <w:name w:val="MsoNormal"/>
    <w:basedOn w:val="162"/>
    <w:qFormat/>
    <w:uiPriority w:val="0"/>
    <w:rPr>
      <w:rFonts w:ascii="Calibri" w:hAnsi="Calibri" w:eastAsia="Calibri"/>
      <w:sz w:val="21"/>
    </w:rPr>
  </w:style>
  <w:style w:type="paragraph" w:customStyle="1" w:styleId="162">
    <w:name w:val="Normal_0"/>
    <w:qFormat/>
    <w:uiPriority w:val="0"/>
    <w:rPr>
      <w:rFonts w:ascii="Times New Roman" w:hAnsi="Times New Roman" w:eastAsia="宋体" w:cs="Times New Roman"/>
      <w:sz w:val="24"/>
      <w:szCs w:val="24"/>
      <w:lang w:val="en-US" w:eastAsia="zh-CN" w:bidi="ar-SA"/>
    </w:rPr>
  </w:style>
  <w:style w:type="paragraph" w:customStyle="1" w:styleId="163">
    <w:name w:val="标题 2_0"/>
    <w:basedOn w:val="164"/>
    <w:next w:val="165"/>
    <w:link w:val="166"/>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4">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6">
    <w:name w:val="标题 2 Char_0"/>
    <w:link w:val="163"/>
    <w:qFormat/>
    <w:uiPriority w:val="0"/>
    <w:rPr>
      <w:rFonts w:ascii="黑体" w:eastAsia="黑体" w:cs="Times New Roman"/>
      <w:b/>
      <w:smallCaps/>
      <w:snapToGrid w:val="0"/>
      <w:sz w:val="36"/>
      <w:szCs w:val="24"/>
      <w:lang w:val="zh-CN" w:eastAsia="zh-CN"/>
    </w:rPr>
  </w:style>
  <w:style w:type="paragraph" w:customStyle="1" w:styleId="167">
    <w:name w:val="纯文本_0"/>
    <w:basedOn w:val="165"/>
    <w:link w:val="168"/>
    <w:qFormat/>
    <w:uiPriority w:val="99"/>
    <w:rPr>
      <w:rFonts w:ascii="宋体" w:hAnsi="Courier New"/>
      <w:szCs w:val="21"/>
    </w:rPr>
  </w:style>
  <w:style w:type="character" w:customStyle="1" w:styleId="168">
    <w:name w:val="Texte Char1"/>
    <w:link w:val="167"/>
    <w:qFormat/>
    <w:uiPriority w:val="99"/>
    <w:rPr>
      <w:rFonts w:hAnsi="Courier New" w:cs="Times New Roman"/>
      <w:kern w:val="2"/>
      <w:sz w:val="21"/>
      <w:szCs w:val="21"/>
    </w:rPr>
  </w:style>
  <w:style w:type="paragraph" w:customStyle="1" w:styleId="169">
    <w:name w:val="纯文本_1"/>
    <w:basedOn w:val="170"/>
    <w:link w:val="171"/>
    <w:qFormat/>
    <w:uiPriority w:val="0"/>
    <w:rPr>
      <w:rFonts w:ascii="宋体" w:hAnsi="Courier New"/>
      <w:szCs w:val="21"/>
      <w:lang w:val="zh-CN"/>
    </w:rPr>
  </w:style>
  <w:style w:type="paragraph" w:customStyle="1" w:styleId="17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1">
    <w:name w:val="纯文本 Char1_0"/>
    <w:link w:val="169"/>
    <w:qFormat/>
    <w:uiPriority w:val="0"/>
    <w:rPr>
      <w:rFonts w:hAnsi="Courier New" w:cs="Times New Roman"/>
      <w:kern w:val="2"/>
      <w:sz w:val="21"/>
      <w:szCs w:val="21"/>
      <w:lang w:val="zh-CN" w:eastAsia="zh-CN"/>
    </w:rPr>
  </w:style>
  <w:style w:type="paragraph" w:customStyle="1" w:styleId="172">
    <w:name w:val="标题 3_0"/>
    <w:basedOn w:val="173"/>
    <w:next w:val="174"/>
    <w:link w:val="185"/>
    <w:qFormat/>
    <w:uiPriority w:val="0"/>
    <w:pPr>
      <w:keepNext/>
      <w:keepLines/>
      <w:widowControl/>
      <w:numPr>
        <w:ilvl w:val="2"/>
        <w:numId w:val="2"/>
      </w:numPr>
      <w:spacing w:before="120" w:after="120" w:line="360" w:lineRule="auto"/>
      <w:jc w:val="center"/>
      <w:outlineLvl w:val="2"/>
    </w:pPr>
    <w:rPr>
      <w:b/>
      <w:kern w:val="0"/>
      <w:sz w:val="32"/>
      <w:szCs w:val="20"/>
      <w:lang w:val="zh-CN"/>
    </w:rPr>
  </w:style>
  <w:style w:type="paragraph" w:customStyle="1" w:styleId="17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正文缩进_0"/>
    <w:basedOn w:val="173"/>
    <w:unhideWhenUsed/>
    <w:qFormat/>
    <w:uiPriority w:val="0"/>
    <w:pPr>
      <w:ind w:firstLine="420" w:firstLineChars="200"/>
    </w:pPr>
    <w:rPr>
      <w:rFonts w:ascii="Calibri" w:hAnsi="Calibri"/>
      <w:bCs/>
      <w:szCs w:val="32"/>
    </w:rPr>
  </w:style>
  <w:style w:type="paragraph" w:customStyle="1" w:styleId="175">
    <w:name w:val="标题 1_0"/>
    <w:basedOn w:val="173"/>
    <w:next w:val="173"/>
    <w:link w:val="176"/>
    <w:qFormat/>
    <w:uiPriority w:val="0"/>
    <w:pPr>
      <w:keepNext/>
      <w:widowControl/>
      <w:numPr>
        <w:ilvl w:val="0"/>
        <w:numId w:val="2"/>
      </w:numPr>
      <w:jc w:val="center"/>
      <w:outlineLvl w:val="0"/>
    </w:pPr>
    <w:rPr>
      <w:rFonts w:ascii="黑体" w:eastAsia="黑体"/>
      <w:kern w:val="0"/>
      <w:sz w:val="52"/>
      <w:szCs w:val="20"/>
      <w:lang w:val="zh-CN"/>
    </w:rPr>
  </w:style>
  <w:style w:type="character" w:customStyle="1" w:styleId="176">
    <w:name w:val="标题 1 Char_0"/>
    <w:link w:val="175"/>
    <w:qFormat/>
    <w:uiPriority w:val="0"/>
    <w:rPr>
      <w:rFonts w:ascii="黑体" w:hAnsi="Times New Roman" w:eastAsia="黑体" w:cs="Times New Roman"/>
      <w:sz w:val="52"/>
      <w:lang w:val="zh-CN" w:eastAsia="zh-CN"/>
    </w:rPr>
  </w:style>
  <w:style w:type="paragraph" w:customStyle="1" w:styleId="177">
    <w:name w:val="标题 6_0"/>
    <w:basedOn w:val="173"/>
    <w:next w:val="173"/>
    <w:link w:val="178"/>
    <w:qFormat/>
    <w:uiPriority w:val="0"/>
    <w:pPr>
      <w:keepNext/>
      <w:keepLines/>
      <w:widowControl/>
      <w:numPr>
        <w:ilvl w:val="5"/>
        <w:numId w:val="2"/>
      </w:numPr>
      <w:spacing w:before="240" w:after="64" w:line="320" w:lineRule="auto"/>
      <w:jc w:val="left"/>
      <w:outlineLvl w:val="5"/>
    </w:pPr>
    <w:rPr>
      <w:rFonts w:ascii="Arial" w:hAnsi="Arial" w:eastAsia="黑体"/>
      <w:b/>
      <w:bCs/>
      <w:kern w:val="0"/>
      <w:sz w:val="24"/>
      <w:lang w:val="zh-CN"/>
    </w:rPr>
  </w:style>
  <w:style w:type="character" w:customStyle="1" w:styleId="178">
    <w:name w:val="标题 6 Char_0"/>
    <w:link w:val="177"/>
    <w:qFormat/>
    <w:uiPriority w:val="0"/>
    <w:rPr>
      <w:rFonts w:ascii="Arial" w:hAnsi="Arial" w:eastAsia="黑体" w:cs="Times New Roman"/>
      <w:b/>
      <w:bCs/>
      <w:sz w:val="24"/>
      <w:szCs w:val="24"/>
      <w:lang w:val="zh-CN" w:eastAsia="zh-CN"/>
    </w:rPr>
  </w:style>
  <w:style w:type="paragraph" w:customStyle="1" w:styleId="179">
    <w:name w:val="标题 7_0"/>
    <w:basedOn w:val="173"/>
    <w:next w:val="173"/>
    <w:link w:val="180"/>
    <w:qFormat/>
    <w:uiPriority w:val="0"/>
    <w:pPr>
      <w:keepNext/>
      <w:keepLines/>
      <w:widowControl/>
      <w:numPr>
        <w:ilvl w:val="6"/>
        <w:numId w:val="2"/>
      </w:numPr>
      <w:spacing w:before="240" w:after="64" w:line="320" w:lineRule="auto"/>
      <w:jc w:val="left"/>
      <w:outlineLvl w:val="6"/>
    </w:pPr>
    <w:rPr>
      <w:b/>
      <w:bCs/>
      <w:kern w:val="0"/>
      <w:sz w:val="24"/>
      <w:lang w:val="zh-CN"/>
    </w:rPr>
  </w:style>
  <w:style w:type="character" w:customStyle="1" w:styleId="180">
    <w:name w:val="标题 7 Char_0"/>
    <w:link w:val="179"/>
    <w:qFormat/>
    <w:uiPriority w:val="0"/>
    <w:rPr>
      <w:rFonts w:ascii="Times New Roman" w:hAnsi="Times New Roman" w:cs="Times New Roman"/>
      <w:b/>
      <w:bCs/>
      <w:sz w:val="24"/>
      <w:szCs w:val="24"/>
      <w:lang w:val="zh-CN" w:eastAsia="zh-CN"/>
    </w:rPr>
  </w:style>
  <w:style w:type="paragraph" w:customStyle="1" w:styleId="181">
    <w:name w:val="标题 8_0"/>
    <w:basedOn w:val="173"/>
    <w:next w:val="173"/>
    <w:link w:val="182"/>
    <w:qFormat/>
    <w:uiPriority w:val="0"/>
    <w:pPr>
      <w:keepNext/>
      <w:keepLines/>
      <w:widowControl/>
      <w:numPr>
        <w:ilvl w:val="7"/>
        <w:numId w:val="2"/>
      </w:numPr>
      <w:spacing w:before="240" w:after="64" w:line="320" w:lineRule="auto"/>
      <w:jc w:val="left"/>
      <w:outlineLvl w:val="7"/>
    </w:pPr>
    <w:rPr>
      <w:rFonts w:ascii="Arial" w:hAnsi="Arial" w:eastAsia="黑体"/>
      <w:kern w:val="0"/>
      <w:sz w:val="24"/>
      <w:lang w:val="zh-CN"/>
    </w:rPr>
  </w:style>
  <w:style w:type="character" w:customStyle="1" w:styleId="182">
    <w:name w:val="标题 8 Char_0"/>
    <w:link w:val="181"/>
    <w:qFormat/>
    <w:uiPriority w:val="0"/>
    <w:rPr>
      <w:rFonts w:ascii="Arial" w:hAnsi="Arial" w:eastAsia="黑体" w:cs="Times New Roman"/>
      <w:sz w:val="24"/>
      <w:szCs w:val="24"/>
      <w:lang w:val="zh-CN" w:eastAsia="zh-CN"/>
    </w:rPr>
  </w:style>
  <w:style w:type="paragraph" w:customStyle="1" w:styleId="183">
    <w:name w:val="标题 9_0"/>
    <w:basedOn w:val="173"/>
    <w:next w:val="173"/>
    <w:link w:val="184"/>
    <w:qFormat/>
    <w:uiPriority w:val="0"/>
    <w:pPr>
      <w:keepNext/>
      <w:keepLines/>
      <w:widowControl/>
      <w:numPr>
        <w:ilvl w:val="8"/>
        <w:numId w:val="2"/>
      </w:numPr>
      <w:spacing w:before="240" w:after="64" w:line="320" w:lineRule="auto"/>
      <w:jc w:val="left"/>
      <w:outlineLvl w:val="8"/>
    </w:pPr>
    <w:rPr>
      <w:rFonts w:ascii="Arial" w:hAnsi="Arial" w:eastAsia="黑体"/>
      <w:kern w:val="0"/>
      <w:szCs w:val="21"/>
      <w:lang w:val="zh-CN"/>
    </w:rPr>
  </w:style>
  <w:style w:type="character" w:customStyle="1" w:styleId="184">
    <w:name w:val="标题 9 Char_0"/>
    <w:link w:val="183"/>
    <w:qFormat/>
    <w:uiPriority w:val="0"/>
    <w:rPr>
      <w:rFonts w:ascii="Arial" w:hAnsi="Arial" w:eastAsia="黑体" w:cs="Times New Roman"/>
      <w:sz w:val="21"/>
      <w:szCs w:val="21"/>
      <w:lang w:val="zh-CN" w:eastAsia="zh-CN"/>
    </w:rPr>
  </w:style>
  <w:style w:type="character" w:customStyle="1" w:styleId="185">
    <w:name w:val="标题 3 Char_0"/>
    <w:link w:val="172"/>
    <w:qFormat/>
    <w:uiPriority w:val="0"/>
    <w:rPr>
      <w:rFonts w:ascii="Times New Roman" w:hAnsi="Times New Roman" w:cs="Times New Roman"/>
      <w:b/>
      <w:sz w:val="32"/>
      <w:lang w:val="zh-CN" w:eastAsia="zh-CN"/>
    </w:rPr>
  </w:style>
  <w:style w:type="paragraph" w:customStyle="1" w:styleId="186">
    <w:name w:val="Blockquote_0"/>
    <w:basedOn w:val="173"/>
    <w:link w:val="187"/>
    <w:qFormat/>
    <w:uiPriority w:val="0"/>
    <w:pPr>
      <w:autoSpaceDE w:val="0"/>
      <w:autoSpaceDN w:val="0"/>
      <w:adjustRightInd w:val="0"/>
      <w:spacing w:before="100" w:after="100"/>
      <w:ind w:left="360" w:right="360"/>
      <w:jc w:val="left"/>
    </w:pPr>
    <w:rPr>
      <w:kern w:val="0"/>
      <w:sz w:val="24"/>
      <w:szCs w:val="20"/>
      <w:lang w:val="zh-CN"/>
    </w:rPr>
  </w:style>
  <w:style w:type="character" w:customStyle="1" w:styleId="187">
    <w:name w:val="Blockquote Char_0"/>
    <w:link w:val="186"/>
    <w:qFormat/>
    <w:locked/>
    <w:uiPriority w:val="0"/>
    <w:rPr>
      <w:rFonts w:ascii="Times New Roman" w:hAnsi="Times New Roman" w:cs="Times New Roman"/>
      <w:sz w:val="24"/>
      <w:lang w:val="zh-CN" w:eastAsia="zh-CN"/>
    </w:rPr>
  </w:style>
  <w:style w:type="paragraph" w:customStyle="1" w:styleId="188">
    <w:name w:val="标题 4_0"/>
    <w:basedOn w:val="173"/>
    <w:next w:val="173"/>
    <w:link w:val="189"/>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9">
    <w:name w:val="标题 4 Char_0"/>
    <w:link w:val="188"/>
    <w:qFormat/>
    <w:uiPriority w:val="0"/>
    <w:rPr>
      <w:rFonts w:ascii="Arial" w:hAnsi="Arial" w:eastAsia="黑体" w:cs="Times New Roman"/>
      <w:sz w:val="28"/>
      <w:lang w:val="zh-CN" w:eastAsia="zh-CN"/>
    </w:rPr>
  </w:style>
  <w:style w:type="paragraph" w:customStyle="1" w:styleId="190">
    <w:name w:val="纯文本_2"/>
    <w:basedOn w:val="173"/>
    <w:link w:val="191"/>
    <w:qFormat/>
    <w:uiPriority w:val="0"/>
    <w:rPr>
      <w:rFonts w:ascii="宋体" w:hAnsi="Courier New"/>
      <w:szCs w:val="21"/>
      <w:lang w:val="zh-CN"/>
    </w:rPr>
  </w:style>
  <w:style w:type="character" w:customStyle="1" w:styleId="191">
    <w:name w:val="纯文本 Char1_1"/>
    <w:link w:val="190"/>
    <w:qFormat/>
    <w:uiPriority w:val="0"/>
    <w:rPr>
      <w:rFonts w:hAnsi="Courier New" w:cs="Times New Roman"/>
      <w:kern w:val="2"/>
      <w:sz w:val="21"/>
      <w:szCs w:val="21"/>
      <w:lang w:val="zh-CN" w:eastAsia="zh-CN"/>
    </w:rPr>
  </w:style>
  <w:style w:type="paragraph" w:customStyle="1" w:styleId="192">
    <w:name w:val="Blockquote_0_1"/>
    <w:basedOn w:val="193"/>
    <w:link w:val="194"/>
    <w:qFormat/>
    <w:uiPriority w:val="0"/>
    <w:pPr>
      <w:autoSpaceDE w:val="0"/>
      <w:autoSpaceDN w:val="0"/>
      <w:adjustRightInd w:val="0"/>
      <w:spacing w:before="100" w:after="100"/>
      <w:ind w:left="360" w:right="360"/>
      <w:jc w:val="left"/>
    </w:pPr>
    <w:rPr>
      <w:kern w:val="0"/>
      <w:sz w:val="24"/>
      <w:szCs w:val="20"/>
      <w:lang w:val="zh-CN"/>
    </w:rPr>
  </w:style>
  <w:style w:type="paragraph" w:customStyle="1" w:styleId="193">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4">
    <w:name w:val="Blockquote Char_0_1"/>
    <w:link w:val="192"/>
    <w:qFormat/>
    <w:locked/>
    <w:uiPriority w:val="0"/>
    <w:rPr>
      <w:rFonts w:ascii="Times New Roman" w:hAnsi="Times New Roman" w:cs="Times New Roman"/>
      <w:sz w:val="24"/>
      <w:lang w:val="zh-CN" w:eastAsia="zh-CN"/>
    </w:rPr>
  </w:style>
  <w:style w:type="paragraph" w:customStyle="1" w:styleId="195">
    <w:name w:val="正文文本_0"/>
    <w:basedOn w:val="173"/>
    <w:link w:val="196"/>
    <w:qFormat/>
    <w:uiPriority w:val="0"/>
    <w:pPr>
      <w:spacing w:after="120"/>
    </w:pPr>
    <w:rPr>
      <w:lang w:val="zh-CN"/>
    </w:rPr>
  </w:style>
  <w:style w:type="character" w:customStyle="1" w:styleId="196">
    <w:name w:val="正文文本 Char_0"/>
    <w:link w:val="195"/>
    <w:qFormat/>
    <w:uiPriority w:val="0"/>
    <w:rPr>
      <w:rFonts w:ascii="Times New Roman" w:hAnsi="Times New Roman" w:cs="Times New Roman"/>
      <w:kern w:val="2"/>
      <w:sz w:val="21"/>
      <w:szCs w:val="24"/>
      <w:lang w:val="zh-CN" w:eastAsia="zh-CN"/>
    </w:rPr>
  </w:style>
  <w:style w:type="paragraph" w:customStyle="1" w:styleId="197">
    <w:name w:val="普通(网站)_0"/>
    <w:basedOn w:val="173"/>
    <w:qFormat/>
    <w:uiPriority w:val="0"/>
    <w:pPr>
      <w:widowControl/>
      <w:spacing w:before="100" w:beforeAutospacing="1" w:after="100" w:afterAutospacing="1"/>
      <w:jc w:val="left"/>
    </w:pPr>
    <w:rPr>
      <w:rFonts w:ascii="宋体" w:hAnsi="宋体"/>
      <w:kern w:val="0"/>
      <w:sz w:val="24"/>
    </w:rPr>
  </w:style>
  <w:style w:type="paragraph" w:customStyle="1" w:styleId="19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0">
    <w:name w:val="脚注文本_0"/>
    <w:basedOn w:val="121"/>
    <w:link w:val="201"/>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201">
    <w:name w:val="脚注文本 Char_0"/>
    <w:link w:val="200"/>
    <w:qFormat/>
    <w:uiPriority w:val="0"/>
    <w:rPr>
      <w:rFonts w:ascii="Times New Roman" w:hAnsi="Times New Roman" w:cs="Times New Roman"/>
      <w:sz w:val="18"/>
      <w:lang w:val="zh-CN" w:eastAsia="zh-CN"/>
    </w:rPr>
  </w:style>
  <w:style w:type="paragraph" w:customStyle="1" w:styleId="202">
    <w:name w:val="font5"/>
    <w:basedOn w:val="1"/>
    <w:qFormat/>
    <w:uiPriority w:val="0"/>
    <w:pPr>
      <w:widowControl/>
      <w:spacing w:before="100" w:beforeAutospacing="1" w:after="100" w:afterAutospacing="1"/>
      <w:jc w:val="left"/>
    </w:pPr>
    <w:rPr>
      <w:rFonts w:hint="eastAsia" w:cs="Times New Roman"/>
      <w:sz w:val="18"/>
      <w:szCs w:val="18"/>
    </w:rPr>
  </w:style>
  <w:style w:type="paragraph" w:customStyle="1" w:styleId="20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Cs w:val="24"/>
    </w:rPr>
  </w:style>
  <w:style w:type="paragraph" w:customStyle="1" w:styleId="20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Cs w:val="24"/>
    </w:rPr>
  </w:style>
  <w:style w:type="paragraph" w:customStyle="1" w:styleId="208">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Cs w:val="24"/>
    </w:rPr>
  </w:style>
  <w:style w:type="paragraph" w:customStyle="1" w:styleId="20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Cs w:val="24"/>
    </w:rPr>
  </w:style>
  <w:style w:type="paragraph" w:customStyle="1" w:styleId="21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1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1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3">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Cs w:val="24"/>
    </w:rPr>
  </w:style>
  <w:style w:type="paragraph" w:customStyle="1" w:styleId="21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Cs w:val="24"/>
    </w:rPr>
  </w:style>
  <w:style w:type="paragraph" w:customStyle="1" w:styleId="21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Cs w:val="24"/>
    </w:rPr>
  </w:style>
  <w:style w:type="paragraph" w:customStyle="1" w:styleId="21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Cs w:val="24"/>
    </w:rPr>
  </w:style>
  <w:style w:type="paragraph" w:customStyle="1" w:styleId="218">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Cs w:val="24"/>
    </w:rPr>
  </w:style>
  <w:style w:type="paragraph" w:customStyle="1" w:styleId="219">
    <w:name w:val="xl42"/>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0">
    <w:name w:val="xl43"/>
    <w:basedOn w:val="1"/>
    <w:qFormat/>
    <w:uiPriority w:val="0"/>
    <w:pPr>
      <w:widowControl/>
      <w:spacing w:before="100" w:beforeAutospacing="1" w:after="100" w:afterAutospacing="1"/>
      <w:jc w:val="left"/>
      <w:textAlignment w:val="top"/>
    </w:pPr>
    <w:rPr>
      <w:rFonts w:cs="Times New Roman"/>
      <w:szCs w:val="24"/>
    </w:rPr>
  </w:style>
  <w:style w:type="paragraph" w:customStyle="1" w:styleId="221">
    <w:name w:val="xl44"/>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2">
    <w:name w:val="xl45"/>
    <w:basedOn w:val="1"/>
    <w:qFormat/>
    <w:uiPriority w:val="0"/>
    <w:pPr>
      <w:widowControl/>
      <w:spacing w:before="100" w:beforeAutospacing="1" w:after="100" w:afterAutospacing="1"/>
      <w:jc w:val="left"/>
      <w:textAlignment w:val="top"/>
    </w:pPr>
    <w:rPr>
      <w:rFonts w:cs="Times New Roman"/>
      <w:szCs w:val="24"/>
    </w:rPr>
  </w:style>
  <w:style w:type="paragraph" w:customStyle="1" w:styleId="223">
    <w:name w:val="font6"/>
    <w:basedOn w:val="1"/>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4">
    <w:name w:val="Char Char Char Char Char"/>
    <w:basedOn w:val="1"/>
    <w:qFormat/>
    <w:uiPriority w:val="0"/>
    <w:rPr>
      <w:rFonts w:ascii="Tahoma" w:hAnsi="Tahoma" w:cs="Times New Roman"/>
      <w:kern w:val="2"/>
    </w:rPr>
  </w:style>
  <w:style w:type="paragraph" w:customStyle="1" w:styleId="225">
    <w:name w:val="范本目录"/>
    <w:basedOn w:val="1"/>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6">
    <w:name w:val="副标题 字符"/>
    <w:basedOn w:val="58"/>
    <w:link w:val="40"/>
    <w:qFormat/>
    <w:uiPriority w:val="0"/>
    <w:rPr>
      <w:rFonts w:ascii="Arial" w:hAnsi="Arial" w:cs="Times New Roman"/>
      <w:b/>
      <w:bCs/>
      <w:kern w:val="28"/>
      <w:sz w:val="32"/>
      <w:szCs w:val="32"/>
      <w:lang w:val="zh-CN" w:eastAsia="zh-CN"/>
    </w:rPr>
  </w:style>
  <w:style w:type="character" w:customStyle="1" w:styleId="227">
    <w:name w:val="Char Char"/>
    <w:qFormat/>
    <w:uiPriority w:val="0"/>
    <w:rPr>
      <w:rFonts w:ascii="宋体" w:hAnsi="Courier New" w:eastAsia="宋体" w:cs="Courier New"/>
      <w:kern w:val="2"/>
      <w:sz w:val="21"/>
      <w:szCs w:val="21"/>
      <w:lang w:val="en-US" w:eastAsia="zh-CN" w:bidi="ar-SA"/>
    </w:rPr>
  </w:style>
  <w:style w:type="character" w:customStyle="1" w:styleId="228">
    <w:name w:val="标题4 Char Char"/>
    <w:link w:val="229"/>
    <w:qFormat/>
    <w:uiPriority w:val="0"/>
    <w:rPr>
      <w:rFonts w:ascii="Arial" w:hAnsi="Arial"/>
      <w:b/>
      <w:bCs/>
      <w:sz w:val="24"/>
      <w:szCs w:val="32"/>
    </w:rPr>
  </w:style>
  <w:style w:type="paragraph" w:customStyle="1" w:styleId="229">
    <w:name w:val="标题4"/>
    <w:basedOn w:val="3"/>
    <w:next w:val="25"/>
    <w:link w:val="228"/>
    <w:qFormat/>
    <w:uiPriority w:val="0"/>
    <w:pPr>
      <w:spacing w:before="0" w:after="0" w:line="413" w:lineRule="auto"/>
    </w:pPr>
    <w:rPr>
      <w:rFonts w:ascii="Arial" w:hAnsi="Arial" w:cstheme="minorBidi"/>
      <w:kern w:val="0"/>
      <w:sz w:val="24"/>
    </w:rPr>
  </w:style>
  <w:style w:type="character" w:customStyle="1" w:styleId="230">
    <w:name w:val="明显引用 字符"/>
    <w:link w:val="231"/>
    <w:qFormat/>
    <w:uiPriority w:val="0"/>
    <w:rPr>
      <w:b/>
      <w:bCs/>
      <w:i/>
      <w:iCs/>
      <w:color w:val="4F81BD"/>
    </w:rPr>
  </w:style>
  <w:style w:type="paragraph" w:styleId="231">
    <w:name w:val="Intense Quote"/>
    <w:basedOn w:val="1"/>
    <w:next w:val="1"/>
    <w:link w:val="230"/>
    <w:qFormat/>
    <w:uiPriority w:val="0"/>
    <w:pPr>
      <w:pBdr>
        <w:bottom w:val="single" w:color="4F81BD" w:themeColor="accent1" w:sz="4" w:space="4"/>
      </w:pBdr>
      <w:spacing w:before="200" w:after="280"/>
      <w:ind w:left="936" w:right="936"/>
    </w:pPr>
    <w:rPr>
      <w:b/>
      <w:bCs/>
      <w:i/>
      <w:iCs/>
      <w:color w:val="4F81BD"/>
    </w:rPr>
  </w:style>
  <w:style w:type="paragraph" w:customStyle="1" w:styleId="232">
    <w:name w:val="明显引用1"/>
    <w:basedOn w:val="1"/>
    <w:next w:val="1"/>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3">
    <w:name w:val="明显引用 Char1"/>
    <w:basedOn w:val="58"/>
    <w:qFormat/>
    <w:uiPriority w:val="30"/>
    <w:rPr>
      <w:rFonts w:ascii="Times New Roman" w:hAnsi="Times New Roman" w:eastAsia="宋体" w:cs="Times New Roman"/>
      <w:i/>
      <w:iCs/>
      <w:color w:val="5B9BD5"/>
      <w:szCs w:val="24"/>
    </w:rPr>
  </w:style>
  <w:style w:type="character" w:customStyle="1" w:styleId="234">
    <w:name w:val="标题5 Char Char"/>
    <w:link w:val="235"/>
    <w:qFormat/>
    <w:uiPriority w:val="0"/>
    <w:rPr>
      <w:rFonts w:ascii="Arial" w:hAnsi="Arial"/>
      <w:b/>
      <w:bCs/>
      <w:sz w:val="24"/>
      <w:szCs w:val="32"/>
    </w:rPr>
  </w:style>
  <w:style w:type="paragraph" w:customStyle="1" w:styleId="235">
    <w:name w:val="标题5"/>
    <w:basedOn w:val="4"/>
    <w:link w:val="234"/>
    <w:qFormat/>
    <w:uiPriority w:val="0"/>
    <w:pPr>
      <w:spacing w:line="413" w:lineRule="auto"/>
      <w:jc w:val="left"/>
    </w:pPr>
    <w:rPr>
      <w:rFonts w:ascii="Arial" w:hAnsi="Arial"/>
      <w:sz w:val="24"/>
    </w:rPr>
  </w:style>
  <w:style w:type="character" w:customStyle="1" w:styleId="236">
    <w:name w:val="引用 字符"/>
    <w:link w:val="237"/>
    <w:qFormat/>
    <w:uiPriority w:val="0"/>
    <w:rPr>
      <w:i/>
      <w:iCs/>
      <w:color w:val="000000"/>
    </w:rPr>
  </w:style>
  <w:style w:type="paragraph" w:styleId="237">
    <w:name w:val="Quote"/>
    <w:basedOn w:val="1"/>
    <w:next w:val="1"/>
    <w:link w:val="236"/>
    <w:qFormat/>
    <w:uiPriority w:val="0"/>
    <w:rPr>
      <w:i/>
      <w:iCs/>
      <w:color w:val="000000"/>
    </w:rPr>
  </w:style>
  <w:style w:type="paragraph" w:customStyle="1" w:styleId="238">
    <w:name w:val="引用1"/>
    <w:basedOn w:val="1"/>
    <w:next w:val="1"/>
    <w:qFormat/>
    <w:uiPriority w:val="0"/>
    <w:rPr>
      <w:rFonts w:ascii="Calibri" w:hAnsi="Calibri" w:cs="Times New Roman"/>
      <w:i/>
      <w:iCs/>
      <w:color w:val="000000"/>
      <w:kern w:val="2"/>
      <w:sz w:val="21"/>
      <w:szCs w:val="22"/>
    </w:rPr>
  </w:style>
  <w:style w:type="character" w:customStyle="1" w:styleId="239">
    <w:name w:val="引用 Char1"/>
    <w:basedOn w:val="58"/>
    <w:qFormat/>
    <w:uiPriority w:val="29"/>
    <w:rPr>
      <w:rFonts w:ascii="Times New Roman" w:hAnsi="Times New Roman" w:eastAsia="宋体" w:cs="Times New Roman"/>
      <w:i/>
      <w:iCs/>
      <w:color w:val="404040"/>
      <w:szCs w:val="24"/>
    </w:rPr>
  </w:style>
  <w:style w:type="character" w:customStyle="1" w:styleId="240">
    <w:name w:val="ask-title2"/>
    <w:qFormat/>
    <w:uiPriority w:val="0"/>
  </w:style>
  <w:style w:type="character" w:customStyle="1" w:styleId="241">
    <w:name w:val="正文文本 Char1"/>
    <w:qFormat/>
    <w:uiPriority w:val="0"/>
    <w:rPr>
      <w:kern w:val="2"/>
      <w:sz w:val="21"/>
      <w:szCs w:val="22"/>
    </w:rPr>
  </w:style>
  <w:style w:type="character" w:customStyle="1" w:styleId="242">
    <w:name w:val="不明显强调1"/>
    <w:qFormat/>
    <w:uiPriority w:val="0"/>
    <w:rPr>
      <w:i/>
      <w:iCs/>
      <w:color w:val="808080"/>
    </w:rPr>
  </w:style>
  <w:style w:type="character" w:customStyle="1" w:styleId="243">
    <w:name w:val="明显参考1"/>
    <w:qFormat/>
    <w:uiPriority w:val="0"/>
    <w:rPr>
      <w:b/>
      <w:bCs/>
      <w:smallCaps/>
      <w:color w:val="C0504D"/>
      <w:spacing w:val="5"/>
      <w:u w:val="single"/>
    </w:rPr>
  </w:style>
  <w:style w:type="character" w:customStyle="1" w:styleId="244">
    <w:name w:val="书籍标题1"/>
    <w:qFormat/>
    <w:uiPriority w:val="0"/>
    <w:rPr>
      <w:b/>
      <w:bCs/>
      <w:smallCaps/>
      <w:spacing w:val="5"/>
    </w:rPr>
  </w:style>
  <w:style w:type="character" w:customStyle="1" w:styleId="245">
    <w:name w:val="日期 Char1"/>
    <w:qFormat/>
    <w:uiPriority w:val="0"/>
    <w:rPr>
      <w:kern w:val="2"/>
      <w:sz w:val="21"/>
      <w:szCs w:val="22"/>
    </w:rPr>
  </w:style>
  <w:style w:type="character" w:customStyle="1" w:styleId="246">
    <w:name w:val="明显强调1"/>
    <w:qFormat/>
    <w:uiPriority w:val="0"/>
    <w:rPr>
      <w:b/>
      <w:bCs/>
      <w:i/>
      <w:iCs/>
      <w:color w:val="4F81BD"/>
    </w:rPr>
  </w:style>
  <w:style w:type="character" w:customStyle="1" w:styleId="247">
    <w:name w:val="textcontents"/>
    <w:qFormat/>
    <w:uiPriority w:val="0"/>
    <w:rPr>
      <w:rFonts w:cs="Times New Roman"/>
    </w:rPr>
  </w:style>
  <w:style w:type="character" w:customStyle="1" w:styleId="248">
    <w:name w:val="不明显参考1"/>
    <w:qFormat/>
    <w:uiPriority w:val="0"/>
    <w:rPr>
      <w:smallCaps/>
      <w:color w:val="C0504D"/>
      <w:u w:val="single"/>
    </w:rPr>
  </w:style>
  <w:style w:type="character" w:customStyle="1" w:styleId="249">
    <w:name w:val="批注文字 Char Char"/>
    <w:qFormat/>
    <w:uiPriority w:val="0"/>
    <w:rPr>
      <w:rFonts w:ascii="宋体" w:hAnsi="Times New Roman" w:eastAsia="宋体" w:cs="Times New Roman"/>
      <w:sz w:val="28"/>
      <w:szCs w:val="20"/>
    </w:rPr>
  </w:style>
  <w:style w:type="character" w:customStyle="1" w:styleId="250">
    <w:name w:val="文档结构图 Char1"/>
    <w:qFormat/>
    <w:uiPriority w:val="0"/>
    <w:rPr>
      <w:rFonts w:ascii="宋体"/>
      <w:kern w:val="2"/>
      <w:sz w:val="18"/>
      <w:szCs w:val="18"/>
    </w:rPr>
  </w:style>
  <w:style w:type="paragraph" w:customStyle="1" w:styleId="251">
    <w:name w:val="修订1"/>
    <w:qFormat/>
    <w:uiPriority w:val="0"/>
    <w:rPr>
      <w:rFonts w:ascii="Times New Roman" w:hAnsi="Times New Roman" w:eastAsia="宋体" w:cs="Times New Roman"/>
      <w:kern w:val="2"/>
      <w:sz w:val="21"/>
      <w:szCs w:val="24"/>
      <w:lang w:val="en-US" w:eastAsia="zh-CN" w:bidi="ar-SA"/>
    </w:rPr>
  </w:style>
  <w:style w:type="character" w:customStyle="1" w:styleId="252">
    <w:name w:val="页脚 Char1"/>
    <w:semiHidden/>
    <w:qFormat/>
    <w:uiPriority w:val="99"/>
    <w:rPr>
      <w:kern w:val="2"/>
      <w:sz w:val="18"/>
      <w:szCs w:val="18"/>
    </w:rPr>
  </w:style>
  <w:style w:type="character" w:customStyle="1" w:styleId="253">
    <w:name w:val="批注框文本 Char2"/>
    <w:semiHidden/>
    <w:qFormat/>
    <w:uiPriority w:val="99"/>
    <w:rPr>
      <w:kern w:val="2"/>
      <w:sz w:val="18"/>
      <w:szCs w:val="18"/>
    </w:rPr>
  </w:style>
  <w:style w:type="character" w:customStyle="1" w:styleId="254">
    <w:name w:val="批注主题 Char2"/>
    <w:semiHidden/>
    <w:qFormat/>
    <w:uiPriority w:val="99"/>
    <w:rPr>
      <w:b/>
      <w:bCs/>
      <w:kern w:val="2"/>
      <w:sz w:val="21"/>
      <w:szCs w:val="22"/>
    </w:rPr>
  </w:style>
  <w:style w:type="character" w:customStyle="1" w:styleId="255">
    <w:name w:val="文档结构图 Char2"/>
    <w:semiHidden/>
    <w:qFormat/>
    <w:uiPriority w:val="99"/>
    <w:rPr>
      <w:rFonts w:ascii="宋体"/>
      <w:kern w:val="2"/>
      <w:sz w:val="18"/>
      <w:szCs w:val="18"/>
    </w:rPr>
  </w:style>
  <w:style w:type="character" w:customStyle="1" w:styleId="256">
    <w:name w:val="页眉 Char1"/>
    <w:semiHidden/>
    <w:qFormat/>
    <w:uiPriority w:val="99"/>
    <w:rPr>
      <w:kern w:val="2"/>
      <w:sz w:val="18"/>
      <w:szCs w:val="18"/>
    </w:rPr>
  </w:style>
  <w:style w:type="character" w:customStyle="1" w:styleId="257">
    <w:name w:val="日期 Char2"/>
    <w:semiHidden/>
    <w:qFormat/>
    <w:uiPriority w:val="99"/>
    <w:rPr>
      <w:kern w:val="2"/>
      <w:sz w:val="21"/>
      <w:szCs w:val="22"/>
    </w:rPr>
  </w:style>
  <w:style w:type="character" w:customStyle="1" w:styleId="258">
    <w:name w:val="正文文本 Char2"/>
    <w:semiHidden/>
    <w:qFormat/>
    <w:uiPriority w:val="99"/>
    <w:rPr>
      <w:kern w:val="2"/>
      <w:sz w:val="21"/>
      <w:szCs w:val="22"/>
    </w:rPr>
  </w:style>
  <w:style w:type="character" w:customStyle="1" w:styleId="259">
    <w:name w:val="标题 Char1"/>
    <w:qFormat/>
    <w:uiPriority w:val="10"/>
    <w:rPr>
      <w:rFonts w:ascii="Cambria" w:hAnsi="Cambria" w:cs="Times New Roman"/>
      <w:b/>
      <w:bCs/>
      <w:kern w:val="2"/>
      <w:sz w:val="32"/>
      <w:szCs w:val="32"/>
    </w:rPr>
  </w:style>
  <w:style w:type="character" w:customStyle="1" w:styleId="260">
    <w:name w:val="副标题 Char1"/>
    <w:qFormat/>
    <w:uiPriority w:val="11"/>
    <w:rPr>
      <w:rFonts w:ascii="Cambria" w:hAnsi="Cambria" w:cs="Times New Roman"/>
      <w:b/>
      <w:bCs/>
      <w:kern w:val="28"/>
      <w:sz w:val="32"/>
      <w:szCs w:val="32"/>
    </w:rPr>
  </w:style>
  <w:style w:type="paragraph" w:customStyle="1" w:styleId="261">
    <w:name w:val="空半行"/>
    <w:basedOn w:val="1"/>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6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3">
    <w:name w:val="flNote"/>
    <w:basedOn w:val="1"/>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4">
    <w:name w:val="正文2 Char"/>
    <w:link w:val="265"/>
    <w:qFormat/>
    <w:uiPriority w:val="0"/>
    <w:rPr>
      <w:rFonts w:ascii="楷体" w:eastAsia="楷体"/>
      <w:b/>
      <w:color w:val="0000FF"/>
    </w:rPr>
  </w:style>
  <w:style w:type="paragraph" w:customStyle="1" w:styleId="265">
    <w:name w:val="正文2"/>
    <w:link w:val="264"/>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6">
    <w:name w:val="p0"/>
    <w:basedOn w:val="1"/>
    <w:qFormat/>
    <w:uiPriority w:val="0"/>
    <w:pPr>
      <w:widowControl/>
      <w:spacing w:before="100" w:beforeAutospacing="1" w:after="100" w:afterAutospacing="1"/>
      <w:jc w:val="left"/>
    </w:pPr>
    <w:rPr>
      <w:rFonts w:cs="宋体"/>
      <w:szCs w:val="24"/>
    </w:rPr>
  </w:style>
  <w:style w:type="character" w:customStyle="1" w:styleId="267">
    <w:name w:val="正文文本 (2)_"/>
    <w:link w:val="268"/>
    <w:qFormat/>
    <w:locked/>
    <w:uiPriority w:val="99"/>
    <w:rPr>
      <w:rFonts w:ascii="MingLiU" w:eastAsia="MingLiU" w:cs="MingLiU"/>
      <w:spacing w:val="20"/>
      <w:sz w:val="22"/>
      <w:shd w:val="clear" w:color="auto" w:fill="FFFFFF"/>
    </w:rPr>
  </w:style>
  <w:style w:type="paragraph" w:customStyle="1" w:styleId="268">
    <w:name w:val="正文文本 (2)1"/>
    <w:basedOn w:val="1"/>
    <w:link w:val="267"/>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9">
    <w:name w:val="正文文本 (2) + 间距 0 pt5"/>
    <w:qFormat/>
    <w:uiPriority w:val="99"/>
    <w:rPr>
      <w:rFonts w:ascii="MingLiU" w:eastAsia="MingLiU" w:cs="MingLiU"/>
      <w:spacing w:val="0"/>
      <w:sz w:val="22"/>
      <w:shd w:val="clear" w:color="auto" w:fill="FFFFFF"/>
    </w:rPr>
  </w:style>
  <w:style w:type="character" w:customStyle="1" w:styleId="270">
    <w:name w:val="访问过的超链接1"/>
    <w:basedOn w:val="58"/>
    <w:semiHidden/>
    <w:unhideWhenUsed/>
    <w:qFormat/>
    <w:uiPriority w:val="99"/>
    <w:rPr>
      <w:color w:val="954F72"/>
      <w:u w:val="single"/>
    </w:rPr>
  </w:style>
  <w:style w:type="character" w:customStyle="1" w:styleId="271">
    <w:name w:val="明显引用 Char2"/>
    <w:basedOn w:val="58"/>
    <w:qFormat/>
    <w:uiPriority w:val="30"/>
    <w:rPr>
      <w:b/>
      <w:bCs/>
      <w:i/>
      <w:iCs/>
      <w:color w:val="4F81BD" w:themeColor="accent1"/>
      <w14:textFill>
        <w14:solidFill>
          <w14:schemeClr w14:val="accent1"/>
        </w14:solidFill>
      </w14:textFill>
    </w:rPr>
  </w:style>
  <w:style w:type="character" w:customStyle="1" w:styleId="272">
    <w:name w:val="引用 Char2"/>
    <w:basedOn w:val="58"/>
    <w:qFormat/>
    <w:uiPriority w:val="29"/>
    <w:rPr>
      <w:i/>
      <w:iCs/>
      <w:color w:val="000000" w:themeColor="text1"/>
      <w14:textFill>
        <w14:solidFill>
          <w14:schemeClr w14:val="tx1"/>
        </w14:solidFill>
      </w14:textFill>
    </w:rPr>
  </w:style>
  <w:style w:type="table" w:customStyle="1" w:styleId="273">
    <w:name w:val="网格型4"/>
    <w:basedOn w:val="56"/>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4">
    <w:name w:val="集团正文"/>
    <w:basedOn w:val="1"/>
    <w:qFormat/>
    <w:uiPriority w:val="0"/>
    <w:pPr>
      <w:spacing w:line="576" w:lineRule="exact"/>
      <w:ind w:firstLine="880"/>
    </w:pPr>
    <w:rPr>
      <w:rFonts w:hint="eastAsia" w:ascii="仿宋_GB2312" w:hAnsi="仿宋_GB2312" w:eastAsia="仿宋_GB2312" w:cs="Times New Roman"/>
      <w:sz w:val="32"/>
      <w:szCs w:val="32"/>
    </w:rPr>
  </w:style>
  <w:style w:type="character" w:customStyle="1" w:styleId="275">
    <w:name w:val="正文文本首行缩进 字符"/>
    <w:basedOn w:val="97"/>
    <w:link w:val="54"/>
    <w:qFormat/>
    <w:uiPriority w:val="99"/>
    <w:rPr>
      <w:rFonts w:ascii="宋体" w:hAnsi="宋体" w:eastAsia="@微软简标宋" w:cstheme="minorBidi"/>
      <w:szCs w:val="24"/>
      <w:lang w:val="zh-CN" w:eastAsia="zh-CN"/>
    </w:rPr>
  </w:style>
  <w:style w:type="character" w:customStyle="1" w:styleId="276">
    <w:name w:val="NormalCharacter"/>
    <w:qFormat/>
    <w:uiPriority w:val="0"/>
    <w:rPr>
      <w:rFonts w:ascii="Calibri" w:hAnsi="Calibri"/>
      <w:kern w:val="2"/>
      <w:sz w:val="21"/>
      <w:szCs w:val="22"/>
      <w:lang w:val="en-US" w:eastAsia="zh-CN" w:bidi="ar-SA"/>
    </w:rPr>
  </w:style>
  <w:style w:type="character" w:customStyle="1" w:styleId="277">
    <w:name w:val="正文文本首行缩进 2 字符"/>
    <w:basedOn w:val="112"/>
    <w:link w:val="55"/>
    <w:qFormat/>
    <w:uiPriority w:val="99"/>
    <w:rPr>
      <w:rFonts w:ascii="Calibri" w:hAnsi="Calibri" w:cstheme="minorBidi"/>
      <w:kern w:val="2"/>
      <w:sz w:val="21"/>
      <w:szCs w:val="22"/>
    </w:rPr>
  </w:style>
  <w:style w:type="paragraph" w:customStyle="1" w:styleId="278">
    <w:name w:val="Table Text"/>
    <w:basedOn w:val="1"/>
    <w:semiHidden/>
    <w:qFormat/>
    <w:uiPriority w:val="0"/>
    <w:pPr>
      <w:spacing w:line="221" w:lineRule="auto"/>
      <w:ind w:firstLine="0" w:firstLineChars="0"/>
    </w:pPr>
    <w:rPr>
      <w:rFonts w:cs="宋体"/>
      <w:kern w:val="2"/>
      <w:szCs w:val="24"/>
      <w:lang w:eastAsia="en-US"/>
    </w:rPr>
  </w:style>
  <w:style w:type="table" w:customStyle="1" w:styleId="27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akoosky</Company>
  <Pages>56</Pages>
  <Words>22306</Words>
  <Characters>24743</Characters>
  <Lines>1</Lines>
  <Paragraphs>1</Paragraphs>
  <TotalTime>83</TotalTime>
  <ScaleCrop>false</ScaleCrop>
  <LinksUpToDate>false</LinksUpToDate>
  <CharactersWithSpaces>25987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2025-06-27T01:11:00Z</dcterms:created>
  <dc:creator>Anakin</dc:creator>
  <cp:lastModifiedBy>谭丽君</cp:lastModifiedBy>
  <cp:lastPrinted>2026-05-26T06:50:00Z</cp:lastPrinted>
  <dcterms:modified xsi:type="dcterms:W3CDTF">2026-06-11T08:00:03Z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56B4D85D95D94E7B9F99E3C37F83C77B_13</vt:lpwstr>
  </property>
  <property fmtid="{D5CDD505-2E9C-101B-9397-08002B2CF9AE}" pid="4" name="KSOTemplateDocerSaveRecord">
    <vt:lpwstr>eyJoZGlkIjoiNGUzNTRkZTA3NzRhZjA4ZDA4NWU3ZjQ0NjNhZWUzZjkiLCJ1c2VySWQiOiIxNTcwOTkzNjIwIn0=</vt:lpwstr>
  </property>
</Properties>
</file>