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5C942">
      <w:pPr>
        <w:tabs>
          <w:tab w:val="left" w:pos="315"/>
          <w:tab w:val="left" w:pos="8820"/>
        </w:tabs>
        <w:spacing w:before="240" w:beforeLines="100" w:after="120" w:afterLines="50" w:line="500" w:lineRule="exact"/>
        <w:ind w:right="305" w:rightChars="127" w:firstLine="1044"/>
        <w:jc w:val="center"/>
        <w:rPr>
          <w:rFonts w:hint="eastAsia"/>
          <w:b/>
          <w:bCs/>
          <w:sz w:val="52"/>
          <w:szCs w:val="52"/>
          <w:highlight w:val="none"/>
          <w:vertAlign w:val="superscript"/>
        </w:rPr>
      </w:pPr>
    </w:p>
    <w:p w14:paraId="6876ED05">
      <w:pPr>
        <w:tabs>
          <w:tab w:val="left" w:pos="315"/>
          <w:tab w:val="left" w:pos="8820"/>
        </w:tabs>
        <w:ind w:firstLine="0" w:firstLineChars="0"/>
        <w:jc w:val="center"/>
        <w:rPr>
          <w:b/>
          <w:bCs/>
          <w:sz w:val="52"/>
          <w:szCs w:val="52"/>
          <w:highlight w:val="none"/>
        </w:rPr>
      </w:pPr>
      <w:bookmarkStart w:id="0" w:name="_Hlk9544796"/>
      <w:r>
        <w:rPr>
          <w:rFonts w:hint="eastAsia"/>
          <w:b/>
          <w:bCs/>
          <w:sz w:val="52"/>
          <w:szCs w:val="52"/>
          <w:highlight w:val="none"/>
        </w:rPr>
        <w:t>服务类项目</w:t>
      </w:r>
    </w:p>
    <w:p w14:paraId="3D0439F0">
      <w:pPr>
        <w:tabs>
          <w:tab w:val="left" w:pos="315"/>
          <w:tab w:val="left" w:pos="8820"/>
        </w:tabs>
        <w:ind w:firstLine="0" w:firstLineChars="0"/>
        <w:jc w:val="center"/>
        <w:rPr>
          <w:sz w:val="44"/>
          <w:szCs w:val="44"/>
          <w:highlight w:val="none"/>
        </w:rPr>
      </w:pPr>
      <w:r>
        <w:rPr>
          <w:rFonts w:hint="eastAsia"/>
          <w:b/>
          <w:bCs/>
          <w:sz w:val="52"/>
          <w:szCs w:val="52"/>
          <w:highlight w:val="none"/>
        </w:rPr>
        <w:t>磋商文件</w:t>
      </w:r>
      <w:r>
        <w:rPr>
          <w:rFonts w:hint="eastAsia" w:cs="宋体"/>
          <w:highlight w:val="none"/>
        </w:rPr>
        <w:drawing>
          <wp:anchor distT="0" distB="0" distL="114300" distR="114300" simplePos="0" relativeHeight="251659264" behindDoc="0" locked="0" layoutInCell="1" allowOverlap="1">
            <wp:simplePos x="0" y="0"/>
            <wp:positionH relativeFrom="column">
              <wp:posOffset>1899285</wp:posOffset>
            </wp:positionH>
            <wp:positionV relativeFrom="paragraph">
              <wp:posOffset>1385570</wp:posOffset>
            </wp:positionV>
            <wp:extent cx="1733550" cy="1743075"/>
            <wp:effectExtent l="0" t="0" r="0" b="952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1733550" cy="1743075"/>
                    </a:xfrm>
                    <a:prstGeom prst="rect">
                      <a:avLst/>
                    </a:prstGeom>
                    <a:noFill/>
                    <a:ln>
                      <a:noFill/>
                    </a:ln>
                  </pic:spPr>
                </pic:pic>
              </a:graphicData>
            </a:graphic>
          </wp:anchor>
        </w:drawing>
      </w:r>
      <w:bookmarkEnd w:id="0"/>
    </w:p>
    <w:p w14:paraId="0C1D19F4">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5BA19053">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0C16D71F">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349C9F84">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56151A23">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22969C39">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7612C10D">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3CB044D4">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324C4F3D">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项目名称：</w:t>
      </w:r>
      <w:r>
        <w:rPr>
          <w:rFonts w:hint="eastAsia"/>
          <w:b/>
          <w:spacing w:val="20"/>
          <w:sz w:val="32"/>
          <w:szCs w:val="32"/>
          <w:highlight w:val="none"/>
          <w:lang w:eastAsia="zh-CN"/>
        </w:rPr>
        <w:t>肥西县公安局局机关及看守所、拘留所办公执法场所保洁服务采购项目</w:t>
      </w:r>
    </w:p>
    <w:p w14:paraId="2BF469F9">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项目编号：</w:t>
      </w:r>
      <w:r>
        <w:rPr>
          <w:rFonts w:hint="eastAsia"/>
          <w:b/>
          <w:spacing w:val="20"/>
          <w:sz w:val="32"/>
          <w:szCs w:val="32"/>
          <w:highlight w:val="none"/>
          <w:lang w:eastAsia="zh-CN"/>
        </w:rPr>
        <w:t>2026GSFN0012</w:t>
      </w:r>
    </w:p>
    <w:p w14:paraId="2F47E556">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业主单位：</w:t>
      </w:r>
      <w:r>
        <w:rPr>
          <w:rFonts w:hint="eastAsia"/>
          <w:b/>
          <w:spacing w:val="20"/>
          <w:sz w:val="32"/>
          <w:szCs w:val="32"/>
          <w:highlight w:val="none"/>
          <w:lang w:eastAsia="zh-CN"/>
        </w:rPr>
        <w:t xml:space="preserve">肥西县公安局 </w:t>
      </w:r>
    </w:p>
    <w:p w14:paraId="7FB5EF28">
      <w:pPr>
        <w:tabs>
          <w:tab w:val="left" w:pos="2410"/>
        </w:tabs>
        <w:autoSpaceDE w:val="0"/>
        <w:autoSpaceDN w:val="0"/>
        <w:adjustRightInd w:val="0"/>
        <w:snapToGrid w:val="0"/>
        <w:ind w:firstLine="723"/>
        <w:rPr>
          <w:b/>
          <w:spacing w:val="20"/>
          <w:sz w:val="32"/>
          <w:szCs w:val="32"/>
          <w:highlight w:val="none"/>
        </w:rPr>
      </w:pPr>
      <w:r>
        <w:rPr>
          <w:rFonts w:hint="eastAsia"/>
          <w:b/>
          <w:spacing w:val="20"/>
          <w:sz w:val="32"/>
          <w:szCs w:val="32"/>
          <w:highlight w:val="none"/>
        </w:rPr>
        <w:t>代理机构：肥西县公共资源交易有限责任公司</w:t>
      </w:r>
    </w:p>
    <w:p w14:paraId="228236ED">
      <w:pPr>
        <w:tabs>
          <w:tab w:val="left" w:pos="2410"/>
        </w:tabs>
        <w:autoSpaceDE w:val="0"/>
        <w:autoSpaceDN w:val="0"/>
        <w:adjustRightInd w:val="0"/>
        <w:snapToGrid w:val="0"/>
        <w:ind w:firstLine="723"/>
        <w:jc w:val="center"/>
        <w:rPr>
          <w:b/>
          <w:sz w:val="36"/>
          <w:highlight w:val="none"/>
        </w:rPr>
      </w:pPr>
    </w:p>
    <w:p w14:paraId="11FB2A9B">
      <w:pPr>
        <w:tabs>
          <w:tab w:val="left" w:pos="2410"/>
        </w:tabs>
        <w:autoSpaceDE w:val="0"/>
        <w:autoSpaceDN w:val="0"/>
        <w:adjustRightInd w:val="0"/>
        <w:snapToGrid w:val="0"/>
        <w:ind w:firstLine="3253" w:firstLineChars="900"/>
        <w:rPr>
          <w:b/>
          <w:sz w:val="36"/>
          <w:highlight w:val="none"/>
        </w:rPr>
      </w:pPr>
      <w:r>
        <w:rPr>
          <w:rFonts w:hint="eastAsia"/>
          <w:b/>
          <w:sz w:val="36"/>
          <w:highlight w:val="none"/>
        </w:rPr>
        <w:t>202</w:t>
      </w:r>
      <w:r>
        <w:rPr>
          <w:rFonts w:hint="eastAsia"/>
          <w:b/>
          <w:sz w:val="36"/>
          <w:highlight w:val="none"/>
          <w:lang w:val="en-US" w:eastAsia="zh-CN"/>
        </w:rPr>
        <w:t>6</w:t>
      </w:r>
      <w:r>
        <w:rPr>
          <w:rFonts w:hint="eastAsia"/>
          <w:b/>
          <w:sz w:val="36"/>
          <w:highlight w:val="none"/>
        </w:rPr>
        <w:t>年</w:t>
      </w:r>
      <w:r>
        <w:rPr>
          <w:rFonts w:hint="eastAsia"/>
          <w:b/>
          <w:sz w:val="36"/>
          <w:highlight w:val="none"/>
          <w:lang w:val="en-US" w:eastAsia="zh-CN"/>
        </w:rPr>
        <w:t>10</w:t>
      </w:r>
      <w:r>
        <w:rPr>
          <w:rFonts w:hint="eastAsia"/>
          <w:b/>
          <w:sz w:val="36"/>
          <w:highlight w:val="none"/>
        </w:rPr>
        <w:t>月</w:t>
      </w:r>
      <w:r>
        <w:rPr>
          <w:b/>
          <w:sz w:val="36"/>
          <w:highlight w:val="none"/>
        </w:rPr>
        <w:br w:type="page"/>
      </w:r>
    </w:p>
    <w:p w14:paraId="61563932">
      <w:pPr>
        <w:tabs>
          <w:tab w:val="left" w:pos="2410"/>
        </w:tabs>
        <w:autoSpaceDE w:val="0"/>
        <w:autoSpaceDN w:val="0"/>
        <w:adjustRightInd w:val="0"/>
        <w:snapToGrid w:val="0"/>
        <w:ind w:firstLine="562"/>
        <w:jc w:val="center"/>
        <w:rPr>
          <w:b/>
          <w:sz w:val="28"/>
          <w:highlight w:val="none"/>
        </w:rPr>
      </w:pPr>
      <w:r>
        <w:rPr>
          <w:rFonts w:hint="eastAsia"/>
          <w:b/>
          <w:sz w:val="28"/>
          <w:highlight w:val="none"/>
        </w:rPr>
        <w:t>目  录</w:t>
      </w:r>
    </w:p>
    <w:p w14:paraId="4AD19D8D">
      <w:pPr>
        <w:pStyle w:val="11"/>
        <w:tabs>
          <w:tab w:val="right" w:leader="dot" w:pos="8869"/>
        </w:tabs>
        <w:rPr>
          <w:b/>
          <w:bCs/>
        </w:rPr>
      </w:pPr>
      <w:r>
        <w:rPr>
          <w:rFonts w:asciiTheme="minorEastAsia" w:hAnsiTheme="minorEastAsia"/>
          <w:b/>
          <w:bCs/>
          <w:sz w:val="24"/>
          <w:szCs w:val="24"/>
          <w:highlight w:val="none"/>
        </w:rPr>
        <w:fldChar w:fldCharType="begin"/>
      </w:r>
      <w:r>
        <w:rPr>
          <w:rFonts w:asciiTheme="minorEastAsia" w:hAnsiTheme="minorEastAsia"/>
          <w:b/>
          <w:bCs/>
          <w:sz w:val="24"/>
          <w:szCs w:val="24"/>
          <w:highlight w:val="none"/>
        </w:rPr>
        <w:instrText xml:space="preserve"> </w:instrText>
      </w:r>
      <w:r>
        <w:rPr>
          <w:rFonts w:hint="eastAsia" w:asciiTheme="minorEastAsia" w:hAnsiTheme="minorEastAsia"/>
          <w:b/>
          <w:bCs/>
          <w:sz w:val="24"/>
          <w:szCs w:val="24"/>
          <w:highlight w:val="none"/>
        </w:rPr>
        <w:instrText xml:space="preserve">TOC \o "1-2" \h \z \u</w:instrText>
      </w:r>
      <w:r>
        <w:rPr>
          <w:rFonts w:asciiTheme="minorEastAsia" w:hAnsiTheme="minorEastAsia"/>
          <w:b/>
          <w:bCs/>
          <w:sz w:val="24"/>
          <w:szCs w:val="24"/>
          <w:highlight w:val="none"/>
        </w:rPr>
        <w:instrText xml:space="preserve"> </w:instrText>
      </w:r>
      <w:r>
        <w:rPr>
          <w:rFonts w:asciiTheme="minorEastAsia" w:hAnsiTheme="minorEastAsia"/>
          <w:b/>
          <w:bCs/>
          <w:sz w:val="24"/>
          <w:szCs w:val="24"/>
          <w:highlight w:val="none"/>
        </w:rPr>
        <w:fldChar w:fldCharType="separate"/>
      </w: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_Toc14832 </w:instrText>
      </w:r>
      <w:r>
        <w:rPr>
          <w:rFonts w:asciiTheme="minorEastAsia" w:hAnsiTheme="minorEastAsia"/>
          <w:b/>
          <w:bCs/>
          <w:szCs w:val="24"/>
          <w:highlight w:val="none"/>
        </w:rPr>
        <w:fldChar w:fldCharType="separate"/>
      </w:r>
      <w:r>
        <w:rPr>
          <w:rFonts w:hint="eastAsia" w:asciiTheme="minorEastAsia" w:hAnsiTheme="minorEastAsia" w:eastAsiaTheme="minorEastAsia"/>
          <w:b/>
          <w:bCs/>
        </w:rPr>
        <w:t xml:space="preserve">第一章 </w:t>
      </w:r>
      <w:r>
        <w:rPr>
          <w:rFonts w:hint="eastAsia" w:asciiTheme="minorEastAsia" w:hAnsiTheme="minorEastAsia"/>
          <w:b/>
          <w:bCs/>
          <w:lang w:val="en-US" w:eastAsia="zh-CN"/>
        </w:rPr>
        <w:t xml:space="preserve"> </w:t>
      </w:r>
      <w:r>
        <w:rPr>
          <w:rFonts w:hint="eastAsia" w:asciiTheme="minorEastAsia" w:hAnsiTheme="minorEastAsia" w:eastAsiaTheme="minorEastAsia"/>
          <w:b/>
          <w:bCs/>
          <w:highlight w:val="none"/>
        </w:rPr>
        <w:t>磋商公告</w:t>
      </w:r>
      <w:r>
        <w:rPr>
          <w:b/>
          <w:bCs/>
        </w:rPr>
        <w:tab/>
      </w:r>
      <w:r>
        <w:rPr>
          <w:b/>
          <w:bCs/>
        </w:rPr>
        <w:fldChar w:fldCharType="begin"/>
      </w:r>
      <w:r>
        <w:rPr>
          <w:b/>
          <w:bCs/>
        </w:rPr>
        <w:instrText xml:space="preserve"> PAGEREF _Toc14832 \h </w:instrText>
      </w:r>
      <w:r>
        <w:rPr>
          <w:b/>
          <w:bCs/>
        </w:rPr>
        <w:fldChar w:fldCharType="separate"/>
      </w:r>
      <w:r>
        <w:rPr>
          <w:b/>
          <w:bCs/>
        </w:rPr>
        <w:t>3</w:t>
      </w:r>
      <w:r>
        <w:rPr>
          <w:b/>
          <w:bCs/>
        </w:rPr>
        <w:fldChar w:fldCharType="end"/>
      </w:r>
      <w:r>
        <w:rPr>
          <w:rFonts w:asciiTheme="minorEastAsia" w:hAnsiTheme="minorEastAsia"/>
          <w:b/>
          <w:bCs/>
          <w:szCs w:val="24"/>
          <w:highlight w:val="none"/>
        </w:rPr>
        <w:fldChar w:fldCharType="end"/>
      </w:r>
    </w:p>
    <w:p w14:paraId="0DB8F08B">
      <w:pPr>
        <w:pStyle w:val="11"/>
        <w:tabs>
          <w:tab w:val="right" w:leader="dot" w:pos="8869"/>
        </w:tabs>
        <w:rPr>
          <w:b/>
          <w:bCs/>
        </w:rPr>
      </w:pP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_Toc4515 </w:instrText>
      </w:r>
      <w:r>
        <w:rPr>
          <w:rFonts w:asciiTheme="minorEastAsia" w:hAnsiTheme="minorEastAsia"/>
          <w:b/>
          <w:bCs/>
          <w:szCs w:val="24"/>
          <w:highlight w:val="none"/>
        </w:rPr>
        <w:fldChar w:fldCharType="separate"/>
      </w:r>
      <w:r>
        <w:rPr>
          <w:rFonts w:hint="eastAsia" w:asciiTheme="minorEastAsia" w:hAnsiTheme="minorEastAsia" w:eastAsiaTheme="minorEastAsia"/>
          <w:b/>
          <w:bCs/>
          <w:highlight w:val="none"/>
        </w:rPr>
        <w:t>第二章</w:t>
      </w:r>
      <w:r>
        <w:rPr>
          <w:rFonts w:asciiTheme="minorEastAsia" w:hAnsiTheme="minorEastAsia" w:eastAsiaTheme="minorEastAsia"/>
          <w:b/>
          <w:bCs/>
          <w:highlight w:val="none"/>
        </w:rPr>
        <w:t xml:space="preserve"> </w:t>
      </w:r>
      <w:r>
        <w:rPr>
          <w:rFonts w:hint="eastAsia" w:asciiTheme="minorEastAsia" w:hAnsiTheme="minorEastAsia" w:eastAsiaTheme="minorEastAsia"/>
          <w:b/>
          <w:bCs/>
          <w:highlight w:val="none"/>
        </w:rPr>
        <w:t xml:space="preserve"> 供应商</w:t>
      </w:r>
      <w:r>
        <w:rPr>
          <w:rFonts w:asciiTheme="minorEastAsia" w:hAnsiTheme="minorEastAsia" w:eastAsiaTheme="minorEastAsia"/>
          <w:b/>
          <w:bCs/>
          <w:highlight w:val="none"/>
        </w:rPr>
        <w:t>须知</w:t>
      </w:r>
      <w:r>
        <w:rPr>
          <w:b/>
          <w:bCs/>
        </w:rPr>
        <w:tab/>
      </w:r>
      <w:r>
        <w:rPr>
          <w:b/>
          <w:bCs/>
        </w:rPr>
        <w:fldChar w:fldCharType="begin"/>
      </w:r>
      <w:r>
        <w:rPr>
          <w:b/>
          <w:bCs/>
        </w:rPr>
        <w:instrText xml:space="preserve"> PAGEREF _Toc4515 \h </w:instrText>
      </w:r>
      <w:r>
        <w:rPr>
          <w:b/>
          <w:bCs/>
        </w:rPr>
        <w:fldChar w:fldCharType="separate"/>
      </w:r>
      <w:r>
        <w:rPr>
          <w:b/>
          <w:bCs/>
        </w:rPr>
        <w:t>6</w:t>
      </w:r>
      <w:r>
        <w:rPr>
          <w:b/>
          <w:bCs/>
        </w:rPr>
        <w:fldChar w:fldCharType="end"/>
      </w:r>
      <w:r>
        <w:rPr>
          <w:rFonts w:asciiTheme="minorEastAsia" w:hAnsiTheme="minorEastAsia"/>
          <w:b/>
          <w:bCs/>
          <w:szCs w:val="24"/>
          <w:highlight w:val="none"/>
        </w:rPr>
        <w:fldChar w:fldCharType="end"/>
      </w:r>
    </w:p>
    <w:p w14:paraId="257D73E1">
      <w:pPr>
        <w:pStyle w:val="11"/>
        <w:tabs>
          <w:tab w:val="right" w:leader="dot" w:pos="8869"/>
        </w:tabs>
        <w:rPr>
          <w:b/>
          <w:bCs/>
        </w:rPr>
      </w:pP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_Toc14866 </w:instrText>
      </w:r>
      <w:r>
        <w:rPr>
          <w:rFonts w:asciiTheme="minorEastAsia" w:hAnsiTheme="minorEastAsia"/>
          <w:b/>
          <w:bCs/>
          <w:szCs w:val="24"/>
          <w:highlight w:val="none"/>
        </w:rPr>
        <w:fldChar w:fldCharType="separate"/>
      </w:r>
      <w:r>
        <w:rPr>
          <w:rFonts w:hint="eastAsia" w:asciiTheme="minorEastAsia" w:hAnsiTheme="minorEastAsia" w:eastAsiaTheme="minorEastAsia"/>
          <w:b/>
          <w:bCs/>
          <w:highlight w:val="none"/>
        </w:rPr>
        <w:t>第三章  业主单位要求</w:t>
      </w:r>
      <w:r>
        <w:rPr>
          <w:b/>
          <w:bCs/>
        </w:rPr>
        <w:tab/>
      </w:r>
      <w:r>
        <w:rPr>
          <w:b/>
          <w:bCs/>
        </w:rPr>
        <w:fldChar w:fldCharType="begin"/>
      </w:r>
      <w:r>
        <w:rPr>
          <w:b/>
          <w:bCs/>
        </w:rPr>
        <w:instrText xml:space="preserve"> PAGEREF _Toc14866 \h </w:instrText>
      </w:r>
      <w:r>
        <w:rPr>
          <w:b/>
          <w:bCs/>
        </w:rPr>
        <w:fldChar w:fldCharType="separate"/>
      </w:r>
      <w:r>
        <w:rPr>
          <w:b/>
          <w:bCs/>
        </w:rPr>
        <w:t>23</w:t>
      </w:r>
      <w:r>
        <w:rPr>
          <w:b/>
          <w:bCs/>
        </w:rPr>
        <w:fldChar w:fldCharType="end"/>
      </w:r>
      <w:r>
        <w:rPr>
          <w:rFonts w:asciiTheme="minorEastAsia" w:hAnsiTheme="minorEastAsia"/>
          <w:b/>
          <w:bCs/>
          <w:szCs w:val="24"/>
          <w:highlight w:val="none"/>
        </w:rPr>
        <w:fldChar w:fldCharType="end"/>
      </w:r>
    </w:p>
    <w:p w14:paraId="62DB98F3">
      <w:pPr>
        <w:pStyle w:val="11"/>
        <w:tabs>
          <w:tab w:val="right" w:leader="dot" w:pos="8869"/>
        </w:tabs>
        <w:rPr>
          <w:b/>
          <w:bCs/>
        </w:rPr>
      </w:pP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_Toc8991 </w:instrText>
      </w:r>
      <w:r>
        <w:rPr>
          <w:rFonts w:asciiTheme="minorEastAsia" w:hAnsiTheme="minorEastAsia"/>
          <w:b/>
          <w:bCs/>
          <w:szCs w:val="24"/>
          <w:highlight w:val="none"/>
        </w:rPr>
        <w:fldChar w:fldCharType="separate"/>
      </w:r>
      <w:r>
        <w:rPr>
          <w:rFonts w:hint="eastAsia" w:asciiTheme="minorEastAsia" w:hAnsiTheme="minorEastAsia" w:eastAsiaTheme="minorEastAsia"/>
          <w:b/>
          <w:bCs/>
          <w:highlight w:val="none"/>
        </w:rPr>
        <w:t>第四章  评审方法和标准</w:t>
      </w:r>
      <w:r>
        <w:rPr>
          <w:b/>
          <w:bCs/>
        </w:rPr>
        <w:tab/>
      </w:r>
      <w:r>
        <w:rPr>
          <w:b/>
          <w:bCs/>
        </w:rPr>
        <w:fldChar w:fldCharType="begin"/>
      </w:r>
      <w:r>
        <w:rPr>
          <w:b/>
          <w:bCs/>
        </w:rPr>
        <w:instrText xml:space="preserve"> PAGEREF _Toc8991 \h </w:instrText>
      </w:r>
      <w:r>
        <w:rPr>
          <w:b/>
          <w:bCs/>
        </w:rPr>
        <w:fldChar w:fldCharType="separate"/>
      </w:r>
      <w:r>
        <w:rPr>
          <w:b/>
          <w:bCs/>
        </w:rPr>
        <w:t>28</w:t>
      </w:r>
      <w:r>
        <w:rPr>
          <w:b/>
          <w:bCs/>
        </w:rPr>
        <w:fldChar w:fldCharType="end"/>
      </w:r>
      <w:r>
        <w:rPr>
          <w:rFonts w:asciiTheme="minorEastAsia" w:hAnsiTheme="minorEastAsia"/>
          <w:b/>
          <w:bCs/>
          <w:szCs w:val="24"/>
          <w:highlight w:val="none"/>
        </w:rPr>
        <w:fldChar w:fldCharType="end"/>
      </w:r>
    </w:p>
    <w:p w14:paraId="67AD62BF">
      <w:pPr>
        <w:pStyle w:val="11"/>
        <w:tabs>
          <w:tab w:val="right" w:leader="dot" w:pos="8869"/>
        </w:tabs>
        <w:rPr>
          <w:b/>
          <w:bCs/>
        </w:rPr>
      </w:pP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_Toc11803 </w:instrText>
      </w:r>
      <w:r>
        <w:rPr>
          <w:rFonts w:asciiTheme="minorEastAsia" w:hAnsiTheme="minorEastAsia"/>
          <w:b/>
          <w:bCs/>
          <w:szCs w:val="24"/>
          <w:highlight w:val="none"/>
        </w:rPr>
        <w:fldChar w:fldCharType="separate"/>
      </w:r>
      <w:r>
        <w:rPr>
          <w:rFonts w:hint="eastAsia" w:asciiTheme="minorEastAsia" w:hAnsiTheme="minorEastAsia" w:eastAsiaTheme="minorEastAsia"/>
          <w:b/>
          <w:bCs/>
          <w:highlight w:val="none"/>
        </w:rPr>
        <w:t>第五章  合同</w:t>
      </w:r>
      <w:r>
        <w:rPr>
          <w:b/>
          <w:bCs/>
        </w:rPr>
        <w:tab/>
      </w:r>
      <w:r>
        <w:rPr>
          <w:b/>
          <w:bCs/>
        </w:rPr>
        <w:fldChar w:fldCharType="begin"/>
      </w:r>
      <w:r>
        <w:rPr>
          <w:b/>
          <w:bCs/>
        </w:rPr>
        <w:instrText xml:space="preserve"> PAGEREF _Toc11803 \h </w:instrText>
      </w:r>
      <w:r>
        <w:rPr>
          <w:b/>
          <w:bCs/>
        </w:rPr>
        <w:fldChar w:fldCharType="separate"/>
      </w:r>
      <w:r>
        <w:rPr>
          <w:b/>
          <w:bCs/>
        </w:rPr>
        <w:t>35</w:t>
      </w:r>
      <w:r>
        <w:rPr>
          <w:b/>
          <w:bCs/>
        </w:rPr>
        <w:fldChar w:fldCharType="end"/>
      </w:r>
      <w:r>
        <w:rPr>
          <w:rFonts w:asciiTheme="minorEastAsia" w:hAnsiTheme="minorEastAsia"/>
          <w:b/>
          <w:bCs/>
          <w:szCs w:val="24"/>
          <w:highlight w:val="none"/>
        </w:rPr>
        <w:fldChar w:fldCharType="end"/>
      </w:r>
    </w:p>
    <w:p w14:paraId="6B741DEF">
      <w:pPr>
        <w:pStyle w:val="11"/>
        <w:tabs>
          <w:tab w:val="right" w:leader="dot" w:pos="8869"/>
        </w:tabs>
        <w:rPr>
          <w:b/>
          <w:bCs/>
        </w:rPr>
      </w:pPr>
      <w:r>
        <w:rPr>
          <w:rFonts w:asciiTheme="minorEastAsia" w:hAnsiTheme="minorEastAsia"/>
          <w:b/>
          <w:bCs/>
          <w:szCs w:val="24"/>
          <w:highlight w:val="none"/>
        </w:rPr>
        <w:fldChar w:fldCharType="begin"/>
      </w:r>
      <w:r>
        <w:rPr>
          <w:rFonts w:asciiTheme="minorEastAsia" w:hAnsiTheme="minorEastAsia"/>
          <w:b/>
          <w:bCs/>
          <w:szCs w:val="24"/>
          <w:highlight w:val="none"/>
        </w:rPr>
        <w:instrText xml:space="preserve"> HYPERLINK \l _Toc13101 </w:instrText>
      </w:r>
      <w:r>
        <w:rPr>
          <w:rFonts w:asciiTheme="minorEastAsia" w:hAnsiTheme="minorEastAsia"/>
          <w:b/>
          <w:bCs/>
          <w:szCs w:val="24"/>
          <w:highlight w:val="none"/>
        </w:rPr>
        <w:fldChar w:fldCharType="separate"/>
      </w:r>
      <w:r>
        <w:rPr>
          <w:rFonts w:hint="eastAsia" w:asciiTheme="minorEastAsia" w:hAnsiTheme="minorEastAsia" w:eastAsiaTheme="minorEastAsia"/>
          <w:b/>
          <w:bCs/>
          <w:highlight w:val="none"/>
        </w:rPr>
        <w:t>第六章  响应文件格式</w:t>
      </w:r>
      <w:r>
        <w:rPr>
          <w:b/>
          <w:bCs/>
        </w:rPr>
        <w:tab/>
      </w:r>
      <w:r>
        <w:rPr>
          <w:b/>
          <w:bCs/>
        </w:rPr>
        <w:fldChar w:fldCharType="begin"/>
      </w:r>
      <w:r>
        <w:rPr>
          <w:b/>
          <w:bCs/>
        </w:rPr>
        <w:instrText xml:space="preserve"> PAGEREF _Toc13101 \h </w:instrText>
      </w:r>
      <w:r>
        <w:rPr>
          <w:b/>
          <w:bCs/>
        </w:rPr>
        <w:fldChar w:fldCharType="separate"/>
      </w:r>
      <w:r>
        <w:rPr>
          <w:b/>
          <w:bCs/>
        </w:rPr>
        <w:t>36</w:t>
      </w:r>
      <w:r>
        <w:rPr>
          <w:b/>
          <w:bCs/>
        </w:rPr>
        <w:fldChar w:fldCharType="end"/>
      </w:r>
      <w:r>
        <w:rPr>
          <w:rFonts w:asciiTheme="minorEastAsia" w:hAnsiTheme="minorEastAsia"/>
          <w:b/>
          <w:bCs/>
          <w:szCs w:val="24"/>
          <w:highlight w:val="none"/>
        </w:rPr>
        <w:fldChar w:fldCharType="end"/>
      </w:r>
    </w:p>
    <w:p w14:paraId="20B0A720">
      <w:pPr>
        <w:pStyle w:val="11"/>
        <w:tabs>
          <w:tab w:val="right" w:leader="dot" w:pos="8296"/>
        </w:tabs>
        <w:ind w:firstLine="440"/>
        <w:rPr>
          <w:rFonts w:asciiTheme="minorEastAsia" w:hAnsiTheme="minorEastAsia"/>
          <w:szCs w:val="24"/>
          <w:highlight w:val="none"/>
        </w:rPr>
      </w:pPr>
      <w:r>
        <w:rPr>
          <w:rFonts w:asciiTheme="minorEastAsia" w:hAnsiTheme="minorEastAsia"/>
          <w:b/>
          <w:bCs/>
          <w:szCs w:val="24"/>
          <w:highlight w:val="none"/>
        </w:rPr>
        <w:fldChar w:fldCharType="end"/>
      </w:r>
    </w:p>
    <w:p w14:paraId="2BF15C62">
      <w:pPr>
        <w:pStyle w:val="20"/>
        <w:ind w:left="180" w:leftChars="75" w:firstLine="480"/>
        <w:rPr>
          <w:rFonts w:asciiTheme="minorEastAsia" w:hAnsiTheme="minorEastAsia" w:eastAsiaTheme="minorEastAsia"/>
          <w:sz w:val="28"/>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1440" w:right="1519" w:bottom="1440" w:left="1519" w:header="851" w:footer="992" w:gutter="0"/>
          <w:pgBorders>
            <w:top w:val="none" w:sz="0" w:space="0"/>
            <w:left w:val="none" w:sz="0" w:space="0"/>
            <w:bottom w:val="none" w:sz="0" w:space="0"/>
            <w:right w:val="none" w:sz="0" w:space="0"/>
          </w:pgBorders>
          <w:cols w:space="720" w:num="1"/>
          <w:docGrid w:linePitch="462" w:charSpace="0"/>
        </w:sectPr>
      </w:pPr>
      <w:r>
        <w:rPr>
          <w:rFonts w:hint="eastAsia"/>
          <w:highlight w:val="none"/>
        </w:rPr>
        <w:br w:type="page"/>
      </w:r>
    </w:p>
    <w:p w14:paraId="6EB2951F">
      <w:pPr>
        <w:numPr>
          <w:ilvl w:val="0"/>
          <w:numId w:val="1"/>
        </w:numPr>
        <w:ind w:firstLine="562"/>
        <w:jc w:val="center"/>
        <w:outlineLvl w:val="1"/>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t xml:space="preserve"> </w:t>
      </w:r>
      <w:bookmarkStart w:id="1" w:name="_Toc14832"/>
      <w:bookmarkStart w:id="2" w:name="_Hlk193096165"/>
      <w:r>
        <w:rPr>
          <w:rFonts w:hint="eastAsia" w:asciiTheme="minorEastAsia" w:hAnsiTheme="minorEastAsia" w:eastAsiaTheme="minorEastAsia"/>
          <w:b/>
          <w:sz w:val="28"/>
          <w:highlight w:val="none"/>
        </w:rPr>
        <w:t>磋商公告</w:t>
      </w:r>
      <w:bookmarkEnd w:id="1"/>
    </w:p>
    <w:p w14:paraId="2EBD37D4">
      <w:pPr>
        <w:pStyle w:val="21"/>
        <w:widowControl w:val="0"/>
        <w:autoSpaceDE w:val="0"/>
        <w:autoSpaceDN w:val="0"/>
        <w:adjustRightInd w:val="0"/>
        <w:spacing w:before="93" w:beforeLines="30" w:after="93" w:afterLines="30"/>
        <w:rPr>
          <w:rFonts w:asciiTheme="majorEastAsia" w:hAnsiTheme="majorEastAsia" w:eastAsiaTheme="majorEastAsia" w:cstheme="majorEastAsia"/>
          <w:highlight w:val="none"/>
        </w:rPr>
      </w:pPr>
      <w:r>
        <w:rPr>
          <w:rFonts w:hint="eastAsia" w:asciiTheme="majorEastAsia" w:hAnsiTheme="majorEastAsia" w:eastAsiaTheme="majorEastAsia" w:cstheme="majorEastAsia"/>
          <w:kern w:val="2"/>
          <w:highlight w:val="none"/>
        </w:rPr>
        <w:t>肥西县公共资源交易有限责任公司受</w:t>
      </w:r>
      <w:r>
        <w:rPr>
          <w:rFonts w:hint="eastAsia" w:asciiTheme="majorEastAsia" w:hAnsiTheme="majorEastAsia" w:eastAsiaTheme="majorEastAsia" w:cstheme="majorEastAsia"/>
          <w:kern w:val="2"/>
          <w:highlight w:val="none"/>
          <w:lang w:eastAsia="zh-CN"/>
        </w:rPr>
        <w:t>肥西县公安局</w:t>
      </w:r>
      <w:r>
        <w:rPr>
          <w:rFonts w:hint="eastAsia" w:asciiTheme="majorEastAsia" w:hAnsiTheme="majorEastAsia" w:eastAsiaTheme="majorEastAsia" w:cstheme="majorEastAsia"/>
          <w:kern w:val="2"/>
          <w:highlight w:val="none"/>
        </w:rPr>
        <w:t>委托，现对</w:t>
      </w:r>
      <w:r>
        <w:rPr>
          <w:rFonts w:hint="eastAsia" w:asciiTheme="majorEastAsia" w:hAnsiTheme="majorEastAsia" w:eastAsiaTheme="majorEastAsia" w:cstheme="majorEastAsia"/>
          <w:kern w:val="2"/>
          <w:highlight w:val="none"/>
          <w:lang w:eastAsia="zh-CN"/>
        </w:rPr>
        <w:t>肥西县公安局局机关及看守所、拘留所办公执法场所保洁服务采购项目</w:t>
      </w:r>
      <w:r>
        <w:rPr>
          <w:rFonts w:hint="eastAsia" w:asciiTheme="majorEastAsia" w:hAnsiTheme="majorEastAsia" w:eastAsiaTheme="majorEastAsia" w:cstheme="majorEastAsia"/>
          <w:kern w:val="2"/>
          <w:highlight w:val="none"/>
        </w:rPr>
        <w:t>进行磋商，欢迎具备条件的供应商参加磋商。</w:t>
      </w:r>
    </w:p>
    <w:p w14:paraId="06D47880">
      <w:pPr>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1.项目名称及内容</w:t>
      </w:r>
    </w:p>
    <w:p w14:paraId="0AB0A442">
      <w:pPr>
        <w:autoSpaceDE w:val="0"/>
        <w:autoSpaceDN w:val="0"/>
        <w:adjustRightInd w:val="0"/>
        <w:spacing w:before="93" w:beforeLines="30" w:after="93" w:afterLines="30"/>
        <w:ind w:firstLine="480"/>
        <w:jc w:val="left"/>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1.1 项目编号：</w:t>
      </w:r>
      <w:r>
        <w:rPr>
          <w:rFonts w:hint="eastAsia" w:asciiTheme="majorEastAsia" w:hAnsiTheme="majorEastAsia" w:eastAsiaTheme="majorEastAsia" w:cstheme="majorEastAsia"/>
          <w:szCs w:val="24"/>
          <w:highlight w:val="none"/>
          <w:lang w:eastAsia="zh-CN"/>
        </w:rPr>
        <w:t>2026GSFN0012</w:t>
      </w:r>
    </w:p>
    <w:p w14:paraId="68D83F6A">
      <w:pPr>
        <w:autoSpaceDE w:val="0"/>
        <w:autoSpaceDN w:val="0"/>
        <w:adjustRightInd w:val="0"/>
        <w:spacing w:before="93" w:beforeLines="30" w:after="93" w:afterLines="30"/>
        <w:ind w:firstLine="480"/>
        <w:jc w:val="left"/>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1.2 项目名称：</w:t>
      </w:r>
      <w:r>
        <w:rPr>
          <w:rFonts w:hint="eastAsia" w:asciiTheme="majorEastAsia" w:hAnsiTheme="majorEastAsia" w:eastAsiaTheme="majorEastAsia" w:cstheme="majorEastAsia"/>
          <w:szCs w:val="24"/>
          <w:highlight w:val="none"/>
          <w:lang w:eastAsia="zh-CN"/>
        </w:rPr>
        <w:t>肥西县公安局局机关及看守所、拘留所办公执法场所保洁服务采购项目</w:t>
      </w:r>
    </w:p>
    <w:p w14:paraId="2352694D">
      <w:pPr>
        <w:autoSpaceDE w:val="0"/>
        <w:autoSpaceDN w:val="0"/>
        <w:adjustRightInd w:val="0"/>
        <w:spacing w:before="93" w:beforeLines="30" w:after="93" w:afterLines="30"/>
        <w:ind w:firstLine="480"/>
        <w:jc w:val="left"/>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1.3 项目地点：</w:t>
      </w:r>
      <w:r>
        <w:rPr>
          <w:rFonts w:hint="eastAsia" w:asciiTheme="majorEastAsia" w:hAnsiTheme="majorEastAsia" w:eastAsiaTheme="majorEastAsia" w:cstheme="majorEastAsia"/>
          <w:kern w:val="2"/>
          <w:highlight w:val="none"/>
        </w:rPr>
        <w:t>肥西县</w:t>
      </w:r>
    </w:p>
    <w:p w14:paraId="0CC1C870">
      <w:pPr>
        <w:autoSpaceDE w:val="0"/>
        <w:autoSpaceDN w:val="0"/>
        <w:adjustRightInd w:val="0"/>
        <w:spacing w:before="93" w:beforeLines="30" w:after="93" w:afterLines="30"/>
        <w:ind w:firstLine="480"/>
        <w:jc w:val="left"/>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1.4 项目单位：</w:t>
      </w:r>
      <w:r>
        <w:rPr>
          <w:rFonts w:hint="eastAsia" w:asciiTheme="majorEastAsia" w:hAnsiTheme="majorEastAsia" w:eastAsiaTheme="majorEastAsia" w:cstheme="majorEastAsia"/>
          <w:kern w:val="2"/>
          <w:highlight w:val="none"/>
          <w:lang w:eastAsia="zh-CN"/>
        </w:rPr>
        <w:t xml:space="preserve">肥西县公安局 </w:t>
      </w:r>
    </w:p>
    <w:p w14:paraId="31CB7E0B">
      <w:pPr>
        <w:autoSpaceDE w:val="0"/>
        <w:autoSpaceDN w:val="0"/>
        <w:adjustRightInd w:val="0"/>
        <w:spacing w:before="93" w:beforeLines="30" w:after="93" w:afterLines="30"/>
        <w:ind w:firstLine="480"/>
        <w:jc w:val="left"/>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1.5 项目概况：</w:t>
      </w:r>
      <w:r>
        <w:rPr>
          <w:rFonts w:hint="eastAsia" w:asciiTheme="majorEastAsia" w:hAnsiTheme="majorEastAsia" w:eastAsiaTheme="majorEastAsia" w:cstheme="majorEastAsia"/>
          <w:kern w:val="2"/>
          <w:highlight w:val="none"/>
          <w:lang w:eastAsia="zh-CN"/>
        </w:rPr>
        <w:t>肥西县公安局3个独立办公及执法场所，分布于全县各乡镇驻地，具体包括：局机关、看守所、拘留所，建筑总面积25000平方米，详见磋</w:t>
      </w:r>
      <w:r>
        <w:rPr>
          <w:rFonts w:hint="eastAsia" w:asciiTheme="majorEastAsia" w:hAnsiTheme="majorEastAsia" w:eastAsiaTheme="majorEastAsia" w:cstheme="majorEastAsia"/>
          <w:szCs w:val="24"/>
          <w:highlight w:val="none"/>
        </w:rPr>
        <w:t>商文件。</w:t>
      </w:r>
    </w:p>
    <w:p w14:paraId="3F579825">
      <w:pPr>
        <w:autoSpaceDE w:val="0"/>
        <w:autoSpaceDN w:val="0"/>
        <w:adjustRightInd w:val="0"/>
        <w:spacing w:before="93" w:beforeLines="30" w:after="93" w:afterLines="30"/>
        <w:ind w:firstLine="480"/>
        <w:jc w:val="left"/>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1.6 资金来源：</w:t>
      </w:r>
      <w:r>
        <w:rPr>
          <w:rFonts w:hint="eastAsia" w:asciiTheme="majorEastAsia" w:hAnsiTheme="majorEastAsia" w:eastAsiaTheme="majorEastAsia" w:cstheme="majorEastAsia"/>
          <w:szCs w:val="24"/>
          <w:highlight w:val="none"/>
          <w:lang w:val="en-US" w:eastAsia="zh-CN"/>
        </w:rPr>
        <w:t>财政预算</w:t>
      </w:r>
      <w:r>
        <w:rPr>
          <w:rFonts w:hint="eastAsia" w:asciiTheme="majorEastAsia" w:hAnsiTheme="majorEastAsia" w:eastAsiaTheme="majorEastAsia" w:cstheme="majorEastAsia"/>
          <w:szCs w:val="24"/>
          <w:highlight w:val="none"/>
        </w:rPr>
        <w:t>资金</w:t>
      </w:r>
    </w:p>
    <w:p w14:paraId="72218629">
      <w:pPr>
        <w:autoSpaceDE w:val="0"/>
        <w:autoSpaceDN w:val="0"/>
        <w:adjustRightInd w:val="0"/>
        <w:spacing w:before="93" w:beforeLines="30" w:after="93" w:afterLines="30"/>
        <w:ind w:firstLine="480"/>
        <w:jc w:val="left"/>
        <w:rPr>
          <w:rFonts w:hint="default" w:eastAsiaTheme="majorEastAsia"/>
          <w:szCs w:val="24"/>
          <w:highlight w:val="none"/>
          <w:lang w:val="en-US" w:eastAsia="zh-CN"/>
        </w:rPr>
      </w:pPr>
      <w:r>
        <w:rPr>
          <w:rFonts w:hint="eastAsia" w:asciiTheme="majorEastAsia" w:hAnsiTheme="majorEastAsia" w:eastAsiaTheme="majorEastAsia" w:cstheme="majorEastAsia"/>
          <w:szCs w:val="24"/>
          <w:highlight w:val="none"/>
        </w:rPr>
        <w:t>1.7 项目预算：</w:t>
      </w:r>
      <w:r>
        <w:rPr>
          <w:rFonts w:hint="eastAsia" w:asciiTheme="majorEastAsia" w:hAnsiTheme="majorEastAsia" w:eastAsiaTheme="majorEastAsia" w:cstheme="majorEastAsia"/>
          <w:szCs w:val="24"/>
          <w:highlight w:val="none"/>
          <w:lang w:val="en-US" w:eastAsia="zh-CN"/>
        </w:rPr>
        <w:t>27万元</w:t>
      </w:r>
    </w:p>
    <w:p w14:paraId="55D4540C">
      <w:pPr>
        <w:autoSpaceDE w:val="0"/>
        <w:autoSpaceDN w:val="0"/>
        <w:adjustRightInd w:val="0"/>
        <w:spacing w:before="93" w:beforeLines="30" w:after="93" w:afterLines="30"/>
        <w:ind w:firstLine="480"/>
        <w:jc w:val="left"/>
        <w:rPr>
          <w:rFonts w:hint="default"/>
          <w:b/>
          <w:bCs/>
          <w:szCs w:val="24"/>
          <w:highlight w:val="none"/>
          <w:lang w:val="en-US"/>
        </w:rPr>
      </w:pPr>
      <w:r>
        <w:rPr>
          <w:rFonts w:hint="eastAsia" w:asciiTheme="majorEastAsia" w:hAnsiTheme="majorEastAsia" w:eastAsiaTheme="majorEastAsia" w:cstheme="majorEastAsia"/>
          <w:b/>
          <w:bCs/>
          <w:szCs w:val="24"/>
          <w:highlight w:val="none"/>
        </w:rPr>
        <w:t>1.</w:t>
      </w:r>
      <w:r>
        <w:rPr>
          <w:rFonts w:hint="eastAsia" w:asciiTheme="majorEastAsia" w:hAnsiTheme="majorEastAsia" w:eastAsiaTheme="majorEastAsia" w:cstheme="majorEastAsia"/>
          <w:b/>
          <w:bCs/>
          <w:szCs w:val="24"/>
          <w:highlight w:val="none"/>
          <w:lang w:val="en-US" w:eastAsia="zh-CN"/>
        </w:rPr>
        <w:t>8</w:t>
      </w:r>
      <w:r>
        <w:rPr>
          <w:rFonts w:hint="eastAsia" w:asciiTheme="majorEastAsia" w:hAnsiTheme="majorEastAsia" w:eastAsiaTheme="majorEastAsia" w:cstheme="majorEastAsia"/>
          <w:b/>
          <w:bCs/>
          <w:szCs w:val="24"/>
          <w:highlight w:val="none"/>
        </w:rPr>
        <w:t xml:space="preserve"> </w:t>
      </w:r>
      <w:r>
        <w:rPr>
          <w:rFonts w:hint="eastAsia" w:asciiTheme="majorEastAsia" w:hAnsiTheme="majorEastAsia" w:eastAsiaTheme="majorEastAsia" w:cstheme="majorEastAsia"/>
          <w:b/>
          <w:bCs/>
          <w:szCs w:val="24"/>
          <w:highlight w:val="none"/>
          <w:lang w:val="en-US" w:eastAsia="zh-CN"/>
        </w:rPr>
        <w:t>最高限价</w:t>
      </w:r>
      <w:r>
        <w:rPr>
          <w:rFonts w:hint="eastAsia" w:asciiTheme="majorEastAsia" w:hAnsiTheme="majorEastAsia" w:eastAsiaTheme="majorEastAsia" w:cstheme="majorEastAsia"/>
          <w:b/>
          <w:bCs/>
          <w:szCs w:val="24"/>
          <w:highlight w:val="none"/>
        </w:rPr>
        <w:t>：</w:t>
      </w:r>
      <w:r>
        <w:rPr>
          <w:rFonts w:hint="eastAsia" w:asciiTheme="majorEastAsia" w:hAnsiTheme="majorEastAsia" w:eastAsiaTheme="majorEastAsia" w:cstheme="majorEastAsia"/>
          <w:szCs w:val="24"/>
          <w:highlight w:val="none"/>
          <w:lang w:val="en-US" w:eastAsia="zh-CN"/>
        </w:rPr>
        <w:t>27万元</w:t>
      </w:r>
    </w:p>
    <w:p w14:paraId="42DC961E">
      <w:pPr>
        <w:autoSpaceDE w:val="0"/>
        <w:autoSpaceDN w:val="0"/>
        <w:adjustRightInd w:val="0"/>
        <w:spacing w:before="93" w:beforeLines="30" w:after="93" w:afterLines="30"/>
        <w:ind w:firstLine="480"/>
        <w:jc w:val="left"/>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w:t>
      </w:r>
      <w:r>
        <w:rPr>
          <w:rFonts w:hint="eastAsia" w:asciiTheme="majorEastAsia" w:hAnsiTheme="majorEastAsia" w:eastAsiaTheme="majorEastAsia" w:cstheme="majorEastAsia"/>
          <w:szCs w:val="24"/>
          <w:highlight w:val="none"/>
          <w:lang w:val="en-US" w:eastAsia="zh-CN"/>
        </w:rPr>
        <w:t>9</w:t>
      </w:r>
      <w:r>
        <w:rPr>
          <w:rFonts w:hint="eastAsia" w:asciiTheme="majorEastAsia" w:hAnsiTheme="majorEastAsia" w:eastAsiaTheme="majorEastAsia" w:cstheme="majorEastAsia"/>
          <w:szCs w:val="24"/>
          <w:highlight w:val="none"/>
        </w:rPr>
        <w:t xml:space="preserve"> 项目类别：服务类</w:t>
      </w:r>
    </w:p>
    <w:p w14:paraId="5CCB85C2">
      <w:pPr>
        <w:autoSpaceDE w:val="0"/>
        <w:autoSpaceDN w:val="0"/>
        <w:adjustRightInd w:val="0"/>
        <w:spacing w:before="93" w:beforeLines="30" w:after="93" w:afterLines="30"/>
        <w:ind w:firstLine="480"/>
        <w:jc w:val="left"/>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w:t>
      </w:r>
      <w:r>
        <w:rPr>
          <w:rFonts w:hint="eastAsia" w:asciiTheme="majorEastAsia" w:hAnsiTheme="majorEastAsia" w:eastAsiaTheme="majorEastAsia" w:cstheme="majorEastAsia"/>
          <w:szCs w:val="24"/>
          <w:highlight w:val="none"/>
          <w:lang w:val="en-US" w:eastAsia="zh-CN"/>
        </w:rPr>
        <w:t>10</w:t>
      </w:r>
      <w:r>
        <w:rPr>
          <w:rFonts w:hint="eastAsia" w:asciiTheme="majorEastAsia" w:hAnsiTheme="majorEastAsia" w:eastAsiaTheme="majorEastAsia" w:cstheme="majorEastAsia"/>
          <w:szCs w:val="24"/>
          <w:highlight w:val="none"/>
        </w:rPr>
        <w:t xml:space="preserve"> 包别划分：共分1个包</w:t>
      </w:r>
    </w:p>
    <w:p w14:paraId="6DEED8F2">
      <w:pPr>
        <w:spacing w:before="93" w:beforeLines="30" w:after="93" w:afterLines="30"/>
        <w:ind w:firstLine="482"/>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b/>
          <w:bCs/>
          <w:szCs w:val="24"/>
          <w:highlight w:val="none"/>
        </w:rPr>
        <w:t xml:space="preserve">2.供应商资格要求 </w:t>
      </w:r>
    </w:p>
    <w:p w14:paraId="595880D9">
      <w:pPr>
        <w:spacing w:before="93" w:beforeLines="30" w:after="93" w:afterLines="30"/>
        <w:ind w:firstLine="482"/>
        <w:rPr>
          <w:rFonts w:hint="eastAsia" w:ascii="宋体" w:hAnsi="宋体" w:eastAsia="宋体" w:cs="宋体"/>
          <w:color w:val="FF0000"/>
          <w:sz w:val="24"/>
          <w:highlight w:val="none"/>
          <w:u w:val="none"/>
          <w:lang w:val="en-US" w:eastAsia="zh-CN"/>
        </w:rPr>
      </w:pPr>
      <w:r>
        <w:rPr>
          <w:rFonts w:hint="eastAsia" w:asciiTheme="majorEastAsia" w:hAnsiTheme="majorEastAsia" w:eastAsiaTheme="majorEastAsia" w:cstheme="majorEastAsia"/>
          <w:szCs w:val="24"/>
          <w:highlight w:val="none"/>
        </w:rPr>
        <w:t>2.1 供应商具有独立承担民事责任的能力；</w:t>
      </w:r>
    </w:p>
    <w:p w14:paraId="7AE320CA">
      <w:pPr>
        <w:spacing w:before="93" w:beforeLines="30" w:after="93" w:afterLines="30"/>
        <w:ind w:firstLine="482"/>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b w:val="0"/>
          <w:bCs w:val="0"/>
          <w:szCs w:val="24"/>
          <w:highlight w:val="none"/>
        </w:rPr>
        <w:t>2.</w:t>
      </w:r>
      <w:r>
        <w:rPr>
          <w:rFonts w:hint="eastAsia" w:asciiTheme="majorEastAsia" w:hAnsiTheme="majorEastAsia" w:eastAsiaTheme="majorEastAsia" w:cstheme="majorEastAsia"/>
          <w:b w:val="0"/>
          <w:bCs w:val="0"/>
          <w:szCs w:val="24"/>
          <w:highlight w:val="none"/>
          <w:lang w:val="en-US" w:eastAsia="zh-CN"/>
        </w:rPr>
        <w:t>2</w:t>
      </w:r>
      <w:r>
        <w:rPr>
          <w:rFonts w:hint="eastAsia" w:asciiTheme="majorEastAsia" w:hAnsiTheme="majorEastAsia" w:eastAsiaTheme="majorEastAsia" w:cstheme="majorEastAsia"/>
          <w:b w:val="0"/>
          <w:bCs w:val="0"/>
          <w:szCs w:val="24"/>
          <w:highlight w:val="none"/>
        </w:rPr>
        <w:t xml:space="preserve"> 本项目</w:t>
      </w:r>
      <w:r>
        <w:rPr>
          <w:rFonts w:hint="eastAsia" w:asciiTheme="majorEastAsia" w:hAnsiTheme="majorEastAsia" w:eastAsiaTheme="majorEastAsia" w:cstheme="majorEastAsia"/>
          <w:b w:val="0"/>
          <w:bCs w:val="0"/>
          <w:color w:val="000000" w:themeColor="text1"/>
          <w:szCs w:val="24"/>
          <w:highlight w:val="none"/>
          <w:lang w:val="en-US" w:eastAsia="zh-CN"/>
          <w14:textFill>
            <w14:solidFill>
              <w14:schemeClr w14:val="tx1"/>
            </w14:solidFill>
          </w14:textFill>
        </w:rPr>
        <w:t>不</w:t>
      </w:r>
      <w:r>
        <w:rPr>
          <w:rFonts w:hint="eastAsia" w:asciiTheme="majorEastAsia" w:hAnsiTheme="majorEastAsia" w:eastAsiaTheme="majorEastAsia" w:cstheme="majorEastAsia"/>
          <w:b w:val="0"/>
          <w:bCs w:val="0"/>
          <w:szCs w:val="24"/>
          <w:highlight w:val="none"/>
        </w:rPr>
        <w:t>联合体磋商</w:t>
      </w:r>
      <w:r>
        <w:rPr>
          <w:rFonts w:hint="eastAsia" w:asciiTheme="majorEastAsia" w:hAnsiTheme="majorEastAsia" w:eastAsiaTheme="majorEastAsia" w:cstheme="majorEastAsia"/>
          <w:szCs w:val="24"/>
          <w:highlight w:val="none"/>
          <w:lang w:eastAsia="zh-CN"/>
        </w:rPr>
        <w:t>；</w:t>
      </w:r>
    </w:p>
    <w:p w14:paraId="46CC0958">
      <w:pPr>
        <w:spacing w:before="93" w:beforeLines="30" w:after="93" w:afterLines="30"/>
        <w:ind w:firstLine="480"/>
        <w:rPr>
          <w:rFonts w:hint="eastAsia" w:asciiTheme="majorEastAsia" w:hAnsiTheme="majorEastAsia" w:eastAsiaTheme="majorEastAsia" w:cstheme="majorEastAsia"/>
          <w:b/>
          <w:bCs/>
          <w:i/>
          <w:iCs/>
          <w:szCs w:val="24"/>
          <w:highlight w:val="none"/>
          <w:lang w:eastAsia="zh-CN"/>
        </w:rPr>
      </w:pPr>
      <w:r>
        <w:rPr>
          <w:rFonts w:hint="eastAsia" w:asciiTheme="majorEastAsia" w:hAnsiTheme="majorEastAsia" w:eastAsiaTheme="majorEastAsia" w:cstheme="majorEastAsia"/>
          <w:szCs w:val="24"/>
          <w:highlight w:val="none"/>
        </w:rPr>
        <w:t>2.</w:t>
      </w:r>
      <w:r>
        <w:rPr>
          <w:rFonts w:hint="eastAsia" w:asciiTheme="majorEastAsia" w:hAnsiTheme="majorEastAsia" w:eastAsiaTheme="majorEastAsia" w:cstheme="majorEastAsia"/>
          <w:szCs w:val="24"/>
          <w:highlight w:val="none"/>
          <w:lang w:val="en-US" w:eastAsia="zh-CN"/>
        </w:rPr>
        <w:t>3</w:t>
      </w:r>
      <w:r>
        <w:rPr>
          <w:rFonts w:hint="eastAsia" w:asciiTheme="majorEastAsia" w:hAnsiTheme="majorEastAsia" w:eastAsiaTheme="majorEastAsia" w:cstheme="majorEastAsia"/>
          <w:szCs w:val="24"/>
          <w:highlight w:val="none"/>
        </w:rPr>
        <w:t xml:space="preserve"> 供应商存在以下不良信用记录情形之一的，不得推荐为成交候选人，不得确定为成交人</w:t>
      </w:r>
      <w:r>
        <w:rPr>
          <w:rFonts w:hint="eastAsia" w:asciiTheme="majorEastAsia" w:hAnsiTheme="majorEastAsia" w:eastAsiaTheme="majorEastAsia" w:cstheme="majorEastAsia"/>
          <w:szCs w:val="24"/>
          <w:highlight w:val="none"/>
          <w:lang w:eastAsia="zh-CN"/>
        </w:rPr>
        <w:t>；</w:t>
      </w:r>
    </w:p>
    <w:p w14:paraId="19A2B038">
      <w:pPr>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（1）在“信用中国”网站（http://www.creditchina.gov.cn/）中被列入失信被执行人名单；</w:t>
      </w:r>
    </w:p>
    <w:p w14:paraId="1ABDD468">
      <w:pPr>
        <w:spacing w:before="93" w:beforeLines="30" w:after="93" w:afterLines="30"/>
        <w:ind w:firstLine="480"/>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（2）在“信用中国”网站（http://www.creditchina.gov.cn/）中被列入重大税收违法失信主体名单</w:t>
      </w:r>
      <w:r>
        <w:rPr>
          <w:rFonts w:hint="eastAsia" w:asciiTheme="majorEastAsia" w:hAnsiTheme="majorEastAsia" w:eastAsiaTheme="majorEastAsia" w:cstheme="majorEastAsia"/>
          <w:szCs w:val="24"/>
          <w:highlight w:val="none"/>
          <w:lang w:eastAsia="zh-CN"/>
        </w:rPr>
        <w:t>。</w:t>
      </w:r>
    </w:p>
    <w:p w14:paraId="697E32B2">
      <w:pPr>
        <w:tabs>
          <w:tab w:val="center" w:pos="4394"/>
        </w:tabs>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3.磋商文件的获取</w:t>
      </w:r>
      <w:r>
        <w:rPr>
          <w:rFonts w:hint="eastAsia" w:asciiTheme="majorEastAsia" w:hAnsiTheme="majorEastAsia" w:eastAsiaTheme="majorEastAsia" w:cstheme="majorEastAsia"/>
          <w:b/>
          <w:bCs/>
          <w:szCs w:val="24"/>
          <w:highlight w:val="none"/>
        </w:rPr>
        <w:tab/>
      </w:r>
    </w:p>
    <w:p w14:paraId="2943AA09">
      <w:pPr>
        <w:adjustRightInd w:val="0"/>
        <w:snapToGrid w:val="0"/>
        <w:spacing w:before="93" w:beforeLines="30" w:after="93" w:afterLines="30"/>
        <w:ind w:firstLine="480"/>
        <w:rPr>
          <w:rFonts w:asciiTheme="majorEastAsia" w:hAnsiTheme="majorEastAsia" w:eastAsiaTheme="majorEastAsia" w:cstheme="majorEastAsia"/>
          <w:color w:val="FF0000"/>
          <w:szCs w:val="24"/>
          <w:highlight w:val="none"/>
        </w:rPr>
      </w:pPr>
      <w:r>
        <w:rPr>
          <w:rFonts w:hint="eastAsia" w:asciiTheme="majorEastAsia" w:hAnsiTheme="majorEastAsia" w:eastAsiaTheme="majorEastAsia" w:cstheme="majorEastAsia"/>
          <w:color w:val="FF0000"/>
          <w:szCs w:val="24"/>
          <w:highlight w:val="none"/>
        </w:rPr>
        <w:t>3.1 获取时间：202</w:t>
      </w:r>
      <w:r>
        <w:rPr>
          <w:rFonts w:hint="eastAsia" w:asciiTheme="majorEastAsia" w:hAnsiTheme="majorEastAsia" w:eastAsiaTheme="majorEastAsia" w:cstheme="majorEastAsia"/>
          <w:color w:val="FF0000"/>
          <w:szCs w:val="24"/>
          <w:highlight w:val="none"/>
          <w:lang w:val="en-US" w:eastAsia="zh-CN"/>
        </w:rPr>
        <w:t>6</w:t>
      </w:r>
      <w:r>
        <w:rPr>
          <w:rFonts w:hint="eastAsia" w:asciiTheme="majorEastAsia" w:hAnsiTheme="majorEastAsia" w:eastAsiaTheme="majorEastAsia" w:cstheme="majorEastAsia"/>
          <w:color w:val="FF0000"/>
          <w:szCs w:val="24"/>
          <w:highlight w:val="none"/>
        </w:rPr>
        <w:t>年</w:t>
      </w:r>
      <w:r>
        <w:rPr>
          <w:rFonts w:hint="eastAsia" w:asciiTheme="majorEastAsia" w:hAnsiTheme="majorEastAsia" w:eastAsiaTheme="majorEastAsia" w:cstheme="majorEastAsia"/>
          <w:color w:val="FF0000"/>
          <w:szCs w:val="24"/>
          <w:highlight w:val="none"/>
          <w:lang w:val="en-US" w:eastAsia="zh-CN"/>
        </w:rPr>
        <w:t>10</w:t>
      </w:r>
      <w:r>
        <w:rPr>
          <w:rFonts w:hint="eastAsia" w:asciiTheme="majorEastAsia" w:hAnsiTheme="majorEastAsia" w:eastAsiaTheme="majorEastAsia" w:cstheme="majorEastAsia"/>
          <w:color w:val="FF0000"/>
          <w:szCs w:val="24"/>
          <w:highlight w:val="none"/>
        </w:rPr>
        <w:t>月</w:t>
      </w:r>
      <w:r>
        <w:rPr>
          <w:rFonts w:hint="eastAsia" w:asciiTheme="majorEastAsia" w:hAnsiTheme="majorEastAsia" w:eastAsiaTheme="majorEastAsia" w:cstheme="majorEastAsia"/>
          <w:color w:val="FF0000"/>
          <w:szCs w:val="24"/>
          <w:highlight w:val="none"/>
          <w:lang w:val="en-US" w:eastAsia="zh-CN"/>
        </w:rPr>
        <w:t>29</w:t>
      </w:r>
      <w:r>
        <w:rPr>
          <w:rFonts w:hint="eastAsia" w:asciiTheme="majorEastAsia" w:hAnsiTheme="majorEastAsia" w:eastAsiaTheme="majorEastAsia" w:cstheme="majorEastAsia"/>
          <w:color w:val="FF0000"/>
          <w:szCs w:val="24"/>
          <w:highlight w:val="none"/>
        </w:rPr>
        <w:t>日至磋商时间。</w:t>
      </w:r>
    </w:p>
    <w:p w14:paraId="426D5EF6">
      <w:pPr>
        <w:adjustRightInd w:val="0"/>
        <w:snapToGrid w:val="0"/>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3.2 获取地点：优质采云采购平台（http://www.youzhicai.com/）</w:t>
      </w:r>
    </w:p>
    <w:p w14:paraId="57F38EA1">
      <w:pPr>
        <w:adjustRightInd w:val="0"/>
        <w:snapToGrid w:val="0"/>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3.3 获取方式：在线下载</w:t>
      </w:r>
    </w:p>
    <w:p w14:paraId="06A950F3">
      <w:pPr>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4.响应文件提交截止时间</w:t>
      </w:r>
    </w:p>
    <w:p w14:paraId="738DFE3B">
      <w:pPr>
        <w:adjustRightInd w:val="0"/>
        <w:snapToGrid w:val="0"/>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同磋商时间。</w:t>
      </w:r>
    </w:p>
    <w:p w14:paraId="4CA39025">
      <w:pPr>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5.磋商时间及地点</w:t>
      </w:r>
    </w:p>
    <w:p w14:paraId="2DDC94DC">
      <w:pPr>
        <w:adjustRightInd w:val="0"/>
        <w:snapToGrid w:val="0"/>
        <w:spacing w:before="93" w:beforeLines="30" w:after="93" w:afterLines="30"/>
        <w:ind w:firstLine="480"/>
        <w:rPr>
          <w:rFonts w:hint="default" w:asciiTheme="majorEastAsia" w:hAnsiTheme="majorEastAsia" w:eastAsiaTheme="majorEastAsia" w:cstheme="majorEastAsia"/>
          <w:szCs w:val="24"/>
          <w:highlight w:val="none"/>
          <w:lang w:val="en-US" w:eastAsia="zh-CN"/>
        </w:rPr>
      </w:pPr>
      <w:r>
        <w:rPr>
          <w:rFonts w:hint="eastAsia" w:asciiTheme="majorEastAsia" w:hAnsiTheme="majorEastAsia" w:eastAsiaTheme="majorEastAsia" w:cstheme="majorEastAsia"/>
          <w:szCs w:val="24"/>
          <w:highlight w:val="none"/>
        </w:rPr>
        <w:t>5.1 磋商时间：</w:t>
      </w:r>
      <w:r>
        <w:rPr>
          <w:rFonts w:hint="eastAsia" w:asciiTheme="majorEastAsia" w:hAnsiTheme="majorEastAsia" w:eastAsiaTheme="majorEastAsia" w:cstheme="majorEastAsia"/>
          <w:color w:val="FF0000"/>
          <w:szCs w:val="24"/>
          <w:highlight w:val="none"/>
        </w:rPr>
        <w:t>202</w:t>
      </w:r>
      <w:r>
        <w:rPr>
          <w:rFonts w:hint="eastAsia" w:asciiTheme="majorEastAsia" w:hAnsiTheme="majorEastAsia" w:eastAsiaTheme="majorEastAsia" w:cstheme="majorEastAsia"/>
          <w:color w:val="FF0000"/>
          <w:szCs w:val="24"/>
          <w:highlight w:val="none"/>
          <w:lang w:val="en-US" w:eastAsia="zh-CN"/>
        </w:rPr>
        <w:t>6</w:t>
      </w:r>
      <w:r>
        <w:rPr>
          <w:rFonts w:hint="eastAsia" w:asciiTheme="majorEastAsia" w:hAnsiTheme="majorEastAsia" w:eastAsiaTheme="majorEastAsia" w:cstheme="majorEastAsia"/>
          <w:color w:val="FF0000"/>
          <w:szCs w:val="24"/>
          <w:highlight w:val="none"/>
        </w:rPr>
        <w:t>年</w:t>
      </w:r>
      <w:r>
        <w:rPr>
          <w:rFonts w:hint="eastAsia" w:asciiTheme="majorEastAsia" w:hAnsiTheme="majorEastAsia" w:eastAsiaTheme="majorEastAsia" w:cstheme="majorEastAsia"/>
          <w:color w:val="FF0000"/>
          <w:szCs w:val="24"/>
          <w:highlight w:val="none"/>
          <w:lang w:val="en-US" w:eastAsia="zh-CN"/>
        </w:rPr>
        <w:t>11</w:t>
      </w:r>
      <w:r>
        <w:rPr>
          <w:rFonts w:hint="eastAsia" w:asciiTheme="majorEastAsia" w:hAnsiTheme="majorEastAsia" w:eastAsiaTheme="majorEastAsia" w:cstheme="majorEastAsia"/>
          <w:color w:val="FF0000"/>
          <w:szCs w:val="24"/>
          <w:highlight w:val="none"/>
        </w:rPr>
        <w:t>月</w:t>
      </w:r>
      <w:r>
        <w:rPr>
          <w:rFonts w:hint="eastAsia" w:asciiTheme="majorEastAsia" w:hAnsiTheme="majorEastAsia" w:eastAsiaTheme="majorEastAsia" w:cstheme="majorEastAsia"/>
          <w:color w:val="FF0000"/>
          <w:szCs w:val="24"/>
          <w:highlight w:val="none"/>
          <w:lang w:val="en-US" w:eastAsia="zh-CN"/>
        </w:rPr>
        <w:t>5</w:t>
      </w:r>
      <w:r>
        <w:rPr>
          <w:rFonts w:hint="eastAsia" w:asciiTheme="majorEastAsia" w:hAnsiTheme="majorEastAsia" w:eastAsiaTheme="majorEastAsia" w:cstheme="majorEastAsia"/>
          <w:color w:val="FF0000"/>
          <w:szCs w:val="24"/>
          <w:highlight w:val="none"/>
        </w:rPr>
        <w:t>日</w:t>
      </w:r>
      <w:r>
        <w:rPr>
          <w:rFonts w:hint="eastAsia" w:asciiTheme="majorEastAsia" w:hAnsiTheme="majorEastAsia" w:eastAsiaTheme="majorEastAsia" w:cstheme="majorEastAsia"/>
          <w:color w:val="FF0000"/>
          <w:szCs w:val="24"/>
          <w:highlight w:val="none"/>
          <w:lang w:val="en-US" w:eastAsia="zh-CN"/>
        </w:rPr>
        <w:t>上午9时00分</w:t>
      </w:r>
    </w:p>
    <w:p w14:paraId="0AA1260A">
      <w:pPr>
        <w:adjustRightInd w:val="0"/>
        <w:snapToGrid w:val="0"/>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5.2 磋商地点：优质采云采购平台（http://www.youzhicai.com/）</w:t>
      </w:r>
    </w:p>
    <w:p w14:paraId="4552E63D">
      <w:pPr>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6.发布公告的媒介</w:t>
      </w:r>
    </w:p>
    <w:p w14:paraId="0A44BCE1">
      <w:pPr>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本次磋商公告同时在肥西县公共资源交易有限责任公司、优质采云采购平台、安徽省招标投标信息网、中国采购与招标网上发布。</w:t>
      </w:r>
    </w:p>
    <w:p w14:paraId="3B043F65">
      <w:pPr>
        <w:spacing w:before="93" w:beforeLines="30" w:after="93" w:afterLines="30"/>
        <w:ind w:firstLine="482"/>
        <w:rPr>
          <w:rFonts w:asciiTheme="majorEastAsia" w:hAnsiTheme="majorEastAsia" w:eastAsiaTheme="majorEastAsia" w:cstheme="majorEastAsia"/>
          <w:b/>
          <w:bCs/>
          <w:szCs w:val="24"/>
          <w:highlight w:val="none"/>
        </w:rPr>
      </w:pPr>
      <w:r>
        <w:rPr>
          <w:rFonts w:hint="eastAsia" w:asciiTheme="majorEastAsia" w:hAnsiTheme="majorEastAsia" w:eastAsiaTheme="majorEastAsia" w:cstheme="majorEastAsia"/>
          <w:b/>
          <w:bCs/>
          <w:szCs w:val="24"/>
          <w:highlight w:val="none"/>
        </w:rPr>
        <w:t>7.联系方式</w:t>
      </w:r>
    </w:p>
    <w:p w14:paraId="2E80F88D">
      <w:pPr>
        <w:spacing w:before="93" w:beforeLines="30" w:after="93" w:afterLines="30"/>
        <w:ind w:firstLine="480"/>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7.1 业主单位</w:t>
      </w:r>
    </w:p>
    <w:p w14:paraId="3F4F21FB">
      <w:pPr>
        <w:spacing w:before="93" w:beforeLines="30" w:after="93" w:afterLines="30"/>
        <w:ind w:firstLine="480"/>
        <w:rPr>
          <w:rFonts w:hint="eastAsia" w:asciiTheme="majorEastAsia" w:hAnsiTheme="majorEastAsia" w:eastAsiaTheme="majorEastAsia" w:cstheme="majorEastAsia"/>
          <w:szCs w:val="24"/>
          <w:highlight w:val="none"/>
          <w:lang w:eastAsia="zh-CN"/>
        </w:rPr>
      </w:pPr>
      <w:r>
        <w:rPr>
          <w:rFonts w:hint="eastAsia" w:asciiTheme="majorEastAsia" w:hAnsiTheme="majorEastAsia" w:eastAsiaTheme="majorEastAsia" w:cstheme="majorEastAsia"/>
          <w:szCs w:val="24"/>
          <w:highlight w:val="none"/>
        </w:rPr>
        <w:t>业主单位名称：</w:t>
      </w:r>
      <w:r>
        <w:rPr>
          <w:rFonts w:hint="eastAsia" w:asciiTheme="majorEastAsia" w:hAnsiTheme="majorEastAsia" w:eastAsiaTheme="majorEastAsia" w:cstheme="majorEastAsia"/>
          <w:szCs w:val="24"/>
          <w:highlight w:val="none"/>
          <w:lang w:eastAsia="zh-CN"/>
        </w:rPr>
        <w:t xml:space="preserve">肥西县公安局 </w:t>
      </w:r>
    </w:p>
    <w:p w14:paraId="78C772F9">
      <w:pPr>
        <w:spacing w:before="93" w:beforeLines="30" w:after="93" w:afterLines="30"/>
        <w:ind w:firstLine="480"/>
        <w:rPr>
          <w:rFonts w:hint="default" w:asciiTheme="majorEastAsia" w:hAnsiTheme="majorEastAsia" w:eastAsiaTheme="majorEastAsia" w:cstheme="majorEastAsia"/>
          <w:szCs w:val="24"/>
          <w:highlight w:val="none"/>
          <w:lang w:val="en-US" w:eastAsia="zh-CN"/>
        </w:rPr>
      </w:pPr>
      <w:r>
        <w:rPr>
          <w:rFonts w:hint="eastAsia" w:asciiTheme="majorEastAsia" w:hAnsiTheme="majorEastAsia" w:eastAsiaTheme="majorEastAsia" w:cstheme="majorEastAsia"/>
          <w:szCs w:val="24"/>
          <w:highlight w:val="none"/>
        </w:rPr>
        <w:t>地址：安徽省合肥市肥西县</w:t>
      </w:r>
      <w:r>
        <w:rPr>
          <w:rFonts w:hint="eastAsia" w:asciiTheme="majorEastAsia" w:hAnsiTheme="majorEastAsia" w:eastAsiaTheme="majorEastAsia" w:cstheme="majorEastAsia"/>
          <w:szCs w:val="24"/>
          <w:highlight w:val="none"/>
          <w:lang w:eastAsia="zh-CN"/>
        </w:rPr>
        <w:t>上派镇人民西路与振宁路交叉口向西</w:t>
      </w:r>
      <w:r>
        <w:rPr>
          <w:rFonts w:hint="eastAsia" w:asciiTheme="majorEastAsia" w:hAnsiTheme="majorEastAsia" w:eastAsiaTheme="majorEastAsia" w:cstheme="majorEastAsia"/>
          <w:szCs w:val="24"/>
          <w:highlight w:val="none"/>
          <w:lang w:val="en-US" w:eastAsia="zh-CN"/>
        </w:rPr>
        <w:t>50米</w:t>
      </w:r>
    </w:p>
    <w:p w14:paraId="53DAC875">
      <w:pPr>
        <w:spacing w:before="93" w:beforeLines="30" w:after="93" w:afterLines="30"/>
        <w:ind w:firstLine="480"/>
        <w:rPr>
          <w:rFonts w:hint="eastAsia" w:asciiTheme="majorEastAsia" w:hAnsiTheme="majorEastAsia" w:eastAsiaTheme="majorEastAsia" w:cstheme="majorEastAsia"/>
          <w:szCs w:val="24"/>
          <w:highlight w:val="none"/>
          <w:u w:val="none"/>
          <w:lang w:val="en-US" w:eastAsia="zh-CN"/>
        </w:rPr>
      </w:pPr>
      <w:r>
        <w:rPr>
          <w:rFonts w:hint="eastAsia" w:asciiTheme="majorEastAsia" w:hAnsiTheme="majorEastAsia" w:eastAsiaTheme="majorEastAsia" w:cstheme="majorEastAsia"/>
          <w:szCs w:val="24"/>
          <w:highlight w:val="none"/>
          <w:u w:val="none"/>
        </w:rPr>
        <w:t>联系人：</w:t>
      </w:r>
      <w:r>
        <w:rPr>
          <w:rFonts w:hint="eastAsia" w:asciiTheme="majorEastAsia" w:hAnsiTheme="majorEastAsia" w:eastAsiaTheme="majorEastAsia" w:cstheme="majorEastAsia"/>
          <w:szCs w:val="24"/>
          <w:highlight w:val="none"/>
          <w:u w:val="none"/>
          <w:lang w:val="en-US" w:eastAsia="zh-CN"/>
        </w:rPr>
        <w:t>刘浪</w:t>
      </w:r>
    </w:p>
    <w:p w14:paraId="3C40C3E5">
      <w:pPr>
        <w:spacing w:before="93" w:beforeLines="30" w:after="93" w:afterLines="30"/>
        <w:ind w:firstLine="480"/>
        <w:rPr>
          <w:rFonts w:hint="default" w:asciiTheme="majorEastAsia" w:hAnsiTheme="majorEastAsia" w:eastAsiaTheme="majorEastAsia" w:cstheme="majorEastAsia"/>
          <w:szCs w:val="24"/>
          <w:highlight w:val="none"/>
          <w:u w:val="none"/>
          <w:lang w:val="en-US" w:eastAsia="zh-CN"/>
        </w:rPr>
      </w:pPr>
      <w:r>
        <w:rPr>
          <w:rFonts w:hint="eastAsia" w:asciiTheme="majorEastAsia" w:hAnsiTheme="majorEastAsia" w:eastAsiaTheme="majorEastAsia" w:cstheme="majorEastAsia"/>
          <w:szCs w:val="24"/>
          <w:highlight w:val="none"/>
          <w:u w:val="none"/>
        </w:rPr>
        <w:t>电话：</w:t>
      </w:r>
      <w:r>
        <w:rPr>
          <w:rFonts w:hint="eastAsia" w:asciiTheme="majorEastAsia" w:hAnsiTheme="majorEastAsia" w:eastAsiaTheme="majorEastAsia" w:cstheme="majorEastAsia"/>
          <w:szCs w:val="24"/>
          <w:highlight w:val="none"/>
          <w:u w:val="none"/>
          <w:lang w:val="en-US" w:eastAsia="zh-CN"/>
        </w:rPr>
        <w:t>0551-66271093</w:t>
      </w:r>
    </w:p>
    <w:p w14:paraId="7232037F">
      <w:pPr>
        <w:spacing w:before="93" w:beforeLines="30" w:after="93" w:afterLines="30"/>
        <w:ind w:firstLine="480"/>
        <w:rPr>
          <w:rFonts w:asciiTheme="majorEastAsia" w:hAnsiTheme="majorEastAsia" w:eastAsiaTheme="majorEastAsia" w:cstheme="majorEastAsia"/>
          <w:b/>
          <w:szCs w:val="24"/>
          <w:highlight w:val="none"/>
        </w:rPr>
      </w:pPr>
      <w:r>
        <w:rPr>
          <w:rFonts w:hint="eastAsia" w:asciiTheme="majorEastAsia" w:hAnsiTheme="majorEastAsia" w:eastAsiaTheme="majorEastAsia" w:cstheme="majorEastAsia"/>
          <w:szCs w:val="24"/>
          <w:highlight w:val="none"/>
        </w:rPr>
        <w:t>7.2 代理机构</w:t>
      </w:r>
    </w:p>
    <w:p w14:paraId="0333B0F0">
      <w:pPr>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代理机构名称：肥西县公共资源交易有限责任公司</w:t>
      </w:r>
    </w:p>
    <w:p w14:paraId="460FC1E4">
      <w:pPr>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地  址：肥西县上派镇紫石路与佛光路交叉口肥光办公区3号楼2楼</w:t>
      </w:r>
    </w:p>
    <w:p w14:paraId="3D1C0B03">
      <w:pPr>
        <w:spacing w:before="93" w:beforeLines="30" w:after="93" w:afterLines="30"/>
        <w:ind w:firstLine="480"/>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联系人：</w:t>
      </w:r>
      <w:r>
        <w:rPr>
          <w:rFonts w:hint="eastAsia" w:asciiTheme="majorEastAsia" w:hAnsiTheme="majorEastAsia" w:eastAsiaTheme="majorEastAsia" w:cstheme="majorEastAsia"/>
          <w:szCs w:val="24"/>
          <w:highlight w:val="none"/>
          <w:lang w:val="en-US" w:eastAsia="zh-CN"/>
        </w:rPr>
        <w:t>唐</w:t>
      </w:r>
      <w:r>
        <w:rPr>
          <w:rFonts w:hint="eastAsia" w:asciiTheme="majorEastAsia" w:hAnsiTheme="majorEastAsia" w:eastAsiaTheme="majorEastAsia" w:cstheme="majorEastAsia"/>
          <w:szCs w:val="24"/>
          <w:highlight w:val="none"/>
        </w:rPr>
        <w:t>工</w:t>
      </w:r>
    </w:p>
    <w:p w14:paraId="2915F7C2">
      <w:pPr>
        <w:spacing w:before="93" w:beforeLines="30" w:after="93" w:afterLines="30"/>
        <w:ind w:firstLine="480"/>
        <w:rPr>
          <w:rFonts w:hint="default" w:asciiTheme="majorEastAsia" w:hAnsiTheme="majorEastAsia" w:eastAsiaTheme="majorEastAsia" w:cstheme="majorEastAsia"/>
          <w:szCs w:val="24"/>
          <w:highlight w:val="none"/>
          <w:lang w:val="en-US" w:eastAsia="zh-CN"/>
        </w:rPr>
      </w:pPr>
      <w:r>
        <w:rPr>
          <w:rFonts w:hint="eastAsia" w:asciiTheme="majorEastAsia" w:hAnsiTheme="majorEastAsia" w:eastAsiaTheme="majorEastAsia" w:cstheme="majorEastAsia"/>
          <w:szCs w:val="24"/>
          <w:highlight w:val="none"/>
        </w:rPr>
        <w:t>电  话：0551-688</w:t>
      </w:r>
      <w:r>
        <w:rPr>
          <w:rFonts w:hint="eastAsia" w:asciiTheme="majorEastAsia" w:hAnsiTheme="majorEastAsia" w:eastAsiaTheme="majorEastAsia" w:cstheme="majorEastAsia"/>
          <w:szCs w:val="24"/>
          <w:highlight w:val="none"/>
          <w:lang w:val="en-US" w:eastAsia="zh-CN"/>
        </w:rPr>
        <w:t>38796</w:t>
      </w:r>
    </w:p>
    <w:p w14:paraId="04004C09">
      <w:pPr>
        <w:spacing w:before="93" w:beforeLines="30" w:after="93" w:afterLines="30"/>
        <w:ind w:firstLine="480"/>
        <w:rPr>
          <w:rFonts w:hint="eastAsia" w:asciiTheme="majorEastAsia" w:hAnsiTheme="majorEastAsia" w:eastAsiaTheme="majorEastAsia" w:cstheme="majorEastAsia"/>
          <w:b/>
          <w:szCs w:val="24"/>
          <w:highlight w:val="none"/>
          <w:lang w:eastAsia="zh-CN"/>
        </w:rPr>
      </w:pPr>
      <w:r>
        <w:rPr>
          <w:rFonts w:hint="eastAsia" w:asciiTheme="majorEastAsia" w:hAnsiTheme="majorEastAsia" w:eastAsiaTheme="majorEastAsia" w:cstheme="majorEastAsia"/>
          <w:szCs w:val="24"/>
          <w:highlight w:val="none"/>
        </w:rPr>
        <w:t>7.3 监督管理部门</w:t>
      </w:r>
    </w:p>
    <w:p w14:paraId="43738CE8">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hint="eastAsia" w:asciiTheme="majorEastAsia" w:hAnsiTheme="majorEastAsia" w:eastAsiaTheme="majorEastAsia" w:cstheme="majorEastAsia"/>
          <w:b/>
          <w:color w:val="000000" w:themeColor="text1"/>
          <w:szCs w:val="24"/>
          <w:highlight w:val="none"/>
          <w:lang w:eastAsia="zh-CN"/>
          <w14:textFill>
            <w14:solidFill>
              <w14:schemeClr w14:val="tx1"/>
            </w14:solidFill>
          </w14:textFill>
        </w:rPr>
      </w:pPr>
      <w:r>
        <w:rPr>
          <w:rFonts w:hint="eastAsia" w:asciiTheme="majorEastAsia" w:hAnsiTheme="majorEastAsia" w:eastAsiaTheme="majorEastAsia" w:cstheme="majorEastAsia"/>
          <w:color w:val="000000" w:themeColor="text1"/>
          <w:szCs w:val="24"/>
          <w:highlight w:val="none"/>
          <w14:textFill>
            <w14:solidFill>
              <w14:schemeClr w14:val="tx1"/>
            </w14:solidFill>
          </w14:textFill>
        </w:rPr>
        <w:t>监督管理部门：肥西县公安局机关纪委</w:t>
      </w:r>
    </w:p>
    <w:p w14:paraId="7B41AA4D">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hint="default" w:asciiTheme="majorEastAsia" w:hAnsiTheme="majorEastAsia" w:eastAsiaTheme="majorEastAsia" w:cstheme="majorEastAsia"/>
          <w:color w:val="000000" w:themeColor="text1"/>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Cs w:val="24"/>
          <w:highlight w:val="none"/>
          <w14:textFill>
            <w14:solidFill>
              <w14:schemeClr w14:val="tx1"/>
            </w14:solidFill>
          </w14:textFill>
        </w:rPr>
        <w:t>地  址：肥西县上派镇人民西路与振宁路交叉口向西50米</w:t>
      </w:r>
    </w:p>
    <w:p w14:paraId="2DFFDA68">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hint="default" w:asciiTheme="majorEastAsia" w:hAnsiTheme="majorEastAsia" w:eastAsiaTheme="majorEastAsia" w:cstheme="majorEastAsia"/>
          <w:color w:val="000000" w:themeColor="text1"/>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Cs w:val="24"/>
          <w:highlight w:val="none"/>
          <w14:textFill>
            <w14:solidFill>
              <w14:schemeClr w14:val="tx1"/>
            </w14:solidFill>
          </w14:textFill>
        </w:rPr>
        <w:t>电  话：0551-6627</w:t>
      </w:r>
      <w:r>
        <w:rPr>
          <w:rFonts w:hint="eastAsia" w:asciiTheme="majorEastAsia" w:hAnsiTheme="majorEastAsia" w:eastAsiaTheme="majorEastAsia" w:cstheme="majorEastAsia"/>
          <w:color w:val="000000" w:themeColor="text1"/>
          <w:szCs w:val="24"/>
          <w:highlight w:val="none"/>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Cs w:val="24"/>
          <w:highlight w:val="none"/>
          <w14:textFill>
            <w14:solidFill>
              <w14:schemeClr w14:val="tx1"/>
            </w14:solidFill>
          </w14:textFill>
        </w:rPr>
        <w:t>893</w:t>
      </w:r>
    </w:p>
    <w:p w14:paraId="09350680">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2"/>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b/>
          <w:szCs w:val="24"/>
          <w:highlight w:val="none"/>
        </w:rPr>
        <w:t>8.其他事项说明</w:t>
      </w:r>
    </w:p>
    <w:p w14:paraId="690CB7EC">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8.1 电子化交易要求：</w:t>
      </w:r>
    </w:p>
    <w:p w14:paraId="38A05303">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1）潜在供应商须登录“优质采云采购平台”（网址：http://www.youzhicai.com/，以下称“优质采平台”）参与本项目磋商活动。首次登录须办理注册手续，请务必选择注册为“投标人角色”类型。注册流程见优质采平台“用户注册”栏目，咨询电话：400-0099-555。因未及时办理注册手续影响参加磋商活动的，责任自负。</w:t>
      </w:r>
    </w:p>
    <w:p w14:paraId="31B64BF5">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2）已注册的潜在供应商可登录优质采平台获取磋商文件，本项目的磋商文件及其他资料（含澄清、答疑及相关补充文件）通过优质采平台发布，业主单位/代理机构不再另行书面通知，潜在供应商应及时关注、查阅优质采平台。因未及时查看导致不利后果的，责任自负。</w:t>
      </w:r>
    </w:p>
    <w:p w14:paraId="1F04446C">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（3）已注册的潜在供应商若注册信息发生变更（如：与初始注册信息不一致），应及</w:t>
      </w:r>
      <w:r>
        <w:rPr>
          <w:rFonts w:hint="eastAsia" w:asciiTheme="majorEastAsia" w:hAnsiTheme="majorEastAsia" w:eastAsiaTheme="majorEastAsia" w:cstheme="majorEastAsia"/>
          <w:szCs w:val="24"/>
          <w:highlight w:val="none"/>
          <w:lang w:eastAsia="zh-CN"/>
        </w:rPr>
        <w:t>时在</w:t>
      </w:r>
      <w:r>
        <w:rPr>
          <w:rFonts w:hint="eastAsia" w:asciiTheme="majorEastAsia" w:hAnsiTheme="majorEastAsia" w:eastAsiaTheme="majorEastAsia" w:cstheme="majorEastAsia"/>
          <w:szCs w:val="24"/>
          <w:highlight w:val="none"/>
        </w:rPr>
        <w:t>网上提交变更申请。因未及时变更导致不利后果的，责任自负。</w:t>
      </w:r>
    </w:p>
    <w:p w14:paraId="1500F6C3">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4）本项目采用全流程电子化交易方式，潜在供应商须办理CA数字证书（以下简称CA），CA用于响应文件的签章及上传（上传响应文件需使用CA进行加密）；CA办理详见《关于优质采平台数字证书办理的须知》（http://www.youzhicai.com/nd/a_8f80a7ec-911f-4c4d-a123-f8849880f045.html）；咨询热线：400-0099-555。CA锁线上办理地址：https://portal.youzhicai.com/ui/portal-sup/#/signature/list</w:t>
      </w:r>
    </w:p>
    <w:p w14:paraId="3105FFAE">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（5）响应文件必须使用“优质采投标文件制作工具”制作生成并上传。下载地址：http://toolcdn.youzhicai.com/tools/BidderTools.zip，使用说明书及视频教程下载地址：http://file.youzhicai.com/files/BidderHelp.rar。</w:t>
      </w:r>
    </w:p>
    <w:p w14:paraId="2933025B">
      <w:pPr>
        <w:keepNext w:val="0"/>
        <w:keepLines w:val="0"/>
        <w:pageBreakBefore w:val="0"/>
        <w:widowControl w:val="0"/>
        <w:kinsoku/>
        <w:wordWrap/>
        <w:overflowPunct/>
        <w:topLinePunct w:val="0"/>
        <w:autoSpaceDE/>
        <w:autoSpaceDN/>
        <w:bidi w:val="0"/>
        <w:adjustRightInd/>
        <w:snapToGrid/>
        <w:spacing w:before="93" w:beforeLines="30" w:after="93" w:afterLines="30" w:line="460" w:lineRule="exact"/>
        <w:ind w:firstLine="480"/>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t>8.2 供应商应合理安排磋商文件获取时间，特别是网络速度慢的地区防止在系统关闭前网络拥堵无法操作。如果因计算机及网络故障造成无法完成磋商文件获取，责任自负。</w:t>
      </w:r>
      <w:bookmarkEnd w:id="2"/>
      <w:r>
        <w:rPr>
          <w:rFonts w:hint="eastAsia" w:asciiTheme="majorEastAsia" w:hAnsiTheme="majorEastAsia" w:eastAsiaTheme="majorEastAsia" w:cstheme="majorEastAsia"/>
          <w:szCs w:val="24"/>
          <w:highlight w:val="none"/>
        </w:rPr>
        <w:br w:type="page"/>
      </w:r>
    </w:p>
    <w:p w14:paraId="6E5496E5">
      <w:pPr>
        <w:ind w:firstLine="562"/>
        <w:jc w:val="center"/>
        <w:outlineLvl w:val="1"/>
        <w:rPr>
          <w:rFonts w:asciiTheme="minorEastAsia" w:hAnsiTheme="minorEastAsia" w:eastAsiaTheme="minorEastAsia"/>
          <w:b/>
          <w:sz w:val="28"/>
          <w:highlight w:val="none"/>
        </w:rPr>
      </w:pPr>
      <w:bookmarkStart w:id="3" w:name="_Toc4515"/>
      <w:r>
        <w:rPr>
          <w:rFonts w:hint="eastAsia" w:asciiTheme="minorEastAsia" w:hAnsiTheme="minorEastAsia" w:eastAsiaTheme="minorEastAsia"/>
          <w:b/>
          <w:sz w:val="28"/>
          <w:highlight w:val="none"/>
        </w:rPr>
        <w:t>第二章</w:t>
      </w:r>
      <w:r>
        <w:rPr>
          <w:rFonts w:asciiTheme="minorEastAsia" w:hAnsiTheme="minorEastAsia" w:eastAsiaTheme="minorEastAsia"/>
          <w:b/>
          <w:sz w:val="28"/>
          <w:highlight w:val="none"/>
        </w:rPr>
        <w:t xml:space="preserve"> </w:t>
      </w:r>
      <w:r>
        <w:rPr>
          <w:rFonts w:hint="eastAsia" w:asciiTheme="minorEastAsia" w:hAnsiTheme="minorEastAsia" w:eastAsiaTheme="minorEastAsia"/>
          <w:b/>
          <w:sz w:val="28"/>
          <w:highlight w:val="none"/>
        </w:rPr>
        <w:t xml:space="preserve"> 供应商</w:t>
      </w:r>
      <w:r>
        <w:rPr>
          <w:rFonts w:asciiTheme="minorEastAsia" w:hAnsiTheme="minorEastAsia" w:eastAsiaTheme="minorEastAsia"/>
          <w:b/>
          <w:sz w:val="28"/>
          <w:highlight w:val="none"/>
        </w:rPr>
        <w:t>须知</w:t>
      </w:r>
      <w:bookmarkEnd w:id="3"/>
    </w:p>
    <w:p w14:paraId="7B33C887">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供应商</w:t>
      </w:r>
      <w:r>
        <w:rPr>
          <w:rFonts w:asciiTheme="minorEastAsia" w:hAnsiTheme="minorEastAsia" w:eastAsiaTheme="minorEastAsia"/>
          <w:b/>
          <w:highlight w:val="none"/>
        </w:rPr>
        <w:t>须</w:t>
      </w:r>
      <w:r>
        <w:rPr>
          <w:rFonts w:hint="eastAsia" w:asciiTheme="minorEastAsia" w:hAnsiTheme="minorEastAsia" w:eastAsiaTheme="minorEastAsia"/>
          <w:b/>
          <w:highlight w:val="none"/>
        </w:rPr>
        <w:t>知前附表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1333"/>
        <w:gridCol w:w="6176"/>
      </w:tblGrid>
      <w:tr w14:paraId="4C6E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6AB47795">
            <w:pPr>
              <w:pStyle w:val="22"/>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条款号</w:t>
            </w:r>
          </w:p>
        </w:tc>
        <w:tc>
          <w:tcPr>
            <w:tcW w:w="782" w:type="pct"/>
            <w:vAlign w:val="center"/>
          </w:tcPr>
          <w:p w14:paraId="0AA70755">
            <w:pPr>
              <w:pStyle w:val="22"/>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条款名称</w:t>
            </w:r>
          </w:p>
        </w:tc>
        <w:tc>
          <w:tcPr>
            <w:tcW w:w="3623" w:type="pct"/>
            <w:vAlign w:val="center"/>
          </w:tcPr>
          <w:p w14:paraId="1323A8DC">
            <w:pPr>
              <w:pStyle w:val="22"/>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内容、说明与要求</w:t>
            </w:r>
          </w:p>
        </w:tc>
      </w:tr>
      <w:tr w14:paraId="00A4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0D45C009">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782" w:type="pct"/>
            <w:vAlign w:val="center"/>
          </w:tcPr>
          <w:p w14:paraId="78985F9C">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服务地点</w:t>
            </w:r>
          </w:p>
        </w:tc>
        <w:tc>
          <w:tcPr>
            <w:tcW w:w="3623" w:type="pct"/>
            <w:vAlign w:val="center"/>
          </w:tcPr>
          <w:p w14:paraId="447CB8F6">
            <w:pPr>
              <w:pStyle w:val="22"/>
              <w:rPr>
                <w:rFonts w:hint="default" w:eastAsia="宋体"/>
                <w:color w:val="000000" w:themeColor="text1"/>
                <w:highlight w:val="none"/>
                <w:lang w:val="en-US" w:eastAsia="zh-CN"/>
                <w14:textFill>
                  <w14:solidFill>
                    <w14:schemeClr w14:val="tx1"/>
                  </w14:solidFill>
                </w14:textFill>
              </w:rPr>
            </w:pPr>
            <w:r>
              <w:rPr>
                <w:rFonts w:hint="eastAsia" w:cs="宋体"/>
                <w:b w:val="0"/>
                <w:bCs w:val="0"/>
                <w:color w:val="000000"/>
                <w:kern w:val="2"/>
                <w:sz w:val="24"/>
                <w:szCs w:val="24"/>
                <w:lang w:val="en-US" w:eastAsia="zh-CN"/>
              </w:rPr>
              <w:t>采购人指定地点</w:t>
            </w:r>
          </w:p>
        </w:tc>
      </w:tr>
      <w:tr w14:paraId="50EC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trPr>
        <w:tc>
          <w:tcPr>
            <w:tcW w:w="594" w:type="pct"/>
            <w:vAlign w:val="center"/>
          </w:tcPr>
          <w:p w14:paraId="5C2AE68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782" w:type="pct"/>
            <w:vAlign w:val="center"/>
          </w:tcPr>
          <w:p w14:paraId="3F89BB1F">
            <w:pPr>
              <w:pStyle w:val="22"/>
              <w:rPr>
                <w:rFonts w:hint="eastAsia" w:eastAsia="宋体"/>
                <w:b/>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服务期限</w:t>
            </w:r>
          </w:p>
        </w:tc>
        <w:tc>
          <w:tcPr>
            <w:tcW w:w="3623" w:type="pct"/>
            <w:vAlign w:val="center"/>
          </w:tcPr>
          <w:p w14:paraId="05C80381">
            <w:pPr>
              <w:pStyle w:val="24"/>
              <w:rPr>
                <w:rFonts w:hint="default"/>
                <w:color w:val="000000" w:themeColor="text1"/>
                <w:highlight w:val="none"/>
                <w:lang w:val="en-US"/>
                <w14:textFill>
                  <w14:solidFill>
                    <w14:schemeClr w14:val="tx1"/>
                  </w14:solidFill>
                </w14:textFill>
              </w:rPr>
            </w:pPr>
            <w:r>
              <w:rPr>
                <w:rFonts w:hint="eastAsia" w:ascii="宋体" w:hAnsi="宋体" w:eastAsia="宋体" w:cs="宋体"/>
                <w:b w:val="0"/>
                <w:bCs/>
                <w:color w:val="auto"/>
                <w:kern w:val="0"/>
                <w:sz w:val="24"/>
                <w:szCs w:val="24"/>
                <w:u w:val="none"/>
                <w:lang w:val="en-US" w:eastAsia="zh-CN" w:bidi="ar-SA"/>
              </w:rPr>
              <w:t>本次合同服务期限一年</w:t>
            </w:r>
            <w:r>
              <w:rPr>
                <w:rFonts w:hint="eastAsia" w:eastAsia="宋体" w:cs="宋体"/>
                <w:b w:val="0"/>
                <w:bCs/>
                <w:color w:val="auto"/>
                <w:kern w:val="0"/>
                <w:sz w:val="24"/>
                <w:szCs w:val="24"/>
                <w:u w:val="none"/>
                <w:lang w:val="en-US" w:eastAsia="zh-CN" w:bidi="ar-SA"/>
              </w:rPr>
              <w:t>(以实际进场开展实质性服务时间为准。)</w:t>
            </w:r>
            <w:r>
              <w:rPr>
                <w:rFonts w:hint="eastAsia" w:ascii="宋体" w:hAnsi="宋体" w:eastAsia="宋体" w:cs="宋体"/>
                <w:b w:val="0"/>
                <w:bCs/>
                <w:color w:val="auto"/>
                <w:kern w:val="0"/>
                <w:sz w:val="24"/>
                <w:szCs w:val="24"/>
                <w:u w:val="none"/>
                <w:lang w:val="en-US" w:eastAsia="zh-CN" w:bidi="ar-SA"/>
              </w:rPr>
              <w:t>。如合同履约情况良好，经采购人考核合格，且在资金能保障的前提下，经双方协商同意，可续签下一年合同，合同一年一签，最多续签2年。采购人与</w:t>
            </w:r>
            <w:r>
              <w:rPr>
                <w:rFonts w:hint="eastAsia" w:cs="宋体"/>
                <w:b w:val="0"/>
                <w:bCs/>
                <w:color w:val="auto"/>
                <w:kern w:val="0"/>
                <w:sz w:val="24"/>
                <w:szCs w:val="24"/>
                <w:u w:val="none"/>
                <w:lang w:val="en-US" w:eastAsia="zh-CN" w:bidi="ar-SA"/>
              </w:rPr>
              <w:t>成交供应商</w:t>
            </w:r>
            <w:r>
              <w:rPr>
                <w:rFonts w:hint="eastAsia" w:ascii="宋体" w:hAnsi="宋体" w:eastAsia="宋体" w:cs="宋体"/>
                <w:b w:val="0"/>
                <w:bCs/>
                <w:color w:val="auto"/>
                <w:kern w:val="0"/>
                <w:sz w:val="24"/>
                <w:szCs w:val="24"/>
                <w:u w:val="none"/>
                <w:lang w:val="en-US" w:eastAsia="zh-CN" w:bidi="ar-SA"/>
              </w:rPr>
              <w:t>有任何一方不同意续签，合同不予续签。</w:t>
            </w:r>
          </w:p>
        </w:tc>
      </w:tr>
      <w:tr w14:paraId="70C5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36B80BBA">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82" w:type="pct"/>
            <w:vAlign w:val="center"/>
          </w:tcPr>
          <w:p w14:paraId="35DCA2F1">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现场踏勘</w:t>
            </w:r>
          </w:p>
        </w:tc>
        <w:tc>
          <w:tcPr>
            <w:tcW w:w="3623" w:type="pct"/>
            <w:vAlign w:val="center"/>
          </w:tcPr>
          <w:p w14:paraId="07108828">
            <w:pPr>
              <w:ind w:firstLine="0" w:firstLineChars="0"/>
              <w:rPr>
                <w:rFonts w:cs="宋体"/>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r>
              <w:rPr>
                <w:rFonts w:hint="eastAsia" w:cs="宋体"/>
                <w:bCs/>
                <w:color w:val="000000" w:themeColor="text1"/>
                <w:kern w:val="2"/>
                <w:szCs w:val="24"/>
                <w:highlight w:val="none"/>
                <w14:textFill>
                  <w14:solidFill>
                    <w14:schemeClr w14:val="tx1"/>
                  </w14:solidFill>
                </w14:textFill>
              </w:rPr>
              <w:t>自行踏勘</w:t>
            </w:r>
          </w:p>
          <w:p w14:paraId="351581CF">
            <w:pPr>
              <w:ind w:firstLine="0" w:firstLineChars="0"/>
              <w:rPr>
                <w:rFonts w:cs="宋体"/>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r>
              <w:rPr>
                <w:rFonts w:hint="eastAsia" w:cs="宋体"/>
                <w:bCs/>
                <w:color w:val="000000" w:themeColor="text1"/>
                <w:kern w:val="2"/>
                <w:szCs w:val="24"/>
                <w:highlight w:val="none"/>
                <w14:textFill>
                  <w14:solidFill>
                    <w14:schemeClr w14:val="tx1"/>
                  </w14:solidFill>
                </w14:textFill>
              </w:rPr>
              <w:t>集中组织</w:t>
            </w:r>
          </w:p>
          <w:p w14:paraId="1D876C31">
            <w:pPr>
              <w:ind w:firstLine="0" w:firstLineChars="0"/>
              <w:rPr>
                <w:rFonts w:cs="宋体"/>
                <w:bCs/>
                <w:color w:val="000000" w:themeColor="text1"/>
                <w:kern w:val="2"/>
                <w:szCs w:val="24"/>
                <w:highlight w:val="none"/>
                <w:u w:val="singl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时间：</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年</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月</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日</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时</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分</w:t>
            </w:r>
          </w:p>
          <w:p w14:paraId="316443B9">
            <w:pPr>
              <w:ind w:firstLine="0" w:firstLineChars="0"/>
              <w:rPr>
                <w:rFonts w:cs="宋体"/>
                <w:bCs/>
                <w:color w:val="000000" w:themeColor="text1"/>
                <w:kern w:val="2"/>
                <w:szCs w:val="24"/>
                <w:highlight w:val="none"/>
                <w:u w:val="singl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现场踏勘联系人及联系电话：</w:t>
            </w:r>
            <w:r>
              <w:rPr>
                <w:rFonts w:hint="eastAsia" w:cs="宋体"/>
                <w:bCs/>
                <w:color w:val="000000" w:themeColor="text1"/>
                <w:kern w:val="2"/>
                <w:szCs w:val="24"/>
                <w:highlight w:val="none"/>
                <w:u w:val="single"/>
                <w14:textFill>
                  <w14:solidFill>
                    <w14:schemeClr w14:val="tx1"/>
                  </w14:solidFill>
                </w14:textFill>
              </w:rPr>
              <w:t xml:space="preserve">           </w:t>
            </w:r>
          </w:p>
          <w:p w14:paraId="6B0A9677">
            <w:pPr>
              <w:pStyle w:val="2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备注：如供应商未参加业主单位统一组织的现场踏勘，视同放弃现场踏勘，由此引起的一切责任由供应商自行承担。</w:t>
            </w:r>
          </w:p>
        </w:tc>
      </w:tr>
      <w:tr w14:paraId="3C07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0220DA29">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782" w:type="pct"/>
            <w:vAlign w:val="center"/>
          </w:tcPr>
          <w:p w14:paraId="341B8434">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关于联合体参加磋商的相关约定（如允许联合体）</w:t>
            </w:r>
          </w:p>
        </w:tc>
        <w:tc>
          <w:tcPr>
            <w:tcW w:w="3623" w:type="pct"/>
            <w:vAlign w:val="center"/>
          </w:tcPr>
          <w:p w14:paraId="66EDE491">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（1）联合体参加磋商的，磋商文件获取信息填写，由联合体中任一成员单位完成均可。</w:t>
            </w:r>
          </w:p>
          <w:p w14:paraId="57293D3D">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（2）联合体参加磋商的须提供联合协议（见响应文件格式），相关证明材料由供应商根据联合协议分工情况及磋商文件要求提供。</w:t>
            </w:r>
          </w:p>
          <w:p w14:paraId="4E4819D6">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r>
      <w:tr w14:paraId="193A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6D4C8F2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782" w:type="pct"/>
            <w:vAlign w:val="center"/>
          </w:tcPr>
          <w:p w14:paraId="27984883">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初审业绩要求（如有）</w:t>
            </w:r>
          </w:p>
        </w:tc>
        <w:tc>
          <w:tcPr>
            <w:tcW w:w="3623" w:type="pct"/>
            <w:vAlign w:val="center"/>
          </w:tcPr>
          <w:p w14:paraId="1B03AAE8">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供应商应按下列规定提供业绩证明资料：</w:t>
            </w:r>
          </w:p>
          <w:p w14:paraId="60D11A90">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lang w:eastAsia="zh-CN"/>
                <w14:textFill>
                  <w14:solidFill>
                    <w14:schemeClr w14:val="tx1"/>
                  </w14:solidFill>
                </w14:textFill>
              </w:rPr>
              <w:t>□</w:t>
            </w:r>
            <w:r>
              <w:rPr>
                <w:rFonts w:hint="eastAsia"/>
                <w:color w:val="000000" w:themeColor="text1"/>
                <w:szCs w:val="24"/>
                <w:highlight w:val="none"/>
                <w14:textFill>
                  <w14:solidFill>
                    <w14:schemeClr w14:val="tx1"/>
                  </w14:solidFill>
                </w14:textFill>
              </w:rPr>
              <w:t>已完成的业绩：响应文件中须同时提供以下业绩证明材料：</w:t>
            </w:r>
          </w:p>
          <w:p w14:paraId="2FB386A1">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（1）业绩合同扫描件；</w:t>
            </w:r>
          </w:p>
          <w:p w14:paraId="21B1F0E9">
            <w:pPr>
              <w:ind w:firstLine="0" w:firstLineChars="0"/>
              <w:rPr>
                <w:color w:val="000000" w:themeColor="text1"/>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（2）与该业绩对应的项目已完成的证明材料（如验收报告或业主（或合同甲方）证明）。</w:t>
            </w:r>
          </w:p>
          <w:p w14:paraId="75CF79A1">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□正在履约或已完成的业绩：响应文件中须同时提供以下业绩证明材料：</w:t>
            </w:r>
          </w:p>
          <w:p w14:paraId="02408549">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（1）业绩合同扫描件；</w:t>
            </w:r>
          </w:p>
          <w:p w14:paraId="42013C27">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（2）与该业绩对应的项目正在履约或已完成的证明材料（如验收报告或业主（或合同甲方）证明）。</w:t>
            </w:r>
          </w:p>
          <w:p w14:paraId="5A55BF25">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已签订合同但尚未实施的业绩不予认可。即截至磋商时间，项目如存在目前尚未开始履约、人员进场但尚未实质性开展、处于暂停等情况的，该业绩不予认可。</w:t>
            </w:r>
          </w:p>
          <w:p w14:paraId="387B8022">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注：（1）正在履约或已完成的证明材料须加盖项目业主单位或合同甲方公章(证明材料已有项目业主单位或合同甲方公章的除外)，否则评审委员会不予认可。</w:t>
            </w:r>
          </w:p>
          <w:p w14:paraId="013E56DC">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（2）如果业绩合同和项目已完成（或正在履约）的证明材料中的合同金额、建筑面积等合同要素不一致的，以项目已完成（或正在履约）的证明材料为准。</w:t>
            </w:r>
          </w:p>
          <w:p w14:paraId="772566DB">
            <w:pPr>
              <w:ind w:firstLine="0" w:firstLineChars="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3）以上涉及到的证明资料信息应完整或能充分反映评审因素。如未能明确反映评审因素的（如合同总金额、面积等），应另附业主（或合同甲方）证明材料予以明确说明，须加盖项目业主单位或合同甲方公章，否则评审委员会不予认可。</w:t>
            </w:r>
          </w:p>
        </w:tc>
      </w:tr>
      <w:tr w14:paraId="66B5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377F567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782" w:type="pct"/>
            <w:vAlign w:val="center"/>
          </w:tcPr>
          <w:p w14:paraId="2E8C86D1">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供应商提出疑问截止时间</w:t>
            </w:r>
          </w:p>
        </w:tc>
        <w:tc>
          <w:tcPr>
            <w:tcW w:w="3623" w:type="pct"/>
          </w:tcPr>
          <w:p w14:paraId="2A03154D">
            <w:pPr>
              <w:spacing w:line="440" w:lineRule="exact"/>
              <w:ind w:firstLine="0" w:firstLineChars="0"/>
              <w:rPr>
                <w:rFonts w:cs="宋体"/>
                <w:bCs/>
                <w:color w:val="FF0000"/>
                <w:szCs w:val="24"/>
                <w:highlight w:val="none"/>
              </w:rPr>
            </w:pPr>
            <w:r>
              <w:rPr>
                <w:rFonts w:hint="eastAsia" w:cs="宋体"/>
                <w:bCs/>
                <w:color w:val="FF0000"/>
                <w:szCs w:val="24"/>
                <w:highlight w:val="none"/>
              </w:rPr>
              <w:t>（1）时间：</w:t>
            </w:r>
            <w:r>
              <w:rPr>
                <w:rFonts w:hint="eastAsia" w:cs="宋体"/>
                <w:b/>
                <w:color w:val="FF0000"/>
                <w:kern w:val="2"/>
                <w:szCs w:val="24"/>
                <w:highlight w:val="none"/>
                <w:u w:val="single"/>
              </w:rPr>
              <w:t>202</w:t>
            </w:r>
            <w:r>
              <w:rPr>
                <w:rFonts w:hint="eastAsia" w:cs="宋体"/>
                <w:b/>
                <w:color w:val="FF0000"/>
                <w:kern w:val="2"/>
                <w:szCs w:val="24"/>
                <w:highlight w:val="none"/>
                <w:u w:val="single"/>
                <w:lang w:val="en-US" w:eastAsia="zh-CN"/>
              </w:rPr>
              <w:t>6</w:t>
            </w:r>
            <w:r>
              <w:rPr>
                <w:rFonts w:hint="eastAsia" w:cs="宋体"/>
                <w:b/>
                <w:color w:val="FF0000"/>
                <w:kern w:val="2"/>
                <w:szCs w:val="24"/>
                <w:highlight w:val="none"/>
              </w:rPr>
              <w:t>年</w:t>
            </w:r>
            <w:r>
              <w:rPr>
                <w:rFonts w:hint="eastAsia" w:cs="宋体"/>
                <w:b/>
                <w:color w:val="FF0000"/>
                <w:kern w:val="2"/>
                <w:szCs w:val="24"/>
                <w:highlight w:val="none"/>
                <w:u w:val="single"/>
                <w:lang w:val="en-US" w:eastAsia="zh-CN"/>
              </w:rPr>
              <w:t>11</w:t>
            </w:r>
            <w:r>
              <w:rPr>
                <w:rFonts w:hint="eastAsia" w:cs="宋体"/>
                <w:b/>
                <w:color w:val="FF0000"/>
                <w:kern w:val="2"/>
                <w:szCs w:val="24"/>
                <w:highlight w:val="none"/>
              </w:rPr>
              <w:t>月</w:t>
            </w:r>
            <w:r>
              <w:rPr>
                <w:rFonts w:hint="eastAsia" w:cs="宋体"/>
                <w:b/>
                <w:color w:val="FF0000"/>
                <w:kern w:val="2"/>
                <w:szCs w:val="24"/>
                <w:highlight w:val="none"/>
                <w:u w:val="single"/>
                <w:lang w:val="en-US" w:eastAsia="zh-CN"/>
              </w:rPr>
              <w:t>4</w:t>
            </w:r>
            <w:r>
              <w:rPr>
                <w:rFonts w:hint="eastAsia" w:cs="宋体"/>
                <w:b/>
                <w:color w:val="FF0000"/>
                <w:kern w:val="2"/>
                <w:szCs w:val="24"/>
                <w:highlight w:val="none"/>
              </w:rPr>
              <w:t>日</w:t>
            </w:r>
            <w:r>
              <w:rPr>
                <w:rFonts w:hint="eastAsia" w:cs="宋体"/>
                <w:b/>
                <w:color w:val="FF0000"/>
                <w:kern w:val="2"/>
                <w:szCs w:val="24"/>
                <w:highlight w:val="none"/>
                <w:u w:val="single"/>
              </w:rPr>
              <w:t>17</w:t>
            </w:r>
            <w:r>
              <w:rPr>
                <w:rFonts w:hint="eastAsia" w:cs="宋体"/>
                <w:b/>
                <w:color w:val="FF0000"/>
                <w:kern w:val="2"/>
                <w:szCs w:val="24"/>
                <w:highlight w:val="none"/>
              </w:rPr>
              <w:t>时</w:t>
            </w:r>
            <w:r>
              <w:rPr>
                <w:rFonts w:hint="eastAsia" w:cs="宋体"/>
                <w:b/>
                <w:color w:val="FF0000"/>
                <w:kern w:val="2"/>
                <w:szCs w:val="24"/>
                <w:highlight w:val="none"/>
                <w:u w:val="single"/>
              </w:rPr>
              <w:t>30</w:t>
            </w:r>
            <w:r>
              <w:rPr>
                <w:rFonts w:hint="eastAsia" w:cs="宋体"/>
                <w:b/>
                <w:color w:val="FF0000"/>
                <w:kern w:val="2"/>
                <w:szCs w:val="24"/>
                <w:highlight w:val="none"/>
              </w:rPr>
              <w:t>分。</w:t>
            </w:r>
          </w:p>
          <w:p w14:paraId="7F15172E">
            <w:pPr>
              <w:spacing w:line="440" w:lineRule="exact"/>
              <w:ind w:firstLine="0" w:firstLineChars="0"/>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（2）形式：通过</w:t>
            </w:r>
            <w:r>
              <w:rPr>
                <w:rFonts w:hint="eastAsia" w:asciiTheme="majorEastAsia" w:hAnsiTheme="majorEastAsia" w:eastAsiaTheme="majorEastAsia" w:cstheme="majorEastAsia"/>
                <w:color w:val="000000" w:themeColor="text1"/>
                <w:szCs w:val="24"/>
                <w:highlight w:val="none"/>
                <w14:textFill>
                  <w14:solidFill>
                    <w14:schemeClr w14:val="tx1"/>
                  </w14:solidFill>
                </w14:textFill>
              </w:rPr>
              <w:t>优质采云采购平台</w:t>
            </w:r>
            <w:r>
              <w:rPr>
                <w:rFonts w:hint="eastAsia" w:cs="宋体"/>
                <w:bCs/>
                <w:color w:val="000000" w:themeColor="text1"/>
                <w:szCs w:val="24"/>
                <w:highlight w:val="none"/>
                <w14:textFill>
                  <w14:solidFill>
                    <w14:schemeClr w14:val="tx1"/>
                  </w14:solidFill>
                </w14:textFill>
              </w:rPr>
              <w:t>提交。</w:t>
            </w:r>
          </w:p>
          <w:p w14:paraId="53A0958B">
            <w:pPr>
              <w:spacing w:line="440" w:lineRule="exact"/>
              <w:ind w:firstLine="0" w:firstLineChars="0"/>
              <w:rPr>
                <w:color w:val="000000" w:themeColor="text1"/>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3）供应商请注意：肥西县公共资源交易有限责任公司对磋商文件进行的澄清、更正或更改，将在网站上及时发布，该公告内容为磋商文件的组成部分，对供应商具有同样约束力效力。供应商应主动上网查询。肥西县公共资源交易有限责任公司不承担供应商未及时关注相关信息引发的相关责任。</w:t>
            </w:r>
          </w:p>
        </w:tc>
      </w:tr>
      <w:tr w14:paraId="4ADD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015500DD">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782" w:type="pct"/>
            <w:vAlign w:val="center"/>
          </w:tcPr>
          <w:p w14:paraId="0FD6FB8D">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构成磋商的其他材料</w:t>
            </w:r>
          </w:p>
        </w:tc>
        <w:tc>
          <w:tcPr>
            <w:tcW w:w="3623" w:type="pct"/>
            <w:vAlign w:val="center"/>
          </w:tcPr>
          <w:p w14:paraId="192F973A">
            <w:pPr>
              <w:adjustRightInd w:val="0"/>
              <w:snapToGrid w:val="0"/>
              <w:ind w:firstLine="0" w:firstLineChars="0"/>
              <w:jc w:val="left"/>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sym w:font="Wingdings 2" w:char="F052"/>
            </w:r>
            <w:r>
              <w:rPr>
                <w:rFonts w:hint="eastAsia" w:asciiTheme="minorEastAsia" w:hAnsiTheme="minorEastAsia" w:eastAsiaTheme="minorEastAsia"/>
                <w:color w:val="000000" w:themeColor="text1"/>
                <w:highlight w:val="none"/>
                <w14:textFill>
                  <w14:solidFill>
                    <w14:schemeClr w14:val="tx1"/>
                  </w14:solidFill>
                </w14:textFill>
              </w:rPr>
              <w:t xml:space="preserve">无  </w:t>
            </w:r>
            <w:r>
              <w:rPr>
                <w:rFonts w:hint="eastAsia" w:cs="宋体"/>
                <w:bCs/>
                <w:color w:val="000000" w:themeColor="text1"/>
                <w:szCs w:val="24"/>
                <w:highlight w:val="none"/>
                <w14:textFill>
                  <w14:solidFill>
                    <w14:schemeClr w14:val="tx1"/>
                  </w14:solidFill>
                </w14:textFill>
              </w:rPr>
              <w:t>□图纸  □其他：</w:t>
            </w:r>
            <w:r>
              <w:rPr>
                <w:rFonts w:hint="eastAsia" w:cs="宋体"/>
                <w:bCs/>
                <w:color w:val="000000" w:themeColor="text1"/>
                <w:szCs w:val="24"/>
                <w:highlight w:val="none"/>
                <w:u w:val="single"/>
                <w14:textFill>
                  <w14:solidFill>
                    <w14:schemeClr w14:val="tx1"/>
                  </w14:solidFill>
                </w14:textFill>
              </w:rPr>
              <w:t xml:space="preserve">        </w:t>
            </w:r>
          </w:p>
          <w:p w14:paraId="3AAA9E73">
            <w:pPr>
              <w:adjustRightInd w:val="0"/>
              <w:snapToGrid w:val="0"/>
              <w:ind w:firstLine="0" w:firstLineChars="0"/>
              <w:jc w:val="left"/>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获得方式：</w:t>
            </w:r>
          </w:p>
          <w:p w14:paraId="45051F58">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上述资料请供应商在获取磋商文件后，自行登录电子交易系统下载本项目附件。</w:t>
            </w:r>
          </w:p>
        </w:tc>
      </w:tr>
      <w:tr w14:paraId="1F85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2CDD1352">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782" w:type="pct"/>
            <w:vAlign w:val="center"/>
          </w:tcPr>
          <w:p w14:paraId="07637793">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磋商保证金及电子交易服务费用</w:t>
            </w:r>
          </w:p>
        </w:tc>
        <w:tc>
          <w:tcPr>
            <w:tcW w:w="3623" w:type="pct"/>
            <w:vAlign w:val="center"/>
          </w:tcPr>
          <w:p w14:paraId="435D59D8">
            <w:pPr>
              <w:ind w:firstLine="0" w:firstLineChars="0"/>
              <w:jc w:val="left"/>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是否要求</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递交磋商保证金：</w:t>
            </w:r>
            <w:r>
              <w:rPr>
                <w:rFonts w:ascii="Segoe UI Symbol" w:hAnsi="Segoe UI Symbol" w:cs="Segoe UI Symbol"/>
                <w:b/>
                <w:bCs/>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 xml:space="preserve">不要求 </w:t>
            </w:r>
            <w:r>
              <w:rPr>
                <w:rFonts w:hint="eastAsia" w:cs="宋体"/>
                <w:color w:val="000000" w:themeColor="text1"/>
                <w:highlight w:val="none"/>
                <w14:textFill>
                  <w14:solidFill>
                    <w14:schemeClr w14:val="tx1"/>
                  </w14:solidFill>
                </w14:textFill>
              </w:rPr>
              <w:sym w:font="Wingdings 2" w:char="00A3"/>
            </w:r>
            <w:r>
              <w:rPr>
                <w:rFonts w:hint="eastAsia" w:cs="宋体"/>
                <w:color w:val="000000" w:themeColor="text1"/>
                <w:highlight w:val="none"/>
                <w14:textFill>
                  <w14:solidFill>
                    <w14:schemeClr w14:val="tx1"/>
                  </w14:solidFill>
                </w14:textFill>
              </w:rPr>
              <w:t>要求</w:t>
            </w:r>
          </w:p>
          <w:p w14:paraId="544B6F00">
            <w:pPr>
              <w:snapToGrid w:val="0"/>
              <w:spacing w:line="460" w:lineRule="exact"/>
              <w:ind w:firstLine="0" w:firstLineChars="0"/>
              <w:rPr>
                <w:rFonts w:cs="宋体"/>
                <w:b/>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是否要求供应商递交电子交易服务费用：□不要求</w:t>
            </w:r>
            <w:r>
              <w:rPr>
                <w:rFonts w:ascii="Segoe UI Symbol" w:hAnsi="Segoe UI Symbol" w:cs="Segoe UI Symbol"/>
                <w:b/>
                <w:bCs/>
                <w:color w:val="000000" w:themeColor="text1"/>
                <w:kern w:val="2"/>
                <w:szCs w:val="24"/>
                <w:highlight w:val="none"/>
                <w14:textFill>
                  <w14:solidFill>
                    <w14:schemeClr w14:val="tx1"/>
                  </w14:solidFill>
                </w14:textFill>
              </w:rPr>
              <w:t>☑</w:t>
            </w:r>
            <w:r>
              <w:rPr>
                <w:rFonts w:hint="eastAsia" w:cs="宋体"/>
                <w:b/>
                <w:bCs/>
                <w:color w:val="000000" w:themeColor="text1"/>
                <w:kern w:val="2"/>
                <w:szCs w:val="24"/>
                <w:highlight w:val="none"/>
                <w14:textFill>
                  <w14:solidFill>
                    <w14:schemeClr w14:val="tx1"/>
                  </w14:solidFill>
                </w14:textFill>
              </w:rPr>
              <w:t>要求</w:t>
            </w:r>
          </w:p>
          <w:p w14:paraId="1A6B7A25">
            <w:pPr>
              <w:snapToGrid w:val="0"/>
              <w:spacing w:line="460" w:lineRule="exact"/>
              <w:ind w:firstLine="120" w:firstLineChars="5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电子交易服务费用的形式：</w:t>
            </w:r>
            <w:r>
              <w:rPr>
                <w:rFonts w:hint="eastAsia" w:cs="宋体"/>
                <w:b/>
                <w:bCs/>
                <w:color w:val="000000" w:themeColor="text1"/>
                <w:kern w:val="2"/>
                <w:szCs w:val="24"/>
                <w:highlight w:val="none"/>
                <w14:textFill>
                  <w14:solidFill>
                    <w14:schemeClr w14:val="tx1"/>
                  </w14:solidFill>
                </w14:textFill>
              </w:rPr>
              <w:sym w:font="Wingdings" w:char="00FE"/>
            </w:r>
            <w:r>
              <w:rPr>
                <w:rFonts w:hint="eastAsia" w:cs="宋体"/>
                <w:color w:val="000000" w:themeColor="text1"/>
                <w:kern w:val="2"/>
                <w:szCs w:val="24"/>
                <w:highlight w:val="none"/>
                <w14:textFill>
                  <w14:solidFill>
                    <w14:schemeClr w14:val="tx1"/>
                  </w14:solidFill>
                </w14:textFill>
              </w:rPr>
              <w:t xml:space="preserve">银行转账  </w:t>
            </w:r>
            <w:r>
              <w:rPr>
                <w:rFonts w:hint="eastAsia" w:cs="宋体"/>
                <w:b/>
                <w:bCs/>
                <w:color w:val="000000" w:themeColor="text1"/>
                <w:kern w:val="2"/>
                <w:szCs w:val="24"/>
                <w:highlight w:val="none"/>
                <w14:textFill>
                  <w14:solidFill>
                    <w14:schemeClr w14:val="tx1"/>
                  </w14:solidFill>
                </w14:textFill>
              </w:rPr>
              <w:sym w:font="Wingdings" w:char="00FE"/>
            </w:r>
            <w:r>
              <w:rPr>
                <w:rFonts w:hint="eastAsia" w:cs="宋体"/>
                <w:color w:val="000000" w:themeColor="text1"/>
                <w:kern w:val="2"/>
                <w:szCs w:val="24"/>
                <w:highlight w:val="none"/>
                <w14:textFill>
                  <w14:solidFill>
                    <w14:schemeClr w14:val="tx1"/>
                  </w14:solidFill>
                </w14:textFill>
              </w:rPr>
              <w:t xml:space="preserve">银行电汇 </w:t>
            </w:r>
          </w:p>
          <w:p w14:paraId="7E4EBD8B">
            <w:pPr>
              <w:snapToGrid w:val="0"/>
              <w:spacing w:line="460" w:lineRule="exact"/>
              <w:ind w:firstLine="120" w:firstLineChars="50"/>
              <w:rPr>
                <w:rFonts w:cs="宋体"/>
                <w:b/>
                <w:bCs/>
                <w:color w:val="000000" w:themeColor="text1"/>
                <w:kern w:val="2"/>
                <w:szCs w:val="24"/>
                <w:highlight w:val="none"/>
                <w14:textFill>
                  <w14:solidFill>
                    <w14:schemeClr w14:val="tx1"/>
                  </w14:solidFill>
                </w14:textFill>
              </w:rPr>
            </w:pPr>
            <w:r>
              <w:rPr>
                <w:rFonts w:hint="eastAsia" w:cs="宋体"/>
                <w:b/>
                <w:bCs/>
                <w:color w:val="000000" w:themeColor="text1"/>
                <w:kern w:val="2"/>
                <w:szCs w:val="24"/>
                <w:highlight w:val="none"/>
                <w14:textFill>
                  <w14:solidFill>
                    <w14:schemeClr w14:val="tx1"/>
                  </w14:solidFill>
                </w14:textFill>
              </w:rPr>
              <w:t>电子交易服务费用的金额：人民币200元，售后不退。</w:t>
            </w:r>
          </w:p>
          <w:p w14:paraId="7339128C">
            <w:pPr>
              <w:snapToGrid w:val="0"/>
              <w:spacing w:line="460" w:lineRule="exact"/>
              <w:ind w:firstLine="120" w:firstLineChars="5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 xml:space="preserve">递交要求： </w:t>
            </w:r>
          </w:p>
          <w:p w14:paraId="04F6C64B">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①电子交易服务费用的到账截止时间：同磋商时间。</w:t>
            </w:r>
          </w:p>
          <w:p w14:paraId="2C43A6C9">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②电子交易服务费用应当从供应商账户转出。</w:t>
            </w:r>
          </w:p>
          <w:p w14:paraId="3021D611">
            <w:pPr>
              <w:snapToGrid w:val="0"/>
              <w:ind w:firstLine="0" w:firstLineChars="0"/>
              <w:rPr>
                <w:rFonts w:cs="宋体"/>
                <w:color w:val="FF0000"/>
                <w:kern w:val="2"/>
                <w:szCs w:val="24"/>
                <w:highlight w:val="none"/>
              </w:rPr>
            </w:pPr>
            <w:r>
              <w:rPr>
                <w:rFonts w:hint="eastAsia" w:cs="宋体"/>
                <w:color w:val="FF0000"/>
                <w:kern w:val="2"/>
                <w:szCs w:val="24"/>
                <w:highlight w:val="none"/>
              </w:rPr>
              <w:t>③转入的开户银行及账号：</w:t>
            </w:r>
          </w:p>
          <w:p w14:paraId="344B310E">
            <w:pPr>
              <w:snapToGrid w:val="0"/>
              <w:ind w:firstLine="0" w:firstLineChars="0"/>
              <w:rPr>
                <w:rFonts w:cs="宋体"/>
                <w:color w:val="FF0000"/>
                <w:kern w:val="2"/>
                <w:szCs w:val="24"/>
                <w:highlight w:val="none"/>
              </w:rPr>
            </w:pPr>
            <w:r>
              <w:rPr>
                <w:rFonts w:hint="eastAsia" w:cs="宋体"/>
                <w:color w:val="FF0000"/>
                <w:kern w:val="2"/>
                <w:szCs w:val="24"/>
                <w:highlight w:val="none"/>
              </w:rPr>
              <w:t>开户银行：广发银行股份有限公司合肥肥西支行</w:t>
            </w:r>
          </w:p>
          <w:p w14:paraId="248EA0EC">
            <w:pPr>
              <w:snapToGrid w:val="0"/>
              <w:ind w:firstLine="0" w:firstLineChars="0"/>
              <w:rPr>
                <w:rFonts w:cs="宋体"/>
                <w:color w:val="FF0000"/>
                <w:kern w:val="2"/>
                <w:szCs w:val="24"/>
                <w:highlight w:val="none"/>
              </w:rPr>
            </w:pPr>
            <w:r>
              <w:rPr>
                <w:rFonts w:hint="eastAsia" w:cs="宋体"/>
                <w:color w:val="FF0000"/>
                <w:kern w:val="2"/>
                <w:szCs w:val="24"/>
                <w:highlight w:val="none"/>
              </w:rPr>
              <w:t>开户名：肥西县公共资源交易有限责任公司</w:t>
            </w:r>
          </w:p>
          <w:p w14:paraId="76ED6793">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FF0000"/>
                <w:kern w:val="2"/>
                <w:szCs w:val="24"/>
                <w:highlight w:val="none"/>
              </w:rPr>
              <w:t>账号：6232594999000551893</w:t>
            </w:r>
          </w:p>
          <w:p w14:paraId="09BB4A15">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注意事项：</w:t>
            </w:r>
          </w:p>
          <w:p w14:paraId="394AA6D1">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（1）电子交易服务费用采用虚拟账号，项目磋商失败后，电子交易服务费用交纳账号将会发生变化，请供应商参与后续磋商时，注意勿将电子交易服务费用错交至其他项目账号或前次公告账号。</w:t>
            </w:r>
          </w:p>
          <w:p w14:paraId="03CD7CB5">
            <w:pPr>
              <w:snapToGrid w:val="0"/>
              <w:ind w:firstLine="0" w:firstLineChars="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（3）凡转账到其他项目账户或本项目前次公告账户的，电子交易服务费用无效。</w:t>
            </w:r>
          </w:p>
          <w:p w14:paraId="39427FAC">
            <w:pPr>
              <w:snapToGrid w:val="0"/>
              <w:ind w:firstLine="0" w:firstLineChars="0"/>
              <w:rPr>
                <w:rFonts w:cs="宋体"/>
                <w:color w:val="000000" w:themeColor="text1"/>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（4）供应商参与本项目多个包别磋商的（如分多包别的），应该按包别分别递交电子交易服务费用。未递交电子交易服务费用的包别，其响应无效。</w:t>
            </w:r>
          </w:p>
        </w:tc>
      </w:tr>
      <w:tr w14:paraId="35A2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28002990">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782" w:type="pct"/>
            <w:vAlign w:val="center"/>
          </w:tcPr>
          <w:p w14:paraId="65E1B2ED">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不予退还磋商保证金的情形</w:t>
            </w:r>
          </w:p>
        </w:tc>
        <w:tc>
          <w:tcPr>
            <w:tcW w:w="3623" w:type="pct"/>
            <w:vAlign w:val="center"/>
          </w:tcPr>
          <w:p w14:paraId="41B5A83F">
            <w:pPr>
              <w:snapToGrid w:val="0"/>
              <w:ind w:firstLine="0" w:firstLineChars="0"/>
              <w:rPr>
                <w:rFonts w:cs="宋体"/>
                <w:color w:val="000000" w:themeColor="text1"/>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p>
        </w:tc>
      </w:tr>
      <w:tr w14:paraId="578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1954925F">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782" w:type="pct"/>
            <w:vAlign w:val="center"/>
          </w:tcPr>
          <w:p w14:paraId="4CA04769">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磋商现场提交的其他材料要求</w:t>
            </w:r>
          </w:p>
        </w:tc>
        <w:tc>
          <w:tcPr>
            <w:tcW w:w="3623" w:type="pct"/>
            <w:vAlign w:val="center"/>
          </w:tcPr>
          <w:p w14:paraId="4C50ACD5">
            <w:pPr>
              <w:pStyle w:val="2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tc>
      </w:tr>
      <w:tr w14:paraId="395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062439EC">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782" w:type="pct"/>
            <w:vAlign w:val="center"/>
          </w:tcPr>
          <w:p w14:paraId="646D7440">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响应文件解密时间</w:t>
            </w:r>
          </w:p>
        </w:tc>
        <w:tc>
          <w:tcPr>
            <w:tcW w:w="3623" w:type="pct"/>
            <w:vAlign w:val="center"/>
          </w:tcPr>
          <w:p w14:paraId="625AAA68">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响应文件提交截止时间后30分钟内（以系统解密倒计时为准）</w:t>
            </w:r>
          </w:p>
        </w:tc>
      </w:tr>
      <w:tr w14:paraId="3B98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Merge w:val="restart"/>
            <w:vAlign w:val="center"/>
          </w:tcPr>
          <w:p w14:paraId="70B76A51">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782" w:type="pct"/>
            <w:vMerge w:val="restart"/>
            <w:vAlign w:val="center"/>
          </w:tcPr>
          <w:p w14:paraId="21E93DE3">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确定成交候选人和成交人</w:t>
            </w:r>
          </w:p>
        </w:tc>
        <w:tc>
          <w:tcPr>
            <w:tcW w:w="3623" w:type="pct"/>
            <w:vAlign w:val="center"/>
          </w:tcPr>
          <w:p w14:paraId="40354D42">
            <w:pPr>
              <w:pStyle w:val="22"/>
              <w:rPr>
                <w:rFonts w:hint="eastAsia" w:eastAsia="宋体"/>
                <w:b/>
                <w:color w:val="000000" w:themeColor="text1"/>
                <w:highlight w:val="none"/>
                <w:u w:val="single"/>
                <w:lang w:eastAsia="zh-CN"/>
                <w14:textFill>
                  <w14:solidFill>
                    <w14:schemeClr w14:val="tx1"/>
                  </w14:solidFill>
                </w14:textFill>
              </w:rPr>
            </w:pPr>
            <w:r>
              <w:rPr>
                <w:rFonts w:hint="eastAsia"/>
                <w:color w:val="FF0000"/>
                <w:highlight w:val="none"/>
              </w:rPr>
              <w:t>评审委员会推荐成交候选人的数量：</w:t>
            </w:r>
            <w:r>
              <w:rPr>
                <w:rFonts w:hint="eastAsia"/>
                <w:color w:val="FF0000"/>
                <w:highlight w:val="none"/>
                <w:u w:val="single"/>
                <w:lang w:val="en-US" w:eastAsia="zh-CN"/>
              </w:rPr>
              <w:t>1</w:t>
            </w:r>
            <w:r>
              <w:rPr>
                <w:rFonts w:hint="eastAsia"/>
                <w:color w:val="FF0000"/>
                <w:highlight w:val="none"/>
                <w:u w:val="single"/>
              </w:rPr>
              <w:t>家</w:t>
            </w:r>
          </w:p>
        </w:tc>
      </w:tr>
      <w:tr w14:paraId="63DE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Merge w:val="continue"/>
            <w:vAlign w:val="center"/>
          </w:tcPr>
          <w:p w14:paraId="354E8EE0">
            <w:pPr>
              <w:pStyle w:val="23"/>
              <w:ind w:firstLine="0" w:firstLineChars="0"/>
              <w:rPr>
                <w:color w:val="000000" w:themeColor="text1"/>
                <w:highlight w:val="none"/>
                <w14:textFill>
                  <w14:solidFill>
                    <w14:schemeClr w14:val="tx1"/>
                  </w14:solidFill>
                </w14:textFill>
              </w:rPr>
            </w:pPr>
          </w:p>
        </w:tc>
        <w:tc>
          <w:tcPr>
            <w:tcW w:w="782" w:type="pct"/>
            <w:vMerge w:val="continue"/>
            <w:vAlign w:val="center"/>
          </w:tcPr>
          <w:p w14:paraId="2DB1056D">
            <w:pPr>
              <w:pStyle w:val="23"/>
              <w:ind w:firstLine="0" w:firstLineChars="0"/>
              <w:rPr>
                <w:color w:val="000000" w:themeColor="text1"/>
                <w:highlight w:val="none"/>
                <w14:textFill>
                  <w14:solidFill>
                    <w14:schemeClr w14:val="tx1"/>
                  </w14:solidFill>
                </w14:textFill>
              </w:rPr>
            </w:pPr>
          </w:p>
        </w:tc>
        <w:tc>
          <w:tcPr>
            <w:tcW w:w="3623" w:type="pct"/>
            <w:vAlign w:val="center"/>
          </w:tcPr>
          <w:p w14:paraId="1C7BA5C2">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确定成交人：</w:t>
            </w:r>
          </w:p>
          <w:p w14:paraId="3D77A266">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2" w:char="0052"/>
            </w:r>
            <w:r>
              <w:rPr>
                <w:rFonts w:hint="eastAsia"/>
                <w:color w:val="000000" w:themeColor="text1"/>
                <w:highlight w:val="none"/>
                <w14:textFill>
                  <w14:solidFill>
                    <w14:schemeClr w14:val="tx1"/>
                  </w14:solidFill>
                </w14:textFill>
              </w:rPr>
              <w:t xml:space="preserve">业主单位委托评审委员会确定     </w:t>
            </w:r>
          </w:p>
          <w:p w14:paraId="65B8F93C">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2" w:char="00A3"/>
            </w:r>
            <w:r>
              <w:rPr>
                <w:rFonts w:hint="eastAsia"/>
                <w:color w:val="000000" w:themeColor="text1"/>
                <w:highlight w:val="none"/>
                <w14:textFill>
                  <w14:solidFill>
                    <w14:schemeClr w14:val="tx1"/>
                  </w14:solidFill>
                </w14:textFill>
              </w:rPr>
              <w:t>业主单位确定</w:t>
            </w:r>
          </w:p>
        </w:tc>
      </w:tr>
      <w:tr w14:paraId="358B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6BEB26C5">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782" w:type="pct"/>
            <w:vAlign w:val="center"/>
          </w:tcPr>
          <w:p w14:paraId="65AA36D5">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成交通知书发出的形式</w:t>
            </w:r>
          </w:p>
        </w:tc>
        <w:tc>
          <w:tcPr>
            <w:tcW w:w="3623" w:type="pct"/>
            <w:vAlign w:val="center"/>
          </w:tcPr>
          <w:p w14:paraId="1BDEE2EC">
            <w:pPr>
              <w:pStyle w:val="22"/>
              <w:rPr>
                <w:b/>
                <w:color w:val="000000" w:themeColor="text1"/>
                <w:highlight w:val="none"/>
                <w14:textFill>
                  <w14:solidFill>
                    <w14:schemeClr w14:val="tx1"/>
                  </w14:solidFill>
                </w14:textFill>
              </w:rPr>
            </w:pPr>
            <w:r>
              <w:rPr>
                <w:rFonts w:ascii="Segoe UI Symbol" w:hAnsi="Segoe UI Symbol" w:cs="Segoe UI Symbol"/>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书面     </w:t>
            </w:r>
            <w:r>
              <w:rPr>
                <w:rFonts w:hint="eastAsia"/>
                <w:color w:val="000000" w:themeColor="text1"/>
                <w:highlight w:val="none"/>
                <w14:textFill>
                  <w14:solidFill>
                    <w14:schemeClr w14:val="tx1"/>
                  </w14:solidFill>
                </w14:textFill>
              </w:rPr>
              <w:sym w:font="Wingdings" w:char="00A8"/>
            </w:r>
            <w:r>
              <w:rPr>
                <w:rFonts w:hint="eastAsia"/>
                <w:color w:val="000000" w:themeColor="text1"/>
                <w:highlight w:val="none"/>
                <w14:textFill>
                  <w14:solidFill>
                    <w14:schemeClr w14:val="tx1"/>
                  </w14:solidFill>
                </w14:textFill>
              </w:rPr>
              <w:t>数据电文</w:t>
            </w:r>
          </w:p>
        </w:tc>
      </w:tr>
      <w:tr w14:paraId="6D8A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7C47EF8D">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782" w:type="pct"/>
            <w:vAlign w:val="center"/>
          </w:tcPr>
          <w:p w14:paraId="634ADE90">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告知磋商结果的</w:t>
            </w:r>
          </w:p>
          <w:p w14:paraId="0B51823B">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形式</w:t>
            </w:r>
          </w:p>
        </w:tc>
        <w:tc>
          <w:tcPr>
            <w:tcW w:w="3623" w:type="pct"/>
            <w:vAlign w:val="center"/>
          </w:tcPr>
          <w:p w14:paraId="16407DF8">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w:char="F0FE"/>
            </w:r>
            <w:r>
              <w:rPr>
                <w:rFonts w:hint="eastAsia"/>
                <w:color w:val="000000" w:themeColor="text1"/>
                <w:highlight w:val="none"/>
                <w14:textFill>
                  <w14:solidFill>
                    <w14:schemeClr w14:val="tx1"/>
                  </w14:solidFill>
                </w14:textFill>
              </w:rPr>
              <w:t>供应商自行登录系统查看</w:t>
            </w:r>
          </w:p>
          <w:p w14:paraId="5F8C9F76">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□磋商现场告知</w:t>
            </w:r>
          </w:p>
        </w:tc>
      </w:tr>
      <w:tr w14:paraId="45B9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69D70EAC">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782" w:type="pct"/>
            <w:vAlign w:val="center"/>
          </w:tcPr>
          <w:p w14:paraId="6A214B33">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履约</w:t>
            </w:r>
          </w:p>
          <w:p w14:paraId="64736B84">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保证金</w:t>
            </w:r>
          </w:p>
        </w:tc>
        <w:tc>
          <w:tcPr>
            <w:tcW w:w="3623" w:type="pct"/>
          </w:tcPr>
          <w:p w14:paraId="6287CF3C">
            <w:pPr>
              <w:snapToGrid w:val="0"/>
              <w:ind w:firstLine="0" w:firstLineChars="0"/>
              <w:rPr>
                <w:rFonts w:cs="宋体"/>
                <w:snapToGrid w:val="0"/>
                <w:color w:val="000000" w:themeColor="text1"/>
                <w:szCs w:val="24"/>
                <w:highlight w:val="none"/>
                <w14:textFill>
                  <w14:solidFill>
                    <w14:schemeClr w14:val="tx1"/>
                  </w14:solidFill>
                </w14:textFill>
              </w:rPr>
            </w:pPr>
            <w:r>
              <w:rPr>
                <w:rFonts w:hint="eastAsia"/>
                <w:b w:val="0"/>
                <w:bCs w:val="0"/>
                <w:color w:val="000000" w:themeColor="text1"/>
                <w:highlight w:val="none"/>
                <w14:textFill>
                  <w14:solidFill>
                    <w14:schemeClr w14:val="tx1"/>
                  </w14:solidFill>
                </w14:textFill>
              </w:rPr>
              <w:sym w:font="Wingdings" w:char="00A8"/>
            </w:r>
            <w:r>
              <w:rPr>
                <w:rFonts w:hint="eastAsia" w:cs="宋体"/>
                <w:b w:val="0"/>
                <w:bCs w:val="0"/>
                <w:color w:val="000000" w:themeColor="text1"/>
                <w:szCs w:val="24"/>
                <w:highlight w:val="none"/>
                <w14:textFill>
                  <w14:solidFill>
                    <w14:schemeClr w14:val="tx1"/>
                  </w14:solidFill>
                </w14:textFill>
              </w:rPr>
              <w:t xml:space="preserve">收取 </w:t>
            </w:r>
            <w:r>
              <w:rPr>
                <w:rFonts w:hint="eastAsia" w:cs="宋体"/>
                <w:color w:val="000000" w:themeColor="text1"/>
                <w:szCs w:val="24"/>
                <w:highlight w:val="none"/>
                <w14:textFill>
                  <w14:solidFill>
                    <w14:schemeClr w14:val="tx1"/>
                  </w14:solidFill>
                </w14:textFill>
              </w:rPr>
              <w:t xml:space="preserve">    </w:t>
            </w:r>
            <w:r>
              <w:rPr>
                <w:rFonts w:hint="eastAsia" w:cs="宋体"/>
                <w:b/>
                <w:bCs/>
                <w:color w:val="000000" w:themeColor="text1"/>
                <w:szCs w:val="24"/>
                <w:highlight w:val="none"/>
                <w:lang w:eastAsia="zh-CN"/>
                <w14:textFill>
                  <w14:solidFill>
                    <w14:schemeClr w14:val="tx1"/>
                  </w14:solidFill>
                </w14:textFill>
              </w:rPr>
              <w:t>☑</w:t>
            </w:r>
            <w:r>
              <w:rPr>
                <w:rFonts w:hint="eastAsia" w:cs="宋体"/>
                <w:b/>
                <w:bCs/>
                <w:color w:val="000000" w:themeColor="text1"/>
                <w:szCs w:val="24"/>
                <w:highlight w:val="none"/>
                <w14:textFill>
                  <w14:solidFill>
                    <w14:schemeClr w14:val="tx1"/>
                  </w14:solidFill>
                </w14:textFill>
              </w:rPr>
              <w:t>不收取</w:t>
            </w:r>
          </w:p>
          <w:p w14:paraId="70B99D5A">
            <w:pPr>
              <w:snapToGrid w:val="0"/>
              <w:ind w:firstLine="0" w:firstLineChars="0"/>
              <w:rPr>
                <w:rFonts w:cs="宋体"/>
                <w:bCs/>
                <w:snapToGrid w:val="0"/>
                <w:color w:val="000000" w:themeColor="text1"/>
                <w:szCs w:val="24"/>
                <w:highlight w:val="none"/>
                <w14:textFill>
                  <w14:solidFill>
                    <w14:schemeClr w14:val="tx1"/>
                  </w14:solidFill>
                </w14:textFill>
              </w:rPr>
            </w:pPr>
            <w:r>
              <w:rPr>
                <w:rFonts w:hint="eastAsia" w:cs="宋体"/>
                <w:snapToGrid w:val="0"/>
                <w:color w:val="000000" w:themeColor="text1"/>
                <w:szCs w:val="24"/>
                <w:highlight w:val="none"/>
                <w14:textFill>
                  <w14:solidFill>
                    <w14:schemeClr w14:val="tx1"/>
                  </w14:solidFill>
                </w14:textFill>
              </w:rPr>
              <w:t>（1）金额：</w:t>
            </w:r>
            <w:r>
              <w:rPr>
                <w:rFonts w:hint="eastAsia" w:cs="宋体"/>
                <w:color w:val="000000" w:themeColor="text1"/>
                <w:szCs w:val="24"/>
                <w:highlight w:val="none"/>
                <w14:textFill>
                  <w14:solidFill>
                    <w14:schemeClr w14:val="tx1"/>
                  </w14:solidFill>
                </w14:textFill>
              </w:rPr>
              <w:sym w:font="Wingdings" w:char="00A8"/>
            </w:r>
            <w:r>
              <w:rPr>
                <w:rFonts w:hint="eastAsia" w:cs="宋体"/>
                <w:snapToGrid w:val="0"/>
                <w:color w:val="000000" w:themeColor="text1"/>
                <w:szCs w:val="24"/>
                <w:highlight w:val="none"/>
                <w14:textFill>
                  <w14:solidFill>
                    <w14:schemeClr w14:val="tx1"/>
                  </w14:solidFill>
                </w14:textFill>
              </w:rPr>
              <w:t>成交金额的</w:t>
            </w:r>
            <w:r>
              <w:rPr>
                <w:rFonts w:hint="eastAsia" w:cs="宋体"/>
                <w:snapToGrid w:val="0"/>
                <w:color w:val="000000" w:themeColor="text1"/>
                <w:szCs w:val="24"/>
                <w:highlight w:val="none"/>
                <w:u w:val="single"/>
                <w14:textFill>
                  <w14:solidFill>
                    <w14:schemeClr w14:val="tx1"/>
                  </w14:solidFill>
                </w14:textFill>
              </w:rPr>
              <w:t xml:space="preserve">  </w:t>
            </w:r>
            <w:r>
              <w:rPr>
                <w:rFonts w:hint="eastAsia" w:cs="宋体"/>
                <w:snapToGrid w:val="0"/>
                <w:color w:val="000000" w:themeColor="text1"/>
                <w:szCs w:val="24"/>
                <w:highlight w:val="none"/>
                <w14:textFill>
                  <w14:solidFill>
                    <w14:schemeClr w14:val="tx1"/>
                  </w14:solidFill>
                </w14:textFill>
              </w:rPr>
              <w:t xml:space="preserve">%  </w:t>
            </w:r>
            <w:r>
              <w:rPr>
                <w:rFonts w:hint="eastAsia" w:cs="宋体"/>
                <w:b w:val="0"/>
                <w:bCs w:val="0"/>
                <w:snapToGrid w:val="0"/>
                <w:color w:val="000000" w:themeColor="text1"/>
                <w:szCs w:val="24"/>
                <w:highlight w:val="none"/>
                <w14:textFill>
                  <w14:solidFill>
                    <w14:schemeClr w14:val="tx1"/>
                  </w14:solidFill>
                </w14:textFill>
              </w:rPr>
              <w:t xml:space="preserve"> </w:t>
            </w:r>
            <w:r>
              <w:rPr>
                <w:rFonts w:hint="eastAsia"/>
                <w:b w:val="0"/>
                <w:bCs w:val="0"/>
                <w:color w:val="000000" w:themeColor="text1"/>
                <w:highlight w:val="none"/>
                <w14:textFill>
                  <w14:solidFill>
                    <w14:schemeClr w14:val="tx1"/>
                  </w14:solidFill>
                </w14:textFill>
              </w:rPr>
              <w:sym w:font="Wingdings" w:char="00A8"/>
            </w:r>
            <w:r>
              <w:rPr>
                <w:rFonts w:hint="eastAsia" w:cs="宋体"/>
                <w:b w:val="0"/>
                <w:bCs w:val="0"/>
                <w:color w:val="000000" w:themeColor="text1"/>
                <w:szCs w:val="24"/>
                <w:highlight w:val="none"/>
                <w14:textFill>
                  <w14:solidFill>
                    <w14:schemeClr w14:val="tx1"/>
                  </w14:solidFill>
                </w14:textFill>
              </w:rPr>
              <w:t>定额收取</w:t>
            </w:r>
            <w:r>
              <w:rPr>
                <w:rFonts w:hint="eastAsia" w:cs="宋体"/>
                <w:b w:val="0"/>
                <w:bCs w:val="0"/>
                <w:color w:val="000000" w:themeColor="text1"/>
                <w:szCs w:val="24"/>
                <w:highlight w:val="none"/>
                <w:u w:val="single"/>
                <w:lang w:val="en-US" w:eastAsia="zh-CN"/>
                <w14:textFill>
                  <w14:solidFill>
                    <w14:schemeClr w14:val="tx1"/>
                  </w14:solidFill>
                </w14:textFill>
              </w:rPr>
              <w:t xml:space="preserve">      </w:t>
            </w:r>
            <w:r>
              <w:rPr>
                <w:rFonts w:hint="eastAsia" w:cs="宋体"/>
                <w:b w:val="0"/>
                <w:bCs w:val="0"/>
                <w:color w:val="000000" w:themeColor="text1"/>
                <w:szCs w:val="24"/>
                <w:highlight w:val="none"/>
                <w14:textFill>
                  <w14:solidFill>
                    <w14:schemeClr w14:val="tx1"/>
                  </w14:solidFill>
                </w14:textFill>
              </w:rPr>
              <w:t>元</w:t>
            </w:r>
          </w:p>
          <w:p w14:paraId="36357B49">
            <w:pPr>
              <w:snapToGrid w:val="0"/>
              <w:ind w:firstLine="0" w:firstLineChars="0"/>
              <w:rPr>
                <w:rFonts w:cs="宋体"/>
                <w:color w:val="000000" w:themeColor="text1"/>
                <w:szCs w:val="24"/>
                <w:highlight w:val="none"/>
                <w14:textFill>
                  <w14:solidFill>
                    <w14:schemeClr w14:val="tx1"/>
                  </w14:solidFill>
                </w14:textFill>
              </w:rPr>
            </w:pPr>
            <w:r>
              <w:rPr>
                <w:rFonts w:hint="eastAsia" w:cs="宋体"/>
                <w:bCs/>
                <w:snapToGrid w:val="0"/>
                <w:color w:val="000000" w:themeColor="text1"/>
                <w:szCs w:val="24"/>
                <w:highlight w:val="none"/>
                <w14:textFill>
                  <w14:solidFill>
                    <w14:schemeClr w14:val="tx1"/>
                  </w14:solidFill>
                </w14:textFill>
              </w:rPr>
              <w:t>（2）缴纳形式</w:t>
            </w:r>
            <w:r>
              <w:rPr>
                <w:rFonts w:hint="eastAsia" w:cs="宋体"/>
                <w:color w:val="000000" w:themeColor="text1"/>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sym w:font="Wingdings" w:char="00FE"/>
            </w:r>
            <w:r>
              <w:rPr>
                <w:rFonts w:hint="eastAsia" w:cs="宋体"/>
                <w:color w:val="000000" w:themeColor="text1"/>
                <w:szCs w:val="24"/>
                <w:highlight w:val="none"/>
                <w14:textFill>
                  <w14:solidFill>
                    <w14:schemeClr w14:val="tx1"/>
                  </w14:solidFill>
                </w14:textFill>
              </w:rPr>
              <w:t xml:space="preserve">银行转账  </w:t>
            </w:r>
            <w:r>
              <w:rPr>
                <w:rFonts w:hint="eastAsia"/>
                <w:color w:val="000000" w:themeColor="text1"/>
                <w:highlight w:val="none"/>
                <w14:textFill>
                  <w14:solidFill>
                    <w14:schemeClr w14:val="tx1"/>
                  </w14:solidFill>
                </w14:textFill>
              </w:rPr>
              <w:sym w:font="Wingdings" w:char="F0FE"/>
            </w:r>
            <w:r>
              <w:rPr>
                <w:rFonts w:hint="eastAsia" w:cs="宋体"/>
                <w:color w:val="000000" w:themeColor="text1"/>
                <w:szCs w:val="24"/>
                <w:highlight w:val="none"/>
                <w14:textFill>
                  <w14:solidFill>
                    <w14:schemeClr w14:val="tx1"/>
                  </w14:solidFill>
                </w14:textFill>
              </w:rPr>
              <w:t xml:space="preserve">银行电汇 </w:t>
            </w:r>
            <w:r>
              <w:rPr>
                <w:color w:val="000000" w:themeColor="text1"/>
                <w:szCs w:val="24"/>
                <w:highlight w:val="none"/>
                <w14:textFill>
                  <w14:solidFill>
                    <w14:schemeClr w14:val="tx1"/>
                  </w14:solidFill>
                </w14:textFill>
              </w:rPr>
              <w:sym w:font="Wingdings" w:char="00FE"/>
            </w:r>
            <w:r>
              <w:rPr>
                <w:rFonts w:hint="eastAsia" w:cs="宋体"/>
                <w:color w:val="000000" w:themeColor="text1"/>
                <w:szCs w:val="24"/>
                <w:highlight w:val="none"/>
                <w14:textFill>
                  <w14:solidFill>
                    <w14:schemeClr w14:val="tx1"/>
                  </w14:solidFill>
                </w14:textFill>
              </w:rPr>
              <w:t>现金保证</w:t>
            </w:r>
          </w:p>
          <w:p w14:paraId="6B0D8A53">
            <w:pPr>
              <w:snapToGrid w:val="0"/>
              <w:ind w:firstLine="0" w:firstLineChars="0"/>
              <w:rPr>
                <w:rFonts w:cs="宋体"/>
                <w:b/>
                <w:bCs/>
                <w:snapToGrid w:val="0"/>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3）具体要求：合同签订前按规定提交履约保证金，若成交人在规定时限内未提交保证金的，业主单位将书面通知成交人，5日内不能办理的，业主单位将有权取消其成交资格,并没收其磋商保证金。在此情况下业主单位可将该项目授予排名第二的供应商或重新磋商。</w:t>
            </w:r>
          </w:p>
          <w:p w14:paraId="28A89139">
            <w:pPr>
              <w:pStyle w:val="22"/>
              <w:rPr>
                <w:rFonts w:hint="eastAsia" w:eastAsia="宋体"/>
                <w:b/>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（4）收取单位：</w:t>
            </w:r>
            <w:r>
              <w:rPr>
                <w:rFonts w:hint="eastAsia"/>
                <w:color w:val="000000" w:themeColor="text1"/>
                <w:highlight w:val="none"/>
                <w:lang w:eastAsia="zh-CN"/>
                <w14:textFill>
                  <w14:solidFill>
                    <w14:schemeClr w14:val="tx1"/>
                  </w14:solidFill>
                </w14:textFill>
              </w:rPr>
              <w:t xml:space="preserve">肥西县公安局 </w:t>
            </w:r>
          </w:p>
          <w:p w14:paraId="22E38620">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（5）缴纳时间：合同签订前</w:t>
            </w:r>
          </w:p>
          <w:p w14:paraId="7E8595EC">
            <w:pPr>
              <w:pStyle w:val="22"/>
              <w:rPr>
                <w:b/>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（6）退还时间：</w:t>
            </w:r>
            <w:r>
              <w:rPr>
                <w:rFonts w:hint="eastAsia"/>
                <w:color w:val="000000" w:themeColor="text1"/>
                <w:highlight w:val="none"/>
                <w:lang w:val="en-US" w:eastAsia="zh-CN"/>
                <w14:textFill>
                  <w14:solidFill>
                    <w14:schemeClr w14:val="tx1"/>
                  </w14:solidFill>
                </w14:textFill>
              </w:rPr>
              <w:t>合同履约完成</w:t>
            </w:r>
            <w:r>
              <w:rPr>
                <w:rFonts w:hint="eastAsia"/>
                <w:color w:val="000000" w:themeColor="text1"/>
                <w:highlight w:val="none"/>
                <w14:textFill>
                  <w14:solidFill>
                    <w14:schemeClr w14:val="tx1"/>
                  </w14:solidFill>
                </w14:textFill>
              </w:rPr>
              <w:t xml:space="preserve">，一个月内退还。   </w:t>
            </w:r>
          </w:p>
        </w:tc>
      </w:tr>
      <w:tr w14:paraId="7FF7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5999915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782" w:type="pct"/>
            <w:vAlign w:val="center"/>
          </w:tcPr>
          <w:p w14:paraId="2AE52056">
            <w:pPr>
              <w:pStyle w:val="23"/>
              <w:ind w:firstLine="0" w:firstLineChars="0"/>
              <w:rPr>
                <w:snapToGrid w:val="0"/>
                <w:color w:val="000000" w:themeColor="text1"/>
                <w:highlight w:val="none"/>
                <w14:textFill>
                  <w14:solidFill>
                    <w14:schemeClr w14:val="tx1"/>
                  </w14:solidFill>
                </w14:textFill>
              </w:rPr>
            </w:pPr>
            <w:r>
              <w:rPr>
                <w:rFonts w:hint="eastAsia"/>
                <w:snapToGrid w:val="0"/>
                <w:color w:val="000000" w:themeColor="text1"/>
                <w:highlight w:val="none"/>
                <w14:textFill>
                  <w14:solidFill>
                    <w14:schemeClr w14:val="tx1"/>
                  </w14:solidFill>
                </w14:textFill>
              </w:rPr>
              <w:t>代理</w:t>
            </w:r>
          </w:p>
          <w:p w14:paraId="2AB143A4">
            <w:pPr>
              <w:pStyle w:val="23"/>
              <w:ind w:firstLine="0" w:firstLineChars="0"/>
              <w:rPr>
                <w:color w:val="000000" w:themeColor="text1"/>
                <w:highlight w:val="none"/>
                <w14:textFill>
                  <w14:solidFill>
                    <w14:schemeClr w14:val="tx1"/>
                  </w14:solidFill>
                </w14:textFill>
              </w:rPr>
            </w:pPr>
            <w:r>
              <w:rPr>
                <w:rFonts w:hint="eastAsia"/>
                <w:snapToGrid w:val="0"/>
                <w:color w:val="000000" w:themeColor="text1"/>
                <w:highlight w:val="none"/>
                <w14:textFill>
                  <w14:solidFill>
                    <w14:schemeClr w14:val="tx1"/>
                  </w14:solidFill>
                </w14:textFill>
              </w:rPr>
              <w:t>服务费</w:t>
            </w:r>
          </w:p>
        </w:tc>
        <w:tc>
          <w:tcPr>
            <w:tcW w:w="3623" w:type="pct"/>
            <w:vAlign w:val="center"/>
          </w:tcPr>
          <w:p w14:paraId="0C884DB7">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（1）金额：</w:t>
            </w:r>
          </w:p>
          <w:p w14:paraId="0D111723">
            <w:pPr>
              <w:pStyle w:val="22"/>
              <w:rPr>
                <w:rFonts w:hint="default" w:eastAsia="宋体"/>
                <w:b/>
                <w:color w:val="auto"/>
                <w:highlight w:val="none"/>
                <w:u w:val="single"/>
                <w:lang w:val="en-US" w:eastAsia="zh-CN"/>
              </w:rPr>
            </w:pPr>
            <w:r>
              <w:rPr>
                <w:rFonts w:hint="eastAsia"/>
                <w:color w:val="auto"/>
                <w:highlight w:val="none"/>
                <w:lang w:eastAsia="zh-CN"/>
              </w:rPr>
              <w:t>□</w:t>
            </w:r>
            <w:r>
              <w:rPr>
                <w:rFonts w:hint="eastAsia"/>
                <w:color w:val="auto"/>
                <w:highlight w:val="none"/>
              </w:rPr>
              <w:t>定额收取：</w:t>
            </w:r>
            <w:r>
              <w:rPr>
                <w:rFonts w:hint="eastAsia"/>
                <w:color w:val="auto"/>
                <w:highlight w:val="none"/>
                <w:u w:val="single"/>
                <w:lang w:val="en-US" w:eastAsia="zh-CN"/>
              </w:rPr>
              <w:t xml:space="preserve">         </w:t>
            </w:r>
          </w:p>
          <w:p w14:paraId="4E22EF44">
            <w:pPr>
              <w:pStyle w:val="22"/>
              <w:rPr>
                <w:color w:val="000000" w:themeColor="text1"/>
                <w:highlight w:val="none"/>
                <w14:textFill>
                  <w14:solidFill>
                    <w14:schemeClr w14:val="tx1"/>
                  </w14:solidFill>
                </w14:textFill>
              </w:rPr>
            </w:pPr>
            <w:r>
              <w:rPr>
                <w:rFonts w:hint="eastAsia" w:ascii="Segoe UI Symbol" w:hAnsi="Segoe UI Symbol" w:cs="Segoe UI Symbol"/>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按下列标准收取：详见附件1《代理服务费收费标准》，不足4000元按4000元收取。</w:t>
            </w:r>
          </w:p>
          <w:p w14:paraId="71DE0708">
            <w:pPr>
              <w:pStyle w:val="22"/>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（2）支付方式：</w:t>
            </w:r>
            <w:r>
              <w:rPr>
                <w:rFonts w:ascii="Segoe UI Symbol" w:hAnsi="Segoe UI Symbol" w:cs="Segoe UI Symbol"/>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转账/电汇</w:t>
            </w:r>
          </w:p>
          <w:p w14:paraId="3F28EE33">
            <w:pPr>
              <w:ind w:firstLine="0" w:firstLineChars="0"/>
              <w:rPr>
                <w:rFonts w:cs="宋体"/>
                <w:color w:val="000000" w:themeColor="text1"/>
                <w:szCs w:val="24"/>
                <w:highlight w:val="none"/>
                <w14:textFill>
                  <w14:solidFill>
                    <w14:schemeClr w14:val="tx1"/>
                  </w14:solidFill>
                </w14:textFill>
              </w:rPr>
            </w:pPr>
            <w:r>
              <w:rPr>
                <w:rFonts w:hint="eastAsia" w:cs="楷体"/>
                <w:bCs/>
                <w:snapToGrid w:val="0"/>
                <w:color w:val="000000" w:themeColor="text1"/>
                <w:szCs w:val="24"/>
                <w:highlight w:val="none"/>
                <w14:textFill>
                  <w14:solidFill>
                    <w14:schemeClr w14:val="tx1"/>
                  </w14:solidFill>
                </w14:textFill>
              </w:rPr>
              <w:t>备注：以上相关费用，供应商在报价单中不单列，包含在报价中，业主单位不再单独计量支付。</w:t>
            </w:r>
          </w:p>
        </w:tc>
      </w:tr>
      <w:tr w14:paraId="099E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45E2DFB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782" w:type="pct"/>
            <w:vAlign w:val="center"/>
          </w:tcPr>
          <w:p w14:paraId="2AA1BFD4">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补充约定</w:t>
            </w:r>
          </w:p>
        </w:tc>
        <w:tc>
          <w:tcPr>
            <w:tcW w:w="3623" w:type="pct"/>
            <w:vAlign w:val="center"/>
          </w:tcPr>
          <w:p w14:paraId="059E343B">
            <w:pPr>
              <w:numPr>
                <w:ilvl w:val="255"/>
                <w:numId w:val="0"/>
              </w:numPr>
              <w:adjustRightInd w:val="0"/>
              <w:snapToGrid w:val="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（1）通过初审的供应商为3家及以上的，按磋商文件约定进行评审并确定结果；</w:t>
            </w:r>
          </w:p>
          <w:p w14:paraId="63BF71B3">
            <w:pPr>
              <w:adjustRightInd w:val="0"/>
              <w:snapToGrid w:val="0"/>
              <w:ind w:firstLine="0" w:firstLineChars="0"/>
              <w:rPr>
                <w:color w:val="000000" w:themeColor="text1"/>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（2）通过初审的供应商不足3家的，项目磋商失败。</w:t>
            </w:r>
          </w:p>
        </w:tc>
      </w:tr>
      <w:tr w14:paraId="1E7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699F70D8">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782" w:type="pct"/>
            <w:vAlign w:val="center"/>
          </w:tcPr>
          <w:p w14:paraId="06E1749B">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报价须知</w:t>
            </w:r>
          </w:p>
        </w:tc>
        <w:tc>
          <w:tcPr>
            <w:tcW w:w="3623" w:type="pct"/>
            <w:vAlign w:val="center"/>
          </w:tcPr>
          <w:p w14:paraId="2E5CE41E">
            <w:pPr>
              <w:ind w:firstLine="0" w:firstLineChars="0"/>
              <w:rPr>
                <w:rFonts w:cs="宋体"/>
                <w:color w:val="000000" w:themeColor="text1"/>
                <w:szCs w:val="24"/>
                <w:highlight w:val="non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供应商最终报价不得高于磋商文件（公告）列明的项目预算、最高限价，否则其响应文件将被否决。</w:t>
            </w:r>
          </w:p>
        </w:tc>
      </w:tr>
      <w:tr w14:paraId="5A12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2CE0D778">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782" w:type="pct"/>
            <w:vAlign w:val="center"/>
          </w:tcPr>
          <w:p w14:paraId="2FFA3E3E">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重要说明</w:t>
            </w:r>
          </w:p>
        </w:tc>
        <w:tc>
          <w:tcPr>
            <w:tcW w:w="3623" w:type="pct"/>
            <w:vAlign w:val="center"/>
          </w:tcPr>
          <w:p w14:paraId="7748AD53">
            <w:pPr>
              <w:ind w:firstLine="0" w:firstLineChars="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（1）成交人应在规定期限内提交履约保证金并与业主单位签订合同，若成交人未能在规定期限内提交履约保证金或签订合同，业主单位有权取消成交人成交资格；</w:t>
            </w:r>
          </w:p>
          <w:p w14:paraId="6758B44C">
            <w:pPr>
              <w:ind w:firstLine="0" w:firstLineChars="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（2）合同签订后，成交人存在规定时间内不组织人员进场开工，不履行合同义务等情况，业主单位有权解除合同，并追究违约责任；</w:t>
            </w:r>
          </w:p>
          <w:p w14:paraId="360D3528">
            <w:pPr>
              <w:ind w:firstLine="0" w:firstLineChars="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（3）成交人在成交项目发生投诉、信访举报案件、履约存在争议时，拒绝协助配合有关部门调查案件的，业主单位可以取消其成交资格或解除合同，并追究其违约责任。</w:t>
            </w:r>
          </w:p>
          <w:p w14:paraId="6707987D">
            <w:pPr>
              <w:pStyle w:val="2"/>
              <w:spacing w:before="0" w:after="0" w:line="360" w:lineRule="auto"/>
              <w:ind w:firstLine="0" w:firstLineChars="0"/>
              <w:rPr>
                <w:rFonts w:cs="宋体"/>
                <w:b w:val="0"/>
                <w:bCs w:val="0"/>
                <w:color w:val="000000" w:themeColor="text1"/>
                <w:sz w:val="24"/>
                <w:szCs w:val="24"/>
                <w:highlight w:val="none"/>
                <w14:textFill>
                  <w14:solidFill>
                    <w14:schemeClr w14:val="tx1"/>
                  </w14:solidFill>
                </w14:textFill>
              </w:rPr>
            </w:pPr>
            <w:r>
              <w:rPr>
                <w:rFonts w:hint="eastAsia" w:cs="宋体"/>
                <w:b w:val="0"/>
                <w:bCs w:val="0"/>
                <w:color w:val="000000" w:themeColor="text1"/>
                <w:sz w:val="24"/>
                <w:szCs w:val="24"/>
                <w:highlight w:val="none"/>
                <w14:textFill>
                  <w14:solidFill>
                    <w14:schemeClr w14:val="tx1"/>
                  </w14:solidFill>
                </w14:textFill>
              </w:rPr>
              <w:t>（4）供应商参与磋商，应当诚信守法、公平竞争。如有以提供虚假材料（包括但不限于虚假技术参数响应、虚假业绩、虚假证书、虚假检测报告等）、串通参与磋商、隐瞒失信信息等谋取成交的行为，一经发现，业主单位可以取消其成交资格或解除合同，并追究其违约责任。</w:t>
            </w:r>
          </w:p>
        </w:tc>
      </w:tr>
      <w:tr w14:paraId="2641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vAlign w:val="center"/>
          </w:tcPr>
          <w:p w14:paraId="5EEC4836">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782" w:type="pct"/>
            <w:vAlign w:val="center"/>
          </w:tcPr>
          <w:p w14:paraId="40912E6A">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电子交易</w:t>
            </w:r>
          </w:p>
        </w:tc>
        <w:tc>
          <w:tcPr>
            <w:tcW w:w="3623" w:type="pct"/>
            <w:vAlign w:val="center"/>
          </w:tcPr>
          <w:p w14:paraId="3EECBD06">
            <w:pPr>
              <w:keepNext w:val="0"/>
              <w:keepLines w:val="0"/>
              <w:pageBreakBefore w:val="0"/>
              <w:widowControl w:val="0"/>
              <w:kinsoku w:val="0"/>
              <w:wordWrap/>
              <w:overflowPunct/>
              <w:topLinePunct w:val="0"/>
              <w:autoSpaceDE w:val="0"/>
              <w:autoSpaceDN w:val="0"/>
              <w:bidi w:val="0"/>
              <w:adjustRightInd/>
              <w:snapToGrid w:val="0"/>
              <w:ind w:firstLine="0" w:firstLineChars="0"/>
              <w:jc w:val="left"/>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本磋商项目实行全流程电子化交易，除磋商文件另有规定外，电子交易操作要求见附件《全流程电子招标采购具体要求》。</w:t>
            </w:r>
          </w:p>
        </w:tc>
      </w:tr>
      <w:tr w14:paraId="4649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shd w:val="clear" w:color="auto" w:fill="auto"/>
            <w:vAlign w:val="center"/>
          </w:tcPr>
          <w:p w14:paraId="786C3F60">
            <w:pPr>
              <w:pStyle w:val="23"/>
              <w:ind w:firstLine="0" w:firstLineChars="0"/>
              <w:rPr>
                <w:rFonts w:hint="eastAsia"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21</w:t>
            </w:r>
          </w:p>
        </w:tc>
        <w:tc>
          <w:tcPr>
            <w:tcW w:w="782" w:type="pct"/>
            <w:shd w:val="clear" w:color="auto" w:fill="auto"/>
            <w:vAlign w:val="center"/>
          </w:tcPr>
          <w:p w14:paraId="58E0F6E4">
            <w:pPr>
              <w:pStyle w:val="23"/>
              <w:ind w:firstLine="0" w:firstLineChars="0"/>
              <w:rPr>
                <w:rFonts w:hint="eastAsia"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解释权</w:t>
            </w:r>
          </w:p>
        </w:tc>
        <w:tc>
          <w:tcPr>
            <w:tcW w:w="3623" w:type="pct"/>
            <w:shd w:val="clear" w:color="auto" w:fill="auto"/>
            <w:vAlign w:val="center"/>
          </w:tcPr>
          <w:p w14:paraId="2DDCE8AC">
            <w:pPr>
              <w:ind w:firstLine="0" w:firstLineChars="0"/>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（1）构成本磋商文件的各个组成文件应互为解释，互为说明；</w:t>
            </w:r>
          </w:p>
          <w:p w14:paraId="41049CE2">
            <w:pPr>
              <w:ind w:firstLine="0" w:firstLineChars="0"/>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（2）同一组成文件中就同一事项的规定或约定不一致的，以编排顺序在后者为准；</w:t>
            </w:r>
          </w:p>
          <w:p w14:paraId="2FD9EBAA">
            <w:pPr>
              <w:ind w:firstLine="0" w:firstLineChars="0"/>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（3）如有不明确或不一致，构成合同文件组成内容的，以合同文件约定内容为准，且以专用合同条款约定的合同文件优先顺序解释；</w:t>
            </w:r>
          </w:p>
          <w:p w14:paraId="65357E80">
            <w:pPr>
              <w:ind w:firstLine="0" w:firstLineChars="0"/>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（4）除磋商文件中有特别规定外，仅适用于磋商及响应文件提交阶段的规定，按磋商公告、供应商须知前附表、供应商须知正文、评审方法和标准、响应文件格式的先后顺序解释；</w:t>
            </w:r>
          </w:p>
          <w:p w14:paraId="666C5821">
            <w:pPr>
              <w:ind w:firstLine="0" w:firstLineChars="0"/>
              <w:rPr>
                <w:rFonts w:cs="宋体"/>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（5）</w:t>
            </w:r>
            <w:r>
              <w:rPr>
                <w:rFonts w:hint="eastAsia" w:cs="宋体"/>
                <w:color w:val="000000" w:themeColor="text1"/>
                <w:szCs w:val="24"/>
                <w:highlight w:val="none"/>
                <w14:textFill>
                  <w14:solidFill>
                    <w14:schemeClr w14:val="tx1"/>
                  </w14:solidFill>
                </w14:textFill>
              </w:rPr>
              <w:t>有澄清的部分以最终的澄清更正内容为准；</w:t>
            </w:r>
          </w:p>
          <w:p w14:paraId="1CE0A180">
            <w:pPr>
              <w:pStyle w:val="22"/>
              <w:ind w:firstLine="0" w:firstLineChars="0"/>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（6）按本款前述规定仍不能形成结论的，由业主单位负责解释。</w:t>
            </w:r>
          </w:p>
        </w:tc>
      </w:tr>
      <w:tr w14:paraId="3A50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594" w:type="pct"/>
            <w:shd w:val="clear" w:color="auto" w:fill="auto"/>
            <w:vAlign w:val="center"/>
          </w:tcPr>
          <w:p w14:paraId="349C160E">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782" w:type="pct"/>
            <w:shd w:val="clear" w:color="auto" w:fill="auto"/>
            <w:vAlign w:val="center"/>
          </w:tcPr>
          <w:p w14:paraId="7FD97EFE">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其他补充</w:t>
            </w:r>
          </w:p>
          <w:p w14:paraId="1EBA76A0">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说明</w:t>
            </w:r>
          </w:p>
        </w:tc>
        <w:tc>
          <w:tcPr>
            <w:tcW w:w="3623" w:type="pct"/>
            <w:shd w:val="clear" w:color="auto" w:fill="auto"/>
            <w:vAlign w:val="center"/>
          </w:tcPr>
          <w:p w14:paraId="6F6D1707">
            <w:pPr>
              <w:pStyle w:val="22"/>
              <w:ind w:firstLine="0" w:firstLineChars="0"/>
              <w:rPr>
                <w:rFonts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供应商不得与</w:t>
            </w:r>
            <w:r>
              <w:rPr>
                <w:rFonts w:hint="eastAsia"/>
                <w:color w:val="000000" w:themeColor="text1"/>
                <w:highlight w:val="none"/>
                <w:lang w:val="zh-CN"/>
                <w14:textFill>
                  <w14:solidFill>
                    <w14:schemeClr w14:val="tx1"/>
                  </w14:solidFill>
                </w14:textFill>
              </w:rPr>
              <w:t>本</w:t>
            </w:r>
            <w:r>
              <w:rPr>
                <w:rFonts w:hint="eastAsia"/>
                <w:color w:val="000000" w:themeColor="text1"/>
                <w:highlight w:val="none"/>
                <w14:textFill>
                  <w14:solidFill>
                    <w14:schemeClr w14:val="tx1"/>
                  </w14:solidFill>
                </w14:textFill>
              </w:rPr>
              <w:t>包</w:t>
            </w:r>
            <w:r>
              <w:rPr>
                <w:rFonts w:hint="eastAsia"/>
                <w:color w:val="000000" w:themeColor="text1"/>
                <w:highlight w:val="none"/>
                <w:lang w:val="zh-CN"/>
                <w14:textFill>
                  <w14:solidFill>
                    <w14:schemeClr w14:val="tx1"/>
                  </w14:solidFill>
                </w14:textFill>
              </w:rPr>
              <w:t>的其他供应商存在</w:t>
            </w:r>
            <w:r>
              <w:rPr>
                <w:rFonts w:hint="eastAsia"/>
                <w:color w:val="000000" w:themeColor="text1"/>
                <w:highlight w:val="none"/>
                <w14:textFill>
                  <w14:solidFill>
                    <w14:schemeClr w14:val="tx1"/>
                  </w14:solidFill>
                </w14:textFill>
              </w:rPr>
              <w:t>单位负责人为同一人或者存在直接控股、管理关系的情形</w:t>
            </w:r>
            <w:r>
              <w:rPr>
                <w:rFonts w:hint="eastAsia"/>
                <w:color w:val="000000" w:themeColor="text1"/>
                <w:highlight w:val="none"/>
                <w:lang w:val="zh-CN"/>
                <w14:textFill>
                  <w14:solidFill>
                    <w14:schemeClr w14:val="tx1"/>
                  </w14:solidFill>
                </w14:textFill>
              </w:rPr>
              <w:t>。</w:t>
            </w:r>
          </w:p>
        </w:tc>
      </w:tr>
      <w:tr w14:paraId="2160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shd w:val="clear" w:color="auto" w:fill="auto"/>
            <w:vAlign w:val="center"/>
          </w:tcPr>
          <w:p w14:paraId="2C3FC2D5">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23</w:t>
            </w:r>
          </w:p>
        </w:tc>
        <w:tc>
          <w:tcPr>
            <w:tcW w:w="782" w:type="pct"/>
            <w:shd w:val="clear" w:color="auto" w:fill="auto"/>
            <w:vAlign w:val="center"/>
          </w:tcPr>
          <w:p w14:paraId="3B3C8EED">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同义词语</w:t>
            </w:r>
          </w:p>
        </w:tc>
        <w:tc>
          <w:tcPr>
            <w:tcW w:w="3623" w:type="pct"/>
            <w:shd w:val="clear" w:color="auto" w:fill="auto"/>
            <w:vAlign w:val="center"/>
          </w:tcPr>
          <w:p w14:paraId="67FFC72C">
            <w:pPr>
              <w:pStyle w:val="22"/>
              <w:ind w:firstLine="0" w:firstLineChars="0"/>
              <w:rPr>
                <w:rFonts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构成磋商文件组成部分的“供应商须知”、“评审方法和标准”、“响应文件格式”等章节中的“供应商”，等同于磋商阶段的“供应商”。</w:t>
            </w:r>
          </w:p>
        </w:tc>
      </w:tr>
      <w:tr w14:paraId="3614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4" w:type="pct"/>
            <w:shd w:val="clear" w:color="auto" w:fill="auto"/>
            <w:vAlign w:val="center"/>
          </w:tcPr>
          <w:p w14:paraId="6BC1F183">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24</w:t>
            </w:r>
          </w:p>
        </w:tc>
        <w:tc>
          <w:tcPr>
            <w:tcW w:w="782" w:type="pct"/>
            <w:shd w:val="clear" w:color="auto" w:fill="auto"/>
            <w:vAlign w:val="center"/>
          </w:tcPr>
          <w:p w14:paraId="5559ED27">
            <w:pPr>
              <w:pStyle w:val="2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p>
          <w:p w14:paraId="10ABE6C2">
            <w:pPr>
              <w:pStyle w:val="23"/>
              <w:ind w:firstLine="0" w:firstLineChars="0"/>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有效期</w:t>
            </w:r>
          </w:p>
        </w:tc>
        <w:tc>
          <w:tcPr>
            <w:tcW w:w="3623" w:type="pct"/>
            <w:shd w:val="clear" w:color="auto" w:fill="auto"/>
            <w:vAlign w:val="center"/>
          </w:tcPr>
          <w:p w14:paraId="643EA485">
            <w:pPr>
              <w:pStyle w:val="22"/>
              <w:ind w:firstLine="0" w:firstLineChars="0"/>
              <w:rPr>
                <w:rFonts w:ascii="宋体" w:hAnsi="宋体" w:eastAsia="宋体" w:cs="宋体"/>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120天</w:t>
            </w:r>
          </w:p>
        </w:tc>
      </w:tr>
    </w:tbl>
    <w:p w14:paraId="061DE9A7">
      <w:pPr>
        <w:pStyle w:val="20"/>
        <w:ind w:left="360" w:firstLine="480"/>
        <w:rPr>
          <w:highlight w:val="none"/>
        </w:rPr>
      </w:pPr>
      <w:bookmarkStart w:id="4" w:name="_Toc14925"/>
      <w:bookmarkStart w:id="5" w:name="_Toc4558"/>
      <w:r>
        <w:rPr>
          <w:rFonts w:hint="eastAsia"/>
          <w:highlight w:val="none"/>
        </w:rPr>
        <w:br w:type="page"/>
      </w:r>
    </w:p>
    <w:p w14:paraId="2806AC15">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附件1 代理服务费</w:t>
      </w:r>
      <w:bookmarkEnd w:id="4"/>
      <w:r>
        <w:rPr>
          <w:rFonts w:hint="eastAsia" w:asciiTheme="minorEastAsia" w:hAnsiTheme="minorEastAsia" w:eastAsiaTheme="minorEastAsia"/>
          <w:b/>
          <w:highlight w:val="none"/>
        </w:rPr>
        <w:t xml:space="preserve">收费标准 </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B0D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6266D5E5">
            <w:pPr>
              <w:spacing w:line="460" w:lineRule="exact"/>
              <w:ind w:firstLine="480"/>
              <w:rPr>
                <w:rFonts w:asciiTheme="minorEastAsia" w:hAnsiTheme="minorEastAsia" w:eastAsiaTheme="minorEastAsia" w:cstheme="minorEastAsia"/>
                <w:color w:val="000000"/>
                <w:szCs w:val="24"/>
                <w:highlight w:val="none"/>
              </w:rPr>
            </w:pPr>
          </w:p>
          <w:tbl>
            <w:tblPr>
              <w:tblStyle w:val="15"/>
              <w:tblpPr w:leftFromText="180" w:rightFromText="180" w:vertAnchor="text" w:horzAnchor="page" w:tblpX="207" w:tblpY="62"/>
              <w:tblOverlap w:val="never"/>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0"/>
              <w:gridCol w:w="2025"/>
              <w:gridCol w:w="1888"/>
              <w:gridCol w:w="2287"/>
            </w:tblGrid>
            <w:tr w14:paraId="6D56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390FDA70">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成交金额（万元）</w:t>
                  </w:r>
                </w:p>
              </w:tc>
              <w:tc>
                <w:tcPr>
                  <w:tcW w:w="2025" w:type="dxa"/>
                  <w:vAlign w:val="center"/>
                </w:tcPr>
                <w:p w14:paraId="08917416">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货物</w:t>
                  </w:r>
                </w:p>
              </w:tc>
              <w:tc>
                <w:tcPr>
                  <w:tcW w:w="1888" w:type="dxa"/>
                  <w:vAlign w:val="center"/>
                </w:tcPr>
                <w:p w14:paraId="5AE34A4A">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服务</w:t>
                  </w:r>
                </w:p>
              </w:tc>
              <w:tc>
                <w:tcPr>
                  <w:tcW w:w="2287" w:type="dxa"/>
                  <w:vAlign w:val="center"/>
                </w:tcPr>
                <w:p w14:paraId="33824F2E">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工程施工/总承包</w:t>
                  </w:r>
                </w:p>
              </w:tc>
            </w:tr>
            <w:tr w14:paraId="6A93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35862887">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100以下</w:t>
                  </w:r>
                </w:p>
              </w:tc>
              <w:tc>
                <w:tcPr>
                  <w:tcW w:w="2025" w:type="dxa"/>
                  <w:vAlign w:val="center"/>
                </w:tcPr>
                <w:p w14:paraId="54F07626">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1.5%</w:t>
                  </w:r>
                </w:p>
              </w:tc>
              <w:tc>
                <w:tcPr>
                  <w:tcW w:w="1888" w:type="dxa"/>
                  <w:vAlign w:val="center"/>
                </w:tcPr>
                <w:p w14:paraId="16FE803F">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1.5%</w:t>
                  </w:r>
                </w:p>
              </w:tc>
              <w:tc>
                <w:tcPr>
                  <w:tcW w:w="2287" w:type="dxa"/>
                  <w:vAlign w:val="center"/>
                </w:tcPr>
                <w:p w14:paraId="75F5F519">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w:t>
                  </w:r>
                </w:p>
              </w:tc>
            </w:tr>
            <w:tr w14:paraId="4B86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2A581D20">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100-500</w:t>
                  </w:r>
                </w:p>
              </w:tc>
              <w:tc>
                <w:tcPr>
                  <w:tcW w:w="2025" w:type="dxa"/>
                  <w:vAlign w:val="center"/>
                </w:tcPr>
                <w:p w14:paraId="69651E28">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1.1%</w:t>
                  </w:r>
                </w:p>
              </w:tc>
              <w:tc>
                <w:tcPr>
                  <w:tcW w:w="1888" w:type="dxa"/>
                  <w:vAlign w:val="center"/>
                </w:tcPr>
                <w:p w14:paraId="0BE6CFF9">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0.8%</w:t>
                  </w:r>
                </w:p>
              </w:tc>
              <w:tc>
                <w:tcPr>
                  <w:tcW w:w="2287" w:type="dxa"/>
                  <w:vAlign w:val="center"/>
                </w:tcPr>
                <w:p w14:paraId="74E11943">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0.7%</w:t>
                  </w:r>
                </w:p>
              </w:tc>
            </w:tr>
            <w:tr w14:paraId="3E0E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2510CA3C">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500-1000</w:t>
                  </w:r>
                </w:p>
              </w:tc>
              <w:tc>
                <w:tcPr>
                  <w:tcW w:w="2025" w:type="dxa"/>
                  <w:vAlign w:val="center"/>
                </w:tcPr>
                <w:p w14:paraId="572E1454">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0.8%</w:t>
                  </w:r>
                </w:p>
              </w:tc>
              <w:tc>
                <w:tcPr>
                  <w:tcW w:w="1888" w:type="dxa"/>
                  <w:vAlign w:val="center"/>
                </w:tcPr>
                <w:p w14:paraId="44356DAE">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0.45%</w:t>
                  </w:r>
                </w:p>
              </w:tc>
              <w:tc>
                <w:tcPr>
                  <w:tcW w:w="2287" w:type="dxa"/>
                  <w:vAlign w:val="center"/>
                </w:tcPr>
                <w:p w14:paraId="17CEF98E">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0.55%</w:t>
                  </w:r>
                </w:p>
              </w:tc>
            </w:tr>
            <w:tr w14:paraId="4BEA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7EE4D772">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1000-5000</w:t>
                  </w:r>
                </w:p>
              </w:tc>
              <w:tc>
                <w:tcPr>
                  <w:tcW w:w="2025" w:type="dxa"/>
                  <w:vAlign w:val="center"/>
                </w:tcPr>
                <w:p w14:paraId="661A3023">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0.5%</w:t>
                  </w:r>
                </w:p>
              </w:tc>
              <w:tc>
                <w:tcPr>
                  <w:tcW w:w="1888" w:type="dxa"/>
                  <w:vAlign w:val="center"/>
                </w:tcPr>
                <w:p w14:paraId="4BDFD4DC">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0.25%</w:t>
                  </w:r>
                </w:p>
              </w:tc>
              <w:tc>
                <w:tcPr>
                  <w:tcW w:w="2287" w:type="dxa"/>
                  <w:vAlign w:val="center"/>
                </w:tcPr>
                <w:p w14:paraId="53C4E7DD">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0.35%</w:t>
                  </w:r>
                </w:p>
              </w:tc>
            </w:tr>
            <w:tr w14:paraId="1DD4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3AF687AA">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5000-10000</w:t>
                  </w:r>
                </w:p>
              </w:tc>
              <w:tc>
                <w:tcPr>
                  <w:tcW w:w="2025" w:type="dxa"/>
                  <w:vAlign w:val="center"/>
                </w:tcPr>
                <w:p w14:paraId="0750FD66">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0.25%</w:t>
                  </w:r>
                </w:p>
              </w:tc>
              <w:tc>
                <w:tcPr>
                  <w:tcW w:w="1888" w:type="dxa"/>
                  <w:vAlign w:val="center"/>
                </w:tcPr>
                <w:p w14:paraId="7A811E78">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0.1%</w:t>
                  </w:r>
                </w:p>
              </w:tc>
              <w:tc>
                <w:tcPr>
                  <w:tcW w:w="2287" w:type="dxa"/>
                  <w:vAlign w:val="center"/>
                </w:tcPr>
                <w:p w14:paraId="00E3F454">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w:t>
                  </w:r>
                </w:p>
              </w:tc>
            </w:tr>
            <w:tr w14:paraId="2CF9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76628AB9">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10000-100000</w:t>
                  </w:r>
                </w:p>
              </w:tc>
              <w:tc>
                <w:tcPr>
                  <w:tcW w:w="2025" w:type="dxa"/>
                  <w:vAlign w:val="center"/>
                </w:tcPr>
                <w:p w14:paraId="45AA9697">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c>
                <w:tcPr>
                  <w:tcW w:w="1888" w:type="dxa"/>
                  <w:vAlign w:val="center"/>
                </w:tcPr>
                <w:p w14:paraId="07D0EB61">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c>
                <w:tcPr>
                  <w:tcW w:w="2287" w:type="dxa"/>
                  <w:vAlign w:val="center"/>
                </w:tcPr>
                <w:p w14:paraId="1FBA26B4">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r>
            <w:tr w14:paraId="7664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7A0069F4">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100000以上</w:t>
                  </w:r>
                </w:p>
              </w:tc>
              <w:tc>
                <w:tcPr>
                  <w:tcW w:w="2025" w:type="dxa"/>
                  <w:vAlign w:val="center"/>
                </w:tcPr>
                <w:p w14:paraId="2426A96D">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c>
                <w:tcPr>
                  <w:tcW w:w="1888" w:type="dxa"/>
                  <w:vAlign w:val="center"/>
                </w:tcPr>
                <w:p w14:paraId="7AD31987">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c>
                <w:tcPr>
                  <w:tcW w:w="2287" w:type="dxa"/>
                  <w:vAlign w:val="center"/>
                </w:tcPr>
                <w:p w14:paraId="54924D93">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r>
          </w:tbl>
          <w:p w14:paraId="2A81BF0A">
            <w:pPr>
              <w:spacing w:line="460" w:lineRule="exact"/>
              <w:ind w:firstLine="480"/>
              <w:rPr>
                <w:rFonts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szCs w:val="24"/>
                <w:highlight w:val="none"/>
              </w:rPr>
              <w:t>注：代理服务收费按差额定率累进法计算，成交金额含本数。例如：某服务项目代理业务成交金额为6000万元，</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具体收取金额为上表（代理服务费收费标准）相应项目类别收费标准*100%，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计算代理服务费收取金额如下：</w:t>
            </w:r>
          </w:p>
          <w:p w14:paraId="504D94C9">
            <w:pPr>
              <w:spacing w:line="460" w:lineRule="exact"/>
              <w:ind w:firstLine="480"/>
              <w:rPr>
                <w:rFonts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100万元×1.5％＝1.5万元</w:t>
            </w:r>
          </w:p>
          <w:p w14:paraId="17C568B7">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（500－100）万元×0.8％＝3.2万元</w:t>
            </w:r>
          </w:p>
          <w:p w14:paraId="3880FE31">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（1000－500）万元×0.45％＝2.25万元</w:t>
            </w:r>
          </w:p>
          <w:p w14:paraId="006326A7">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（5000－1000）万元×0.25％＝10万元</w:t>
            </w:r>
          </w:p>
          <w:p w14:paraId="15CE3D86">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（6000－5000）万元×0.1％＝1万元</w:t>
            </w:r>
          </w:p>
          <w:p w14:paraId="4CAB8B6B">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合计收费＝1.5＋3.2＋2.25＋10＋1＝17.95(万元)</w:t>
            </w:r>
          </w:p>
          <w:p w14:paraId="6C5C3DE8">
            <w:pPr>
              <w:pStyle w:val="25"/>
              <w:adjustRightInd w:val="0"/>
              <w:snapToGrid w:val="0"/>
              <w:rPr>
                <w:rFonts w:asciiTheme="minorEastAsia" w:hAnsiTheme="minorEastAsia" w:eastAsiaTheme="minorEastAsia" w:cstheme="minorEastAsia"/>
                <w:sz w:val="24"/>
                <w:szCs w:val="24"/>
                <w:highlight w:val="none"/>
              </w:rPr>
            </w:pPr>
          </w:p>
        </w:tc>
      </w:tr>
    </w:tbl>
    <w:p w14:paraId="5E36F6FA">
      <w:pPr>
        <w:ind w:firstLine="482"/>
        <w:jc w:val="center"/>
        <w:rPr>
          <w:rFonts w:asciiTheme="minorEastAsia" w:hAnsiTheme="minorEastAsia" w:eastAsiaTheme="minorEastAsia"/>
          <w:b/>
          <w:highlight w:val="none"/>
        </w:rPr>
      </w:pPr>
      <w:r>
        <w:rPr>
          <w:rFonts w:hint="eastAsia"/>
          <w:b/>
          <w:szCs w:val="24"/>
          <w:highlight w:val="none"/>
        </w:rPr>
        <w:br w:type="page"/>
      </w:r>
      <w:bookmarkEnd w:id="5"/>
      <w:r>
        <w:rPr>
          <w:rFonts w:hint="eastAsia" w:asciiTheme="minorEastAsia" w:hAnsiTheme="minorEastAsia" w:eastAsiaTheme="minorEastAsia"/>
          <w:b/>
          <w:highlight w:val="none"/>
        </w:rPr>
        <w:t>供应商</w:t>
      </w:r>
      <w:r>
        <w:rPr>
          <w:rFonts w:asciiTheme="minorEastAsia" w:hAnsiTheme="minorEastAsia" w:eastAsiaTheme="minorEastAsia"/>
          <w:b/>
          <w:highlight w:val="none"/>
        </w:rPr>
        <w:t>须知</w:t>
      </w:r>
      <w:r>
        <w:rPr>
          <w:rFonts w:hint="eastAsia" w:asciiTheme="minorEastAsia" w:hAnsiTheme="minorEastAsia" w:eastAsiaTheme="minorEastAsia"/>
          <w:b/>
          <w:highlight w:val="none"/>
        </w:rPr>
        <w:t>正文</w:t>
      </w:r>
    </w:p>
    <w:p w14:paraId="410BF586">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1.有关定义</w:t>
      </w:r>
    </w:p>
    <w:p w14:paraId="38D1AA6E">
      <w:pPr>
        <w:ind w:firstLine="480"/>
        <w:outlineLvl w:val="3"/>
        <w:rPr>
          <w:rFonts w:asciiTheme="minorEastAsia" w:hAnsiTheme="minorEastAsia" w:eastAsiaTheme="minorEastAsia" w:cstheme="minorEastAsia"/>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2"/>
          <w:highlight w:val="none"/>
          <w14:textFill>
            <w14:solidFill>
              <w14:schemeClr w14:val="tx1"/>
            </w14:solidFill>
          </w14:textFill>
        </w:rPr>
        <w:t>本项目的交易方式为磋商，业主单位为项目实施建设的发包人（甲方），供应商为参与磋商的主体，成交人为参与磋商，并获得项目实施的承包人（乙方）。</w:t>
      </w:r>
    </w:p>
    <w:p w14:paraId="1FE190F1">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2.资金来源</w:t>
      </w:r>
    </w:p>
    <w:p w14:paraId="22B7EB3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本项目的业主单位已获得足以支付本次磋商后所签订的合同项下的资金。</w:t>
      </w:r>
    </w:p>
    <w:p w14:paraId="061ADD22">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3.磋商费用</w:t>
      </w:r>
    </w:p>
    <w:p w14:paraId="64DD3B1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不论磋商的结果如何，供应商应承担其所有与准备和参加磋商有关的费用。</w:t>
      </w:r>
    </w:p>
    <w:p w14:paraId="72B0437D">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4.磋商文件的澄清与修改</w:t>
      </w:r>
    </w:p>
    <w:p w14:paraId="72745F8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4.1供应商如对磋商文件内容有疑问，按供应商须知前附表规定提出。</w:t>
      </w:r>
    </w:p>
    <w:p w14:paraId="72C679C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4.2业主单位可主动或在解答供应商提出的问题时对磋商文件进行澄清或者修改。代理机构将在优质采云采购平台</w:t>
      </w:r>
      <w:r>
        <w:rPr>
          <w:rFonts w:hint="eastAsia" w:cs="宋体"/>
          <w:color w:val="000000" w:themeColor="text1"/>
          <w:szCs w:val="18"/>
          <w:highlight w:val="none"/>
          <w14:textFill>
            <w14:solidFill>
              <w14:schemeClr w14:val="tx1"/>
            </w14:solidFill>
          </w14:textFill>
        </w:rPr>
        <w:t>（http://www.youzhicai.com/）</w:t>
      </w:r>
      <w:r>
        <w:rPr>
          <w:rFonts w:hint="eastAsia" w:asciiTheme="minorEastAsia" w:hAnsiTheme="minorEastAsia" w:eastAsiaTheme="minorEastAsia" w:cstheme="minorEastAsia"/>
          <w:color w:val="000000" w:themeColor="text1"/>
          <w:highlight w:val="none"/>
          <w14:textFill>
            <w14:solidFill>
              <w14:schemeClr w14:val="tx1"/>
            </w14:solidFill>
          </w14:textFill>
        </w:rPr>
        <w:t>澄清或修改磋商文件，供应商应主动上网查询。代理机构和业主单位不承担供应商未及时关注相关信息引发的相关责任。</w:t>
      </w:r>
    </w:p>
    <w:p w14:paraId="5CC57671">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4.3任何人或任何组织向供应商提供的任何书面或口头资料，未经代理机构在网上发布或书面通知，均作无效处理，不得作为磋商文件的组成部分。代理机构对供应商由此而做出的推论、理解和结论概不负责。</w:t>
      </w:r>
    </w:p>
    <w:p w14:paraId="4A92B103">
      <w:pPr>
        <w:ind w:firstLine="480"/>
        <w:rPr>
          <w:rFonts w:asciiTheme="minorEastAsia" w:hAnsiTheme="minorEastAsia" w:eastAsiaTheme="minorEastAsia" w:cstheme="minorEastAsia"/>
          <w:i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4.4对于没有提出疑问又参与了本项目磋商的供应商将被视为完全认同本磋商文件（含澄清、修改等内容）</w:t>
      </w:r>
      <w:r>
        <w:rPr>
          <w:rFonts w:hint="eastAsia" w:asciiTheme="minorEastAsia" w:hAnsiTheme="minorEastAsia" w:eastAsiaTheme="minorEastAsia" w:cstheme="minorEastAsia"/>
          <w:iCs/>
          <w:color w:val="000000" w:themeColor="text1"/>
          <w:highlight w:val="none"/>
          <w14:textFill>
            <w14:solidFill>
              <w14:schemeClr w14:val="tx1"/>
            </w14:solidFill>
          </w14:textFill>
        </w:rPr>
        <w:t>。</w:t>
      </w:r>
    </w:p>
    <w:p w14:paraId="136FB285">
      <w:pPr>
        <w:numPr>
          <w:ilvl w:val="0"/>
          <w:numId w:val="2"/>
        </w:num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磋商范围及响应文件中标准和计量单位的使用</w:t>
      </w:r>
    </w:p>
    <w:p w14:paraId="5DAC8352">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5.1项目有分包的，供应商可参与其中某一个或多个分包的磋商，成交包数详见供应商须知前附表中规定。</w:t>
      </w:r>
    </w:p>
    <w:p w14:paraId="7EF5C14D">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5.2无论磋商文件中是否要求，供应商所承担项目及伴随的货物和服务均应符合国家强制性标准。</w:t>
      </w:r>
    </w:p>
    <w:p w14:paraId="39CB33C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5.3供应商与代理机构之间与磋商有关的所有往来通知、函件和响应文件均用中文表述。供应商随响应文件提供的证明文件和资料可以为其他语言，但必须附中文译文。翻译的中文资料与外文资料如果出现差异时，以中文为准。</w:t>
      </w:r>
    </w:p>
    <w:p w14:paraId="324273DD">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5.4除磋商文件中有特殊要求外，响应文件中所使用的计量单位，应采用中华人民共和国法定计量单位。</w:t>
      </w:r>
    </w:p>
    <w:p w14:paraId="4B7C4C06">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6.响应文件构成</w:t>
      </w:r>
    </w:p>
    <w:p w14:paraId="6825756A">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6.1供应商应完整地按磋商文件提供的响应文件格式及磋商文件评审要求编写响应文件，具体内容详见第六章响应文件格式的相关内容。</w:t>
      </w:r>
    </w:p>
    <w:p w14:paraId="3F32F95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6.2上述文件应按照磋商文件规定的格式填写、签署和盖章。</w:t>
      </w:r>
    </w:p>
    <w:p w14:paraId="05586B6B">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7.报价</w:t>
      </w:r>
    </w:p>
    <w:p w14:paraId="277C8E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的报价应当包括满足本次</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全部</w:t>
      </w:r>
      <w:r>
        <w:rPr>
          <w:rFonts w:hint="eastAsia"/>
          <w:color w:val="000000" w:themeColor="text1"/>
          <w:highlight w:val="none"/>
          <w14:textFill>
            <w14:solidFill>
              <w14:schemeClr w14:val="tx1"/>
            </w14:solidFill>
          </w14:textFill>
        </w:rPr>
        <w:t>内容。所有报价均应以人民币报价，</w:t>
      </w:r>
      <w:r>
        <w:rPr>
          <w:rFonts w:hint="eastAsia"/>
          <w:color w:val="000000" w:themeColor="text1"/>
          <w:szCs w:val="18"/>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的磋商报价应遵守《中华人民共和国价格法》。</w:t>
      </w:r>
    </w:p>
    <w:p w14:paraId="16E77C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szCs w:val="18"/>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应在分项报价表上标明磋商工程的单价（如适用）和总价，未标明的视同包含在磋商报价中。</w:t>
      </w:r>
    </w:p>
    <w:p w14:paraId="3F7B32F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报价不得高于磋商文件（公告）列明的项目预算</w:t>
      </w:r>
      <w:r>
        <w:rPr>
          <w:rFonts w:hint="eastAsia"/>
          <w:color w:val="000000" w:themeColor="text1"/>
          <w:highlight w:val="none"/>
          <w14:textFill>
            <w14:solidFill>
              <w14:schemeClr w14:val="tx1"/>
            </w14:solidFill>
          </w14:textFill>
        </w:rPr>
        <w:t>、最高限价（控制价）</w:t>
      </w:r>
      <w:r>
        <w:rPr>
          <w:color w:val="000000" w:themeColor="text1"/>
          <w:highlight w:val="none"/>
          <w14:textFill>
            <w14:solidFill>
              <w14:schemeClr w14:val="tx1"/>
            </w14:solidFill>
          </w14:textFill>
        </w:rPr>
        <w:t>，否则其响应文件将被认定为</w:t>
      </w:r>
      <w:r>
        <w:rPr>
          <w:b/>
          <w:color w:val="000000" w:themeColor="text1"/>
          <w:highlight w:val="none"/>
          <w14:textFill>
            <w14:solidFill>
              <w14:schemeClr w14:val="tx1"/>
            </w14:solidFill>
          </w14:textFill>
        </w:rPr>
        <w:t>响应无效</w:t>
      </w:r>
      <w:r>
        <w:rPr>
          <w:color w:val="000000" w:themeColor="text1"/>
          <w:highlight w:val="none"/>
          <w14:textFill>
            <w14:solidFill>
              <w14:schemeClr w14:val="tx1"/>
            </w14:solidFill>
          </w14:textFill>
        </w:rPr>
        <w:t>。</w:t>
      </w:r>
    </w:p>
    <w:p w14:paraId="4E247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4报价</w:t>
      </w:r>
      <w:r>
        <w:rPr>
          <w:color w:val="000000" w:themeColor="text1"/>
          <w:highlight w:val="none"/>
          <w14:textFill>
            <w14:solidFill>
              <w14:schemeClr w14:val="tx1"/>
            </w14:solidFill>
          </w14:textFill>
        </w:rPr>
        <w:t>在合同履行过程中是固定不变的，不得以任何理由予以变更。任何包含价格调整要求的</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，其</w:t>
      </w:r>
      <w:r>
        <w:rPr>
          <w:rFonts w:hint="eastAsia"/>
          <w:color w:val="000000" w:themeColor="text1"/>
          <w:highlight w:val="none"/>
          <w14:textFill>
            <w14:solidFill>
              <w14:schemeClr w14:val="tx1"/>
            </w14:solidFill>
          </w14:textFill>
        </w:rPr>
        <w:t>响应文件将被认定为</w:t>
      </w:r>
      <w:r>
        <w:rPr>
          <w:rFonts w:hint="eastAsia"/>
          <w:b/>
          <w:color w:val="000000" w:themeColor="text1"/>
          <w:highlight w:val="none"/>
          <w14:textFill>
            <w14:solidFill>
              <w14:schemeClr w14:val="tx1"/>
            </w14:solidFill>
          </w14:textFill>
        </w:rPr>
        <w:t>响应无效</w:t>
      </w:r>
      <w:r>
        <w:rPr>
          <w:color w:val="000000" w:themeColor="text1"/>
          <w:highlight w:val="none"/>
          <w14:textFill>
            <w14:solidFill>
              <w14:schemeClr w14:val="tx1"/>
            </w14:solidFill>
          </w14:textFill>
        </w:rPr>
        <w:t>。</w:t>
      </w:r>
    </w:p>
    <w:p w14:paraId="7A265E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rFonts w:hint="eastAsia"/>
          <w:color w:val="000000" w:themeColor="text1"/>
          <w:szCs w:val="18"/>
          <w:highlight w:val="none"/>
          <w14:textFill>
            <w14:solidFill>
              <w14:schemeClr w14:val="tx1"/>
            </w14:solidFill>
          </w14:textFill>
        </w:rPr>
        <w:t>业主单位</w:t>
      </w:r>
      <w:r>
        <w:rPr>
          <w:color w:val="000000" w:themeColor="text1"/>
          <w:highlight w:val="none"/>
          <w14:textFill>
            <w14:solidFill>
              <w14:schemeClr w14:val="tx1"/>
            </w14:solidFill>
          </w14:textFill>
        </w:rPr>
        <w:t>不接受具有附加条件的报价。</w:t>
      </w:r>
    </w:p>
    <w:p w14:paraId="03D7C4F5">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8.磋商有效期</w:t>
      </w:r>
    </w:p>
    <w:p w14:paraId="52E908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.1磋商有效期为从响应文件提交截止之日算起的日历天数，磋商有效期详见</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须知前附表。</w:t>
      </w:r>
    </w:p>
    <w:p w14:paraId="318D698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.2在磋商有效期内，</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的磋商保持有效，</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不得要求撤销或修改其响应文件。磋商有效期不满足要求的响应，其响应文件将被认定为</w:t>
      </w:r>
      <w:r>
        <w:rPr>
          <w:b/>
          <w:color w:val="000000" w:themeColor="text1"/>
          <w:highlight w:val="none"/>
          <w14:textFill>
            <w14:solidFill>
              <w14:schemeClr w14:val="tx1"/>
            </w14:solidFill>
          </w14:textFill>
        </w:rPr>
        <w:t>响应无效</w:t>
      </w:r>
      <w:r>
        <w:rPr>
          <w:color w:val="000000" w:themeColor="text1"/>
          <w:highlight w:val="none"/>
          <w14:textFill>
            <w14:solidFill>
              <w14:schemeClr w14:val="tx1"/>
            </w14:solidFill>
          </w14:textFill>
        </w:rPr>
        <w:t>。</w:t>
      </w:r>
    </w:p>
    <w:p w14:paraId="677D27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.3为保证有充分时间签订合同，</w:t>
      </w:r>
      <w:r>
        <w:rPr>
          <w:rFonts w:hint="eastAsia"/>
          <w:color w:val="000000" w:themeColor="text1"/>
          <w:szCs w:val="18"/>
          <w:highlight w:val="none"/>
          <w14:textFill>
            <w14:solidFill>
              <w14:schemeClr w14:val="tx1"/>
            </w14:solidFill>
          </w14:textFill>
        </w:rPr>
        <w:t>业主单位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代理机构</w:t>
      </w:r>
      <w:r>
        <w:rPr>
          <w:color w:val="000000" w:themeColor="text1"/>
          <w:highlight w:val="none"/>
          <w14:textFill>
            <w14:solidFill>
              <w14:schemeClr w14:val="tx1"/>
            </w14:solidFill>
          </w14:textFill>
        </w:rPr>
        <w:t>可根据实际情况，在原磋商有效期截止之前，要求</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延长磋商有效期。接受该要求的</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将不会被要求和允许修正其响应文件。</w:t>
      </w:r>
      <w:r>
        <w:rPr>
          <w:rFonts w:hint="eastAsia"/>
          <w:color w:val="000000" w:themeColor="text1"/>
          <w:szCs w:val="18"/>
          <w:highlight w:val="none"/>
          <w14:textFill>
            <w14:solidFill>
              <w14:schemeClr w14:val="tx1"/>
            </w14:solidFill>
          </w14:textFill>
        </w:rPr>
        <w:t>供应商</w:t>
      </w:r>
      <w:r>
        <w:rPr>
          <w:color w:val="000000" w:themeColor="text1"/>
          <w:highlight w:val="none"/>
          <w14:textFill>
            <w14:solidFill>
              <w14:schemeClr w14:val="tx1"/>
            </w14:solidFill>
          </w14:textFill>
        </w:rPr>
        <w:t>可以拒绝延长磋商有效期的要求，且不承担任何责任。上述要求和答复都应以书面形式提交。</w:t>
      </w:r>
    </w:p>
    <w:p w14:paraId="4F8697C5">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9.响应文件的制作</w:t>
      </w:r>
    </w:p>
    <w:p w14:paraId="79013EBC">
      <w:pPr>
        <w:ind w:firstLine="48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9.1.本项目采用全流程电子化方式，</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必须递交电子响应文件，并对电子响应文件进行电子签章并使用CA锁进行加密，在磋商文件规定的响应截止时间前使用“优质采投标工具客户端”完成上传。</w:t>
      </w:r>
    </w:p>
    <w:p w14:paraId="45B1D0A8">
      <w:pPr>
        <w:ind w:firstLine="48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9.2.全流程电磋商项目</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必须上传CA锁加密的电子响应文件，</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下载磋商文件后，如未在磋商文件规定的响应文件递交截止时间前上传电子响应文件，视为无效；</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在响应文件递交截止时间前，可以对其所递交的电子响应文件进行撤回，修改后重新上传（具体操作详见教程）；</w:t>
      </w:r>
    </w:p>
    <w:p w14:paraId="466D4EEB">
      <w:pPr>
        <w:ind w:firstLine="48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9.3.响应文件递交截止时间以优质采云采购平台（</w:t>
      </w:r>
      <w:r>
        <w:rPr>
          <w:rFonts w:hint="eastAsia" w:cs="宋体"/>
          <w:color w:val="000000" w:themeColor="text1"/>
          <w:szCs w:val="18"/>
          <w:highlight w:val="none"/>
          <w14:textFill>
            <w14:solidFill>
              <w14:schemeClr w14:val="tx1"/>
            </w14:solidFill>
          </w14:textFill>
        </w:rPr>
        <w:t>http://www.youzhicai.com/</w:t>
      </w:r>
      <w:r>
        <w:rPr>
          <w:rFonts w:hint="eastAsia" w:cs="宋体"/>
          <w:color w:val="000000" w:themeColor="text1"/>
          <w:highlight w:val="none"/>
          <w14:textFill>
            <w14:solidFill>
              <w14:schemeClr w14:val="tx1"/>
            </w14:solidFill>
          </w14:textFill>
        </w:rPr>
        <w:t>）系统的时间为准，逾期系统将自动关闭，电子响应文件未完成上传的，视为没有递交响应文件；</w:t>
      </w:r>
    </w:p>
    <w:p w14:paraId="431F474C">
      <w:pPr>
        <w:ind w:firstLine="48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9.4.响应文件可远程解密，</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无需到达磋商现场。磋商文件“</w:t>
      </w:r>
      <w:r>
        <w:rPr>
          <w:rFonts w:hint="eastAsia"/>
          <w:color w:val="000000" w:themeColor="text1"/>
          <w:szCs w:val="18"/>
          <w:highlight w:val="none"/>
          <w14:textFill>
            <w14:solidFill>
              <w14:schemeClr w14:val="tx1"/>
            </w14:solidFill>
          </w14:textFill>
        </w:rPr>
        <w:t>供应商</w:t>
      </w:r>
      <w:r>
        <w:rPr>
          <w:rFonts w:hint="eastAsia" w:cs="宋体"/>
          <w:color w:val="000000" w:themeColor="text1"/>
          <w:highlight w:val="none"/>
          <w14:textFill>
            <w14:solidFill>
              <w14:schemeClr w14:val="tx1"/>
            </w14:solidFill>
          </w14:textFill>
        </w:rPr>
        <w:t>须知”中另有规定的，从其规定。</w:t>
      </w:r>
    </w:p>
    <w:p w14:paraId="4B856917">
      <w:pPr>
        <w:ind w:firstLine="480"/>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9.5.</w:t>
      </w:r>
      <w:r>
        <w:rPr>
          <w:rFonts w:hint="eastAsia"/>
          <w:color w:val="000000" w:themeColor="text1"/>
          <w:szCs w:val="18"/>
          <w:highlight w:val="none"/>
          <w14:textFill>
            <w14:solidFill>
              <w14:schemeClr w14:val="tx1"/>
            </w14:solidFill>
          </w14:textFill>
        </w:rPr>
        <w:t xml:space="preserve"> 供应商</w:t>
      </w:r>
      <w:r>
        <w:rPr>
          <w:rFonts w:hint="eastAsia" w:cs="宋体"/>
          <w:color w:val="000000" w:themeColor="text1"/>
          <w:highlight w:val="none"/>
          <w14:textFill>
            <w14:solidFill>
              <w14:schemeClr w14:val="tx1"/>
            </w14:solidFill>
          </w14:textFill>
        </w:rPr>
        <w:t>在制作、上传电子响应文件过程中，若存在技术操作问题，请及时联系优质采云采购平台客服人员，客服电话：400-0099-555，0551-62220164，0551-62220012。</w:t>
      </w:r>
    </w:p>
    <w:p w14:paraId="6D2094CF">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10.响应文件提交截止时间</w:t>
      </w:r>
    </w:p>
    <w:p w14:paraId="5FC4305C">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10.1供应商应在供应商须知前附表中规定的响应文件提交截止时间前，在网上提交加密电子响应文件。</w:t>
      </w:r>
    </w:p>
    <w:p w14:paraId="1C9F4DFC">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10.2供应商在磋商文件规定的响应文件提交截止时间前上传了网上加密电子响应文件，但未在规定时间内进行解密的，响应无效。</w:t>
      </w:r>
    </w:p>
    <w:p w14:paraId="3BBF12E7">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10.3业主单位和代理机构延迟响应文件提交截止时间的，在此情况下，业主单位、代理机构和供应商受响应文件提交截止时间制约的所有权利和义务均应延长至新的截止时间。</w:t>
      </w:r>
    </w:p>
    <w:p w14:paraId="4630AEA6">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11.响应文件的提交、修改与撤回</w:t>
      </w:r>
    </w:p>
    <w:p w14:paraId="54CB692D">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11.1供应商应当在第一章“磋商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公告</w:t>
      </w:r>
      <w:r>
        <w:rPr>
          <w:rFonts w:hint="eastAsia" w:asciiTheme="minorEastAsia" w:hAnsiTheme="minorEastAsia" w:eastAsiaTheme="minorEastAsia" w:cstheme="minorEastAsia"/>
          <w:color w:val="000000" w:themeColor="text1"/>
          <w:highlight w:val="none"/>
          <w14:textFill>
            <w14:solidFill>
              <w14:schemeClr w14:val="tx1"/>
            </w14:solidFill>
          </w14:textFill>
        </w:rPr>
        <w:t>”规定的响应文件提交截止时间前，将加密的响应文件在优质采云采购平台（http://www.youzhicai.com/）上传。</w:t>
      </w:r>
    </w:p>
    <w:p w14:paraId="73E77402">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供应商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71B99F39">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11.3供应商应在供应商须知前附表规定的解密时间前（以优质采云采购平台（http://www.youzhicai.com/）系统的解密倒计时为准）对本单位的响应文件进行解密，代理机构工作人员解密所有响应文件。</w:t>
      </w:r>
    </w:p>
    <w:p w14:paraId="06595637">
      <w:pPr>
        <w:ind w:firstLine="480"/>
        <w:outlineLvl w:val="3"/>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在响应文件提交截止时间之后，供应商不得对其响应文件做任何修改。但属于评审委员会在评审中发现的计算错误并进行核实的修改、按照磋商文件的变动情况和评审委员会的要求重新提交响应文件的，不在此列。</w:t>
      </w:r>
    </w:p>
    <w:p w14:paraId="5C11B9DB">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12.评审委员会</w:t>
      </w:r>
    </w:p>
    <w:p w14:paraId="2DCE9612">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12.1由业主单位委派或业主单位委托代理机构依法抽取经济技术专家等方式组建的评审委员会，负责本项目评审工作。评审委员会成员由3人以上单数组成，评审委员会及其成员应当依照有关规定履行相关职责和义务。</w:t>
      </w:r>
    </w:p>
    <w:p w14:paraId="286CB4DA">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12.2评审委员会根据磋商文件规定的评审方法和标准对供应商提交的响应文件进行评审，从质量和服务均能满足磋商文件实质性响应要求的供应商中推荐成交候选人，并编写评审报告。</w:t>
      </w:r>
    </w:p>
    <w:p w14:paraId="38B00F2C">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13</w:t>
      </w:r>
      <w:r>
        <w:rPr>
          <w:rFonts w:asciiTheme="minorEastAsia" w:hAnsiTheme="minorEastAsia" w:eastAsiaTheme="minorEastAsia" w:cstheme="minorEastAsia"/>
          <w:b/>
          <w:color w:val="000000" w:themeColor="text1"/>
          <w:highlight w:val="none"/>
          <w14:textFill>
            <w14:solidFill>
              <w14:schemeClr w14:val="tx1"/>
            </w14:solidFill>
          </w14:textFill>
        </w:rPr>
        <w:t>.响应文件的评审与磋商</w:t>
      </w:r>
    </w:p>
    <w:p w14:paraId="30FE39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szCs w:val="18"/>
          <w:highlight w:val="none"/>
          <w14:textFill>
            <w14:solidFill>
              <w14:schemeClr w14:val="tx1"/>
            </w14:solidFill>
          </w14:textFill>
        </w:rPr>
        <w:t>业主单位</w:t>
      </w:r>
      <w:r>
        <w:rPr>
          <w:rFonts w:hint="eastAsia"/>
          <w:color w:val="000000" w:themeColor="text1"/>
          <w:highlight w:val="none"/>
          <w14:textFill>
            <w14:solidFill>
              <w14:schemeClr w14:val="tx1"/>
            </w14:solidFill>
          </w14:textFill>
        </w:rPr>
        <w:t>和代理机构将在</w:t>
      </w:r>
      <w:r>
        <w:rPr>
          <w:rFonts w:hint="eastAsia"/>
          <w:color w:val="000000" w:themeColor="text1"/>
          <w:szCs w:val="18"/>
          <w:highlight w:val="none"/>
          <w:u w:val="single"/>
          <w14:textFill>
            <w14:solidFill>
              <w14:schemeClr w14:val="tx1"/>
            </w14:solidFill>
          </w14:textFill>
        </w:rPr>
        <w:t>参审单位</w:t>
      </w:r>
      <w:r>
        <w:rPr>
          <w:color w:val="000000" w:themeColor="text1"/>
          <w:highlight w:val="none"/>
          <w:u w:val="single"/>
          <w14:textFill>
            <w14:solidFill>
              <w14:schemeClr w14:val="tx1"/>
            </w14:solidFill>
          </w14:textFill>
        </w:rPr>
        <w:t>须知前附表</w:t>
      </w:r>
      <w:r>
        <w:rPr>
          <w:rFonts w:hint="eastAsia"/>
          <w:color w:val="000000" w:themeColor="text1"/>
          <w:highlight w:val="none"/>
          <w14:textFill>
            <w14:solidFill>
              <w14:schemeClr w14:val="tx1"/>
            </w14:solidFill>
          </w14:textFill>
        </w:rPr>
        <w:t>规定的时间和地点组织磋商。</w:t>
      </w:r>
    </w:p>
    <w:p w14:paraId="61F85F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13.2磋商活动采用综合评分法评审。</w:t>
      </w:r>
    </w:p>
    <w:p w14:paraId="6B7E32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综合评分法，是指响应文件满足磋商文件全部实质性要求且按评审因素的量化指标评审得分最高的</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为成交候选</w:t>
      </w:r>
      <w:r>
        <w:rPr>
          <w:rFonts w:hint="eastAsia"/>
          <w:color w:val="000000" w:themeColor="text1"/>
          <w:szCs w:val="18"/>
          <w:highlight w:val="none"/>
          <w14:textFill>
            <w14:solidFill>
              <w14:schemeClr w14:val="tx1"/>
            </w14:solidFill>
          </w14:textFill>
        </w:rPr>
        <w:t>人</w:t>
      </w:r>
      <w:r>
        <w:rPr>
          <w:rFonts w:hint="eastAsia"/>
          <w:color w:val="000000" w:themeColor="text1"/>
          <w:highlight w:val="none"/>
          <w14:textFill>
            <w14:solidFill>
              <w14:schemeClr w14:val="tx1"/>
            </w14:solidFill>
          </w14:textFill>
        </w:rPr>
        <w:t>的评审方法。</w:t>
      </w:r>
    </w:p>
    <w:p w14:paraId="79F1BF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13.3磋商小组将按照磋商文件规定的</w:t>
      </w:r>
      <w:r>
        <w:rPr>
          <w:color w:val="000000" w:themeColor="text1"/>
          <w:highlight w:val="none"/>
          <w14:textFill>
            <w14:solidFill>
              <w14:schemeClr w14:val="tx1"/>
            </w14:solidFill>
          </w14:textFill>
        </w:rPr>
        <w:t>评审</w:t>
      </w:r>
      <w:r>
        <w:rPr>
          <w:rFonts w:hint="eastAsia"/>
          <w:color w:val="000000" w:themeColor="text1"/>
          <w:highlight w:val="none"/>
          <w14:textFill>
            <w14:solidFill>
              <w14:schemeClr w14:val="tx1"/>
            </w14:solidFill>
          </w14:textFill>
        </w:rPr>
        <w:t>方</w:t>
      </w:r>
      <w:r>
        <w:rPr>
          <w:color w:val="000000" w:themeColor="text1"/>
          <w:highlight w:val="none"/>
          <w14:textFill>
            <w14:solidFill>
              <w14:schemeClr w14:val="tx1"/>
            </w14:solidFill>
          </w14:textFill>
        </w:rPr>
        <w:t>法</w:t>
      </w:r>
      <w:r>
        <w:rPr>
          <w:rFonts w:hint="eastAsia"/>
          <w:color w:val="000000" w:themeColor="text1"/>
          <w:highlight w:val="none"/>
          <w14:textFill>
            <w14:solidFill>
              <w14:schemeClr w14:val="tx1"/>
            </w14:solidFill>
          </w14:textFill>
        </w:rPr>
        <w:t>和标准对</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独立进行评审。评审程序如下：</w:t>
      </w:r>
    </w:p>
    <w:p w14:paraId="13DD38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13.3.1</w:t>
      </w:r>
      <w:r>
        <w:rPr>
          <w:rFonts w:hint="eastAsia"/>
          <w:b/>
          <w:color w:val="000000" w:themeColor="text1"/>
          <w:highlight w:val="none"/>
          <w14:textFill>
            <w14:solidFill>
              <w14:schemeClr w14:val="tx1"/>
            </w14:solidFill>
          </w14:textFill>
        </w:rPr>
        <w:t>初审</w:t>
      </w:r>
      <w:r>
        <w:rPr>
          <w:rFonts w:hint="eastAsia"/>
          <w:color w:val="000000" w:themeColor="text1"/>
          <w:highlight w:val="none"/>
          <w14:textFill>
            <w14:solidFill>
              <w14:schemeClr w14:val="tx1"/>
            </w14:solidFill>
          </w14:textFill>
        </w:rPr>
        <w:t>。磋商小组对</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必须满足和实质性响应的内容进行评审，</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未实质性响应磋商文件要求导致响应无效的，磋商小组将以书面询问的方式告知有关</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w:t>
      </w:r>
    </w:p>
    <w:p w14:paraId="0A969882">
      <w:pPr>
        <w:ind w:firstLine="470" w:firstLineChars="196"/>
        <w:rPr>
          <w:color w:val="000000" w:themeColor="text1"/>
          <w:highlight w:val="none"/>
          <w14:textFill>
            <w14:solidFill>
              <w14:schemeClr w14:val="tx1"/>
            </w14:solidFill>
          </w14:textFill>
        </w:rPr>
      </w:pP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存在不良信用记录的，其响应文件将被认定为</w:t>
      </w:r>
      <w:r>
        <w:rPr>
          <w:rFonts w:hint="eastAsia"/>
          <w:b/>
          <w:color w:val="000000" w:themeColor="text1"/>
          <w:highlight w:val="none"/>
          <w14:textFill>
            <w14:solidFill>
              <w14:schemeClr w14:val="tx1"/>
            </w14:solidFill>
          </w14:textFill>
        </w:rPr>
        <w:t>响应无效</w:t>
      </w:r>
      <w:r>
        <w:rPr>
          <w:rFonts w:hint="eastAsia"/>
          <w:color w:val="000000" w:themeColor="text1"/>
          <w:highlight w:val="none"/>
          <w14:textFill>
            <w14:solidFill>
              <w14:schemeClr w14:val="tx1"/>
            </w14:solidFill>
          </w14:textFill>
        </w:rPr>
        <w:t>。</w:t>
      </w:r>
    </w:p>
    <w:p w14:paraId="5259B424">
      <w:pPr>
        <w:ind w:firstLine="470" w:firstLineChars="196"/>
        <w:rPr>
          <w:rFonts w:cs="宋体"/>
          <w:color w:val="000000" w:themeColor="text1"/>
          <w:kern w:val="21"/>
          <w:szCs w:val="24"/>
          <w:highlight w:val="none"/>
          <w:lang w:bidi="ar"/>
          <w14:textFill>
            <w14:solidFill>
              <w14:schemeClr w14:val="tx1"/>
            </w14:solidFill>
          </w14:textFill>
        </w:rPr>
      </w:pPr>
      <w:r>
        <w:rPr>
          <w:rFonts w:hint="eastAsia" w:cs="宋体"/>
          <w:color w:val="000000" w:themeColor="text1"/>
          <w:kern w:val="21"/>
          <w:szCs w:val="24"/>
          <w:highlight w:val="none"/>
          <w:lang w:bidi="ar"/>
          <w14:textFill>
            <w14:solidFill>
              <w14:schemeClr w14:val="tx1"/>
            </w14:solidFill>
          </w14:textFill>
        </w:rPr>
        <w:t>13.3.1.1信用信息查询渠道：“信用中国”网站（www.creditchina.gov.cn）、国家企业信用信息公示系统（</w:t>
      </w:r>
      <w:r>
        <w:rPr>
          <w:highlight w:val="none"/>
        </w:rPr>
        <w:fldChar w:fldCharType="begin"/>
      </w:r>
      <w:r>
        <w:rPr>
          <w:highlight w:val="none"/>
        </w:rPr>
        <w:instrText xml:space="preserve"> HYPERLINK "http://www.gsxt.gov.cn" </w:instrText>
      </w:r>
      <w:r>
        <w:rPr>
          <w:highlight w:val="none"/>
        </w:rPr>
        <w:fldChar w:fldCharType="separate"/>
      </w:r>
      <w:r>
        <w:rPr>
          <w:rStyle w:val="18"/>
          <w:rFonts w:hint="eastAsia" w:cs="宋体"/>
          <w:color w:val="000000" w:themeColor="text1"/>
          <w:kern w:val="21"/>
          <w:szCs w:val="24"/>
          <w:highlight w:val="none"/>
          <w:lang w:bidi="ar"/>
          <w14:textFill>
            <w14:solidFill>
              <w14:schemeClr w14:val="tx1"/>
            </w14:solidFill>
          </w14:textFill>
        </w:rPr>
        <w:t>www.gsxt.gov.cn</w:t>
      </w:r>
      <w:r>
        <w:rPr>
          <w:rStyle w:val="18"/>
          <w:rFonts w:hint="eastAsia" w:cs="宋体"/>
          <w:color w:val="000000" w:themeColor="text1"/>
          <w:kern w:val="21"/>
          <w:szCs w:val="24"/>
          <w:highlight w:val="none"/>
          <w:lang w:bidi="ar"/>
          <w14:textFill>
            <w14:solidFill>
              <w14:schemeClr w14:val="tx1"/>
            </w14:solidFill>
          </w14:textFill>
        </w:rPr>
        <w:fldChar w:fldCharType="end"/>
      </w:r>
      <w:r>
        <w:rPr>
          <w:rFonts w:hint="eastAsia" w:cs="宋体"/>
          <w:color w:val="000000" w:themeColor="text1"/>
          <w:kern w:val="21"/>
          <w:szCs w:val="24"/>
          <w:highlight w:val="none"/>
          <w:lang w:bidi="ar"/>
          <w14:textFill>
            <w14:solidFill>
              <w14:schemeClr w14:val="tx1"/>
            </w14:solidFill>
          </w14:textFill>
        </w:rPr>
        <w:t>）：</w:t>
      </w:r>
    </w:p>
    <w:p w14:paraId="02888EA3">
      <w:pPr>
        <w:ind w:firstLine="480"/>
        <w:rPr>
          <w:rFonts w:cs="宋体"/>
          <w:color w:val="000000" w:themeColor="text1"/>
          <w:szCs w:val="24"/>
          <w:highlight w:val="none"/>
          <w14:textFill>
            <w14:solidFill>
              <w14:schemeClr w14:val="tx1"/>
            </w14:solidFill>
          </w14:textFill>
        </w:rPr>
      </w:pPr>
      <w:bookmarkStart w:id="6" w:name="_Hlk192058264"/>
      <w:r>
        <w:rPr>
          <w:rFonts w:hint="eastAsia" w:cs="宋体"/>
          <w:color w:val="000000" w:themeColor="text1"/>
          <w:szCs w:val="24"/>
          <w:highlight w:val="none"/>
          <w14:textFill>
            <w14:solidFill>
              <w14:schemeClr w14:val="tx1"/>
            </w14:solidFill>
          </w14:textFill>
        </w:rPr>
        <w:t>（</w:t>
      </w:r>
      <w:r>
        <w:rPr>
          <w:rFonts w:cs="宋体"/>
          <w:color w:val="000000" w:themeColor="text1"/>
          <w:szCs w:val="24"/>
          <w:highlight w:val="none"/>
          <w14:textFill>
            <w14:solidFill>
              <w14:schemeClr w14:val="tx1"/>
            </w14:solidFill>
          </w14:textFill>
        </w:rPr>
        <w:t>1</w:t>
      </w:r>
      <w:r>
        <w:rPr>
          <w:rFonts w:hint="eastAsia" w:cs="宋体"/>
          <w:color w:val="000000" w:themeColor="text1"/>
          <w:szCs w:val="24"/>
          <w:highlight w:val="none"/>
          <w14:textFill>
            <w14:solidFill>
              <w14:schemeClr w14:val="tx1"/>
            </w14:solidFill>
          </w14:textFill>
        </w:rPr>
        <w:t>）在国家企业信用信息公示系统（http://www.gsxt.gov.cn/）中被列入严重违法失信企业名单；</w:t>
      </w:r>
    </w:p>
    <w:p w14:paraId="4B9CA876">
      <w:pPr>
        <w:ind w:firstLine="48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w:t>
      </w:r>
      <w:r>
        <w:rPr>
          <w:rFonts w:cs="宋体"/>
          <w:color w:val="000000" w:themeColor="text1"/>
          <w:szCs w:val="24"/>
          <w:highlight w:val="none"/>
          <w14:textFill>
            <w14:solidFill>
              <w14:schemeClr w14:val="tx1"/>
            </w14:solidFill>
          </w14:textFill>
        </w:rPr>
        <w:t>2</w:t>
      </w:r>
      <w:r>
        <w:rPr>
          <w:rFonts w:hint="eastAsia" w:cs="宋体"/>
          <w:color w:val="000000" w:themeColor="text1"/>
          <w:szCs w:val="24"/>
          <w:highlight w:val="none"/>
          <w14:textFill>
            <w14:solidFill>
              <w14:schemeClr w14:val="tx1"/>
            </w14:solidFill>
          </w14:textFill>
        </w:rPr>
        <w:t>）在“信用中国”网站（http://www.creditchina.gov.cn/）中被列入失信被执行人名单；</w:t>
      </w:r>
    </w:p>
    <w:p w14:paraId="4F1A5597">
      <w:pPr>
        <w:ind w:firstLine="480"/>
        <w:rPr>
          <w:color w:val="000000" w:themeColor="text1"/>
          <w:highlight w:val="none"/>
          <w:lang w:bidi="ar"/>
          <w14:textFill>
            <w14:solidFill>
              <w14:schemeClr w14:val="tx1"/>
            </w14:solidFill>
          </w14:textFill>
        </w:rPr>
      </w:pPr>
      <w:r>
        <w:rPr>
          <w:rFonts w:hint="eastAsia" w:cs="宋体"/>
          <w:color w:val="000000" w:themeColor="text1"/>
          <w:szCs w:val="24"/>
          <w:highlight w:val="none"/>
          <w14:textFill>
            <w14:solidFill>
              <w14:schemeClr w14:val="tx1"/>
            </w14:solidFill>
          </w14:textFill>
        </w:rPr>
        <w:t>（3）在“信用中国”网站（http://www.creditchina.gov.cn/）中被列入重大税收违法案件当事人名单；</w:t>
      </w:r>
    </w:p>
    <w:bookmarkEnd w:id="6"/>
    <w:p w14:paraId="478F26DF">
      <w:pPr>
        <w:ind w:firstLine="360" w:firstLineChars="15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以联合体形式参加磋商的，联合体任何成员存在以上不良信用记录的，联合体磋商将被认定为</w:t>
      </w:r>
      <w:r>
        <w:rPr>
          <w:rFonts w:hint="eastAsia"/>
          <w:b/>
          <w:color w:val="000000" w:themeColor="text1"/>
          <w:highlight w:val="none"/>
          <w14:textFill>
            <w14:solidFill>
              <w14:schemeClr w14:val="tx1"/>
            </w14:solidFill>
          </w14:textFill>
        </w:rPr>
        <w:t>响应无效</w:t>
      </w:r>
      <w:r>
        <w:rPr>
          <w:rFonts w:hint="eastAsia"/>
          <w:color w:val="000000" w:themeColor="text1"/>
          <w:highlight w:val="none"/>
          <w14:textFill>
            <w14:solidFill>
              <w14:schemeClr w14:val="tx1"/>
            </w14:solidFill>
          </w14:textFill>
        </w:rPr>
        <w:t>。</w:t>
      </w:r>
    </w:p>
    <w:p w14:paraId="5143E1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13.3.2</w:t>
      </w:r>
      <w:r>
        <w:rPr>
          <w:rFonts w:hint="eastAsia"/>
          <w:b/>
          <w:color w:val="000000" w:themeColor="text1"/>
          <w:highlight w:val="none"/>
          <w14:textFill>
            <w14:solidFill>
              <w14:schemeClr w14:val="tx1"/>
            </w14:solidFill>
          </w14:textFill>
        </w:rPr>
        <w:t>磋商</w:t>
      </w:r>
      <w:r>
        <w:rPr>
          <w:rFonts w:hint="eastAsia"/>
          <w:color w:val="000000" w:themeColor="text1"/>
          <w:highlight w:val="none"/>
          <w14:textFill>
            <w14:solidFill>
              <w14:schemeClr w14:val="tx1"/>
            </w14:solidFill>
          </w14:textFill>
        </w:rPr>
        <w:t>。初审合格后，磋商小组将按网上加密电子响应文件提交顺序集中与单一</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分别进行磋商，并给予所有参加磋商的</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平等的磋商机会。</w:t>
      </w:r>
    </w:p>
    <w:p w14:paraId="11966A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13.3.3</w:t>
      </w:r>
      <w:r>
        <w:rPr>
          <w:b/>
          <w:color w:val="000000" w:themeColor="text1"/>
          <w:highlight w:val="none"/>
          <w14:textFill>
            <w14:solidFill>
              <w14:schemeClr w14:val="tx1"/>
            </w14:solidFill>
          </w14:textFill>
        </w:rPr>
        <w:t>报价</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磋商结束后，磋商小组应当要求所有</w:t>
      </w:r>
      <w:r>
        <w:rPr>
          <w:rFonts w:hint="eastAsia"/>
          <w:color w:val="000000" w:themeColor="text1"/>
          <w:highlight w:val="none"/>
          <w14:textFill>
            <w14:solidFill>
              <w14:schemeClr w14:val="tx1"/>
            </w14:solidFill>
          </w14:textFill>
        </w:rPr>
        <w:t>实质性响应</w:t>
      </w:r>
      <w:r>
        <w:rPr>
          <w:color w:val="000000" w:themeColor="text1"/>
          <w:highlight w:val="none"/>
          <w14:textFill>
            <w14:solidFill>
              <w14:schemeClr w14:val="tx1"/>
            </w14:solidFill>
          </w14:textFill>
        </w:rPr>
        <w:t>的</w:t>
      </w:r>
      <w:r>
        <w:rPr>
          <w:rFonts w:hint="eastAsia"/>
          <w:color w:val="000000" w:themeColor="text1"/>
          <w:szCs w:val="18"/>
          <w:highlight w:val="none"/>
          <w14:textFill>
            <w14:solidFill>
              <w14:schemeClr w14:val="tx1"/>
            </w14:solidFill>
          </w14:textFill>
        </w:rPr>
        <w:t>参审单位</w:t>
      </w:r>
      <w:r>
        <w:rPr>
          <w:color w:val="000000" w:themeColor="text1"/>
          <w:highlight w:val="none"/>
          <w14:textFill>
            <w14:solidFill>
              <w14:schemeClr w14:val="tx1"/>
            </w14:solidFill>
          </w14:textFill>
        </w:rPr>
        <w:t>在规定时间内提交最后报价</w:t>
      </w:r>
      <w:r>
        <w:rPr>
          <w:rFonts w:hint="eastAsia"/>
          <w:color w:val="000000" w:themeColor="text1"/>
          <w:highlight w:val="none"/>
          <w14:textFill>
            <w14:solidFill>
              <w14:schemeClr w14:val="tx1"/>
            </w14:solidFill>
          </w14:textFill>
        </w:rPr>
        <w:t>。</w:t>
      </w:r>
      <w:r>
        <w:rPr>
          <w:rFonts w:hint="eastAsia" w:cs="宋体"/>
          <w:b/>
          <w:bCs/>
          <w:color w:val="000000" w:themeColor="text1"/>
          <w:szCs w:val="24"/>
          <w:highlight w:val="none"/>
          <w14:textFill>
            <w14:solidFill>
              <w14:schemeClr w14:val="tx1"/>
            </w14:solidFill>
          </w14:textFill>
        </w:rPr>
        <w:t>磋商</w:t>
      </w:r>
      <w:r>
        <w:rPr>
          <w:rFonts w:cs="宋体"/>
          <w:b/>
          <w:bCs/>
          <w:color w:val="000000" w:themeColor="text1"/>
          <w:szCs w:val="24"/>
          <w:highlight w:val="none"/>
          <w14:textFill>
            <w14:solidFill>
              <w14:schemeClr w14:val="tx1"/>
            </w14:solidFill>
          </w14:textFill>
        </w:rPr>
        <w:t>文件中另有特殊规定的除外</w:t>
      </w:r>
      <w:r>
        <w:rPr>
          <w:rFonts w:hint="eastAsia" w:cs="宋体"/>
          <w:b/>
          <w:bCs/>
          <w:color w:val="000000" w:themeColor="text1"/>
          <w:szCs w:val="24"/>
          <w:highlight w:val="none"/>
          <w14:textFill>
            <w14:solidFill>
              <w14:schemeClr w14:val="tx1"/>
            </w14:solidFill>
          </w14:textFill>
        </w:rPr>
        <w:t>。</w:t>
      </w:r>
    </w:p>
    <w:p w14:paraId="544858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13.3.4</w:t>
      </w:r>
      <w:r>
        <w:rPr>
          <w:rFonts w:hint="eastAsia"/>
          <w:b/>
          <w:color w:val="000000" w:themeColor="text1"/>
          <w:highlight w:val="none"/>
          <w14:textFill>
            <w14:solidFill>
              <w14:schemeClr w14:val="tx1"/>
            </w14:solidFill>
          </w14:textFill>
        </w:rPr>
        <w:t>综合评分</w:t>
      </w:r>
      <w:r>
        <w:rPr>
          <w:rFonts w:hint="eastAsia"/>
          <w:color w:val="000000" w:themeColor="text1"/>
          <w:highlight w:val="none"/>
          <w14:textFill>
            <w14:solidFill>
              <w14:schemeClr w14:val="tx1"/>
            </w14:solidFill>
          </w14:textFill>
        </w:rPr>
        <w:t>。磋商小组只对通过初审，实质上响应磋商要求的响应文件进行综合评分。经磋商确定最终项目需求和提交最后报价的</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后，由磋商小组采用综合评分法对提交最后报价的</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的响应文件和最后报价进行综合评分。</w:t>
      </w:r>
    </w:p>
    <w:p w14:paraId="7D224A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13.4相关说明。</w:t>
      </w:r>
    </w:p>
    <w:p w14:paraId="44EEC1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13.4.1为保证磋商活动顺利进行，</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 xml:space="preserve">可派相关技术人员进行网上答疑； </w:t>
      </w:r>
    </w:p>
    <w:p w14:paraId="462614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13.4.2磋</w:t>
      </w:r>
      <w:r>
        <w:rPr>
          <w:color w:val="000000" w:themeColor="text1"/>
          <w:highlight w:val="none"/>
          <w14:textFill>
            <w14:solidFill>
              <w14:schemeClr w14:val="tx1"/>
            </w14:solidFill>
          </w14:textFill>
        </w:rPr>
        <w:t>商小组根据与</w:t>
      </w:r>
      <w:r>
        <w:rPr>
          <w:rFonts w:hint="eastAsia"/>
          <w:color w:val="000000" w:themeColor="text1"/>
          <w:szCs w:val="18"/>
          <w:highlight w:val="none"/>
          <w14:textFill>
            <w14:solidFill>
              <w14:schemeClr w14:val="tx1"/>
            </w14:solidFill>
          </w14:textFill>
        </w:rPr>
        <w:t>参审单位</w:t>
      </w:r>
      <w:r>
        <w:rPr>
          <w:color w:val="000000" w:themeColor="text1"/>
          <w:highlight w:val="none"/>
          <w14:textFill>
            <w14:solidFill>
              <w14:schemeClr w14:val="tx1"/>
            </w14:solidFill>
          </w14:textFill>
        </w:rPr>
        <w:t>磋商情况可能实质性变动</w:t>
      </w:r>
      <w:r>
        <w:rPr>
          <w:rFonts w:hint="eastAsia"/>
          <w:color w:val="000000" w:themeColor="text1"/>
          <w:highlight w:val="none"/>
          <w14:textFill>
            <w14:solidFill>
              <w14:schemeClr w14:val="tx1"/>
            </w14:solidFill>
          </w14:textFill>
        </w:rPr>
        <w:t>磋商文件</w:t>
      </w:r>
      <w:r>
        <w:rPr>
          <w:color w:val="000000" w:themeColor="text1"/>
          <w:highlight w:val="none"/>
          <w14:textFill>
            <w14:solidFill>
              <w14:schemeClr w14:val="tx1"/>
            </w14:solidFill>
          </w14:textFill>
        </w:rPr>
        <w:t>的内容，包括</w:t>
      </w:r>
      <w:r>
        <w:rPr>
          <w:rFonts w:hint="eastAsia"/>
          <w:color w:val="000000" w:themeColor="text1"/>
          <w:highlight w:val="none"/>
          <w14:textFill>
            <w14:solidFill>
              <w14:schemeClr w14:val="tx1"/>
            </w14:solidFill>
          </w14:textFill>
        </w:rPr>
        <w:t>项目需求</w:t>
      </w:r>
      <w:r>
        <w:rPr>
          <w:color w:val="000000" w:themeColor="text1"/>
          <w:highlight w:val="none"/>
          <w14:textFill>
            <w14:solidFill>
              <w14:schemeClr w14:val="tx1"/>
            </w14:solidFill>
          </w14:textFill>
        </w:rPr>
        <w:t>中的技术、服务要求以及合同草案条款。磋商文件有实质性变动的，</w:t>
      </w:r>
      <w:r>
        <w:rPr>
          <w:rFonts w:hint="eastAsia"/>
          <w:color w:val="000000" w:themeColor="text1"/>
          <w:highlight w:val="none"/>
          <w14:textFill>
            <w14:solidFill>
              <w14:schemeClr w14:val="tx1"/>
            </w14:solidFill>
          </w14:textFill>
        </w:rPr>
        <w:t>经</w:t>
      </w:r>
      <w:r>
        <w:rPr>
          <w:rFonts w:hint="eastAsia"/>
          <w:color w:val="000000" w:themeColor="text1"/>
          <w:szCs w:val="18"/>
          <w:highlight w:val="none"/>
          <w14:textFill>
            <w14:solidFill>
              <w14:schemeClr w14:val="tx1"/>
            </w14:solidFill>
          </w14:textFill>
        </w:rPr>
        <w:t>业主单位</w:t>
      </w:r>
      <w:r>
        <w:rPr>
          <w:rFonts w:hint="eastAsia"/>
          <w:color w:val="000000" w:themeColor="text1"/>
          <w:highlight w:val="none"/>
          <w14:textFill>
            <w14:solidFill>
              <w14:schemeClr w14:val="tx1"/>
            </w14:solidFill>
          </w14:textFill>
        </w:rPr>
        <w:t>代表确认作为磋商文件的有效组成部分，</w:t>
      </w:r>
      <w:r>
        <w:rPr>
          <w:color w:val="000000" w:themeColor="text1"/>
          <w:highlight w:val="none"/>
          <w14:textFill>
            <w14:solidFill>
              <w14:schemeClr w14:val="tx1"/>
            </w14:solidFill>
          </w14:textFill>
        </w:rPr>
        <w:t>磋商小组</w:t>
      </w:r>
      <w:r>
        <w:rPr>
          <w:rFonts w:hint="eastAsia"/>
          <w:color w:val="000000" w:themeColor="text1"/>
          <w:highlight w:val="none"/>
          <w14:textFill>
            <w14:solidFill>
              <w14:schemeClr w14:val="tx1"/>
            </w14:solidFill>
          </w14:textFill>
        </w:rPr>
        <w:t>将</w:t>
      </w:r>
      <w:r>
        <w:rPr>
          <w:color w:val="000000" w:themeColor="text1"/>
          <w:highlight w:val="none"/>
          <w14:textFill>
            <w14:solidFill>
              <w14:schemeClr w14:val="tx1"/>
            </w14:solidFill>
          </w14:textFill>
        </w:rPr>
        <w:t>以书面形式通知所有参加磋商的</w:t>
      </w:r>
      <w:r>
        <w:rPr>
          <w:rFonts w:hint="eastAsia"/>
          <w:color w:val="000000" w:themeColor="text1"/>
          <w:szCs w:val="18"/>
          <w:highlight w:val="none"/>
          <w14:textFill>
            <w14:solidFill>
              <w14:schemeClr w14:val="tx1"/>
            </w14:solidFill>
          </w14:textFill>
        </w:rPr>
        <w:t>参审单位</w:t>
      </w:r>
      <w:r>
        <w:rPr>
          <w:color w:val="000000" w:themeColor="text1"/>
          <w:highlight w:val="none"/>
          <w14:textFill>
            <w14:solidFill>
              <w14:schemeClr w14:val="tx1"/>
            </w14:solidFill>
          </w14:textFill>
        </w:rPr>
        <w:t>。</w:t>
      </w:r>
    </w:p>
    <w:p w14:paraId="713A5F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13.4.3磋商小组发现</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的报价或者某些分项报价明显低于其他通过初审的</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的报价，有可能影响产品质量和不能诚信履约的，应当要求其在合理的时间内提供书面说明，必要时提交相关证明材料；</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不能证明其报价合理性的，其响应文件将被认定为响应无效。</w:t>
      </w:r>
    </w:p>
    <w:p w14:paraId="78F5DD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13.4.4</w:t>
      </w:r>
      <w:r>
        <w:rPr>
          <w:color w:val="000000" w:themeColor="text1"/>
          <w:highlight w:val="none"/>
          <w14:textFill>
            <w14:solidFill>
              <w14:schemeClr w14:val="tx1"/>
            </w14:solidFill>
          </w14:textFill>
        </w:rPr>
        <w:t>无论何种原因，即使</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时携带了证书材料的原件，但响应文件中未提供与之内容完全一致的</w:t>
      </w:r>
      <w:r>
        <w:rPr>
          <w:rFonts w:hint="eastAsia"/>
          <w:color w:val="000000" w:themeColor="text1"/>
          <w:highlight w:val="none"/>
          <w14:textFill>
            <w14:solidFill>
              <w14:schemeClr w14:val="tx1"/>
            </w14:solidFill>
          </w14:textFill>
        </w:rPr>
        <w:t>扫描件</w:t>
      </w:r>
      <w:r>
        <w:rPr>
          <w:color w:val="000000" w:themeColor="text1"/>
          <w:highlight w:val="none"/>
          <w14:textFill>
            <w14:solidFill>
              <w14:schemeClr w14:val="tx1"/>
            </w14:solidFill>
          </w14:textFill>
        </w:rPr>
        <w:t>或影印件的，</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小组可以视同其未提供。</w:t>
      </w:r>
    </w:p>
    <w:p w14:paraId="3990AE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13.4.5磋商</w:t>
      </w:r>
      <w:r>
        <w:rPr>
          <w:color w:val="000000" w:themeColor="text1"/>
          <w:highlight w:val="none"/>
          <w14:textFill>
            <w14:solidFill>
              <w14:schemeClr w14:val="tx1"/>
            </w14:solidFill>
          </w14:textFill>
        </w:rPr>
        <w:t>小组决定响应文件的响应性及符合性只根据响应文件本身的内容，而不寻求其他外部证据。</w:t>
      </w:r>
    </w:p>
    <w:p w14:paraId="7E5EE7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rFonts w:hint="eastAsia"/>
          <w:color w:val="000000" w:themeColor="text1"/>
          <w:szCs w:val="18"/>
          <w:highlight w:val="none"/>
          <w14:textFill>
            <w14:solidFill>
              <w14:schemeClr w14:val="tx1"/>
            </w14:solidFill>
          </w14:textFill>
        </w:rPr>
        <w:t>参审单位</w:t>
      </w:r>
      <w:r>
        <w:rPr>
          <w:rFonts w:hint="eastAsia"/>
          <w:color w:val="000000" w:themeColor="text1"/>
          <w:highlight w:val="none"/>
          <w14:textFill>
            <w14:solidFill>
              <w14:schemeClr w14:val="tx1"/>
            </w14:solidFill>
          </w14:textFill>
        </w:rPr>
        <w:t>授权</w:t>
      </w:r>
      <w:r>
        <w:rPr>
          <w:color w:val="000000" w:themeColor="text1"/>
          <w:highlight w:val="none"/>
          <w14:textFill>
            <w14:solidFill>
              <w14:schemeClr w14:val="tx1"/>
            </w14:solidFill>
          </w14:textFill>
        </w:rPr>
        <w:t>代表对</w:t>
      </w:r>
      <w:r>
        <w:rPr>
          <w:rFonts w:hint="eastAsia"/>
          <w:color w:val="000000" w:themeColor="text1"/>
          <w:highlight w:val="none"/>
          <w14:textFill>
            <w14:solidFill>
              <w14:schemeClr w14:val="tx1"/>
            </w14:solidFill>
          </w14:textFill>
        </w:rPr>
        <w:t>磋商过程</w:t>
      </w:r>
      <w:r>
        <w:rPr>
          <w:color w:val="000000" w:themeColor="text1"/>
          <w:highlight w:val="none"/>
          <w14:textFill>
            <w14:solidFill>
              <w14:schemeClr w14:val="tx1"/>
            </w14:solidFill>
          </w14:textFill>
        </w:rPr>
        <w:t>有疑义，以及认为</w:t>
      </w:r>
      <w:r>
        <w:rPr>
          <w:rFonts w:hint="eastAsia"/>
          <w:color w:val="000000" w:themeColor="text1"/>
          <w:szCs w:val="18"/>
          <w:highlight w:val="none"/>
          <w14:textFill>
            <w14:solidFill>
              <w14:schemeClr w14:val="tx1"/>
            </w14:solidFill>
          </w14:textFill>
        </w:rPr>
        <w:t>业主单位</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代理机构</w:t>
      </w:r>
      <w:r>
        <w:rPr>
          <w:color w:val="000000" w:themeColor="text1"/>
          <w:highlight w:val="none"/>
          <w14:textFill>
            <w14:solidFill>
              <w14:schemeClr w14:val="tx1"/>
            </w14:solidFill>
          </w14:textFill>
        </w:rPr>
        <w:t>相关工作人员有需要回避的情形的，应当场提出询问或者回避申请</w:t>
      </w:r>
      <w:r>
        <w:rPr>
          <w:rFonts w:hint="eastAsia"/>
          <w:color w:val="000000" w:themeColor="text1"/>
          <w:highlight w:val="none"/>
          <w14:textFill>
            <w14:solidFill>
              <w14:schemeClr w14:val="tx1"/>
            </w14:solidFill>
          </w14:textFill>
        </w:rPr>
        <w:t>，并说明理由。</w:t>
      </w:r>
      <w:r>
        <w:rPr>
          <w:color w:val="000000" w:themeColor="text1"/>
          <w:highlight w:val="none"/>
          <w14:textFill>
            <w14:solidFill>
              <w14:schemeClr w14:val="tx1"/>
            </w14:solidFill>
          </w14:textFill>
        </w:rPr>
        <w:t xml:space="preserve"> </w:t>
      </w:r>
    </w:p>
    <w:p w14:paraId="3C11AB78">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14.终止磋商</w:t>
      </w:r>
    </w:p>
    <w:p w14:paraId="73D39D6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出现下列情况之一时，业主单位和代理机构有权宣布终止磋商，并将理由通知所有供应商：</w:t>
      </w:r>
    </w:p>
    <w:p w14:paraId="2E9DC8BE">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14.1</w:t>
      </w:r>
      <w:r>
        <w:rPr>
          <w:rFonts w:hint="eastAsia" w:cs="@仿宋_GB2312" w:asciiTheme="minorEastAsia" w:hAnsiTheme="minorEastAsia" w:eastAsiaTheme="minorEastAsia"/>
          <w:color w:val="000000" w:themeColor="text1"/>
          <w:kern w:val="2"/>
          <w:szCs w:val="24"/>
          <w:highlight w:val="none"/>
          <w14:textFill>
            <w14:solidFill>
              <w14:schemeClr w14:val="tx1"/>
            </w14:solidFill>
          </w14:textFill>
        </w:rPr>
        <w:t>通过初审的供应商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不足规定数量，导致本次磋商缺乏竞争的；</w:t>
      </w:r>
    </w:p>
    <w:p w14:paraId="0F954B7E">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14.2出现影响公正的违法、违规行为的；</w:t>
      </w:r>
    </w:p>
    <w:p w14:paraId="4812B6A8">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14.3因重大变故，交易任务取消的；</w:t>
      </w:r>
    </w:p>
    <w:p w14:paraId="211D9227">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14.4磋商文件有重大漏洞，导致无法继续评审的；</w:t>
      </w:r>
    </w:p>
    <w:p w14:paraId="1DC1840E">
      <w:pPr>
        <w:ind w:firstLine="480"/>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14.5法律法规规定的其他情形。</w:t>
      </w:r>
    </w:p>
    <w:p w14:paraId="5A8DC5C6">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15.响应文件的澄清、说明或更正</w:t>
      </w:r>
    </w:p>
    <w:p w14:paraId="1D97BFBE">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15.1评审委员会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EA5C12F">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15.2评审委员会通过优质采电子工具将需要澄清、说明或补正的内容以询问函的形式发送给供应商，供应商应登录优质采客户端并保持在线状态，以便及时接收评审委员会可能发出的询问函，并在询问函载明的时间内回复，若供应商未及时回复，视为放弃澄清。</w:t>
      </w:r>
    </w:p>
    <w:p w14:paraId="1DF8722C">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15.3如有询问，授权代表（或法定代表人）可通过远程登录的方式接受网上询问，也可凭本人有效身份证明参加询问。因授权代表联系不上、没有及时登录系统等情形而无法接受评审委员会询问的，供应商自行承担相关风险。</w:t>
      </w:r>
    </w:p>
    <w:p w14:paraId="563737B8">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16.最终报价</w:t>
      </w:r>
    </w:p>
    <w:p w14:paraId="740E7CC5">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16.1本次磋商一次性报价。</w:t>
      </w:r>
    </w:p>
    <w:p w14:paraId="0F76FB97">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16.2最终报价是供应商响应文件的有效组成部分，最终报价也是签订合同的依据。</w:t>
      </w:r>
    </w:p>
    <w:p w14:paraId="6A797603">
      <w:pPr>
        <w:ind w:firstLine="480"/>
        <w:rPr>
          <w:rFonts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16.4本项目的服务地点为本须知前附表所述，供应商可到项目现场踏勘以充分了解项目位置、情况及任何其他足以影响磋商报价的情况，任何因忽视或误解项目场地情况而导致的索赔或服务期限延长申请将不被批准。对于受项目现场场地限制，如需要另外寻找场地解决临时住宿，由此所产生的费用应包含在磋商报价范围内，业主单位不再承担该费用。</w:t>
      </w:r>
    </w:p>
    <w:p w14:paraId="2DAFDC2C">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16.5本项目不接受恶意不平衡报价，不保证最低价成交。</w:t>
      </w:r>
    </w:p>
    <w:p w14:paraId="79C496A0">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17.成交候选人的推荐原则</w:t>
      </w:r>
    </w:p>
    <w:p w14:paraId="3027D8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评审委员会</w:t>
      </w:r>
      <w:r>
        <w:rPr>
          <w:color w:val="000000" w:themeColor="text1"/>
          <w:highlight w:val="none"/>
          <w14:textFill>
            <w14:solidFill>
              <w14:schemeClr w14:val="tx1"/>
            </w14:solidFill>
          </w14:textFill>
        </w:rPr>
        <w:t>依据本项目</w:t>
      </w:r>
      <w:r>
        <w:rPr>
          <w:rFonts w:hint="eastAsia"/>
          <w:color w:val="000000" w:themeColor="text1"/>
          <w:highlight w:val="none"/>
          <w14:textFill>
            <w14:solidFill>
              <w14:schemeClr w14:val="tx1"/>
            </w14:solidFill>
          </w14:textFill>
        </w:rPr>
        <w:t>磋商</w:t>
      </w:r>
      <w:r>
        <w:rPr>
          <w:color w:val="000000" w:themeColor="text1"/>
          <w:highlight w:val="none"/>
          <w14:textFill>
            <w14:solidFill>
              <w14:schemeClr w14:val="tx1"/>
            </w14:solidFill>
          </w14:textFill>
        </w:rPr>
        <w:t>文件所约定的</w:t>
      </w:r>
      <w:r>
        <w:rPr>
          <w:rFonts w:hint="eastAsia"/>
          <w:color w:val="000000" w:themeColor="text1"/>
          <w:highlight w:val="none"/>
          <w14:textFill>
            <w14:solidFill>
              <w14:schemeClr w14:val="tx1"/>
            </w14:solidFill>
          </w14:textFill>
        </w:rPr>
        <w:t>评审</w:t>
      </w:r>
      <w:r>
        <w:rPr>
          <w:color w:val="000000" w:themeColor="text1"/>
          <w:highlight w:val="none"/>
          <w14:textFill>
            <w14:solidFill>
              <w14:schemeClr w14:val="tx1"/>
            </w14:solidFill>
          </w14:textFill>
        </w:rPr>
        <w:t>方法</w:t>
      </w:r>
      <w:r>
        <w:rPr>
          <w:rFonts w:hint="eastAsia"/>
          <w:color w:val="000000" w:themeColor="text1"/>
          <w:highlight w:val="none"/>
          <w14:textFill>
            <w14:solidFill>
              <w14:schemeClr w14:val="tx1"/>
            </w14:solidFill>
          </w14:textFill>
        </w:rPr>
        <w:t>和标准</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按照有效</w:t>
      </w:r>
      <w:r>
        <w:rPr>
          <w:rFonts w:hint="eastAsia"/>
          <w:color w:val="000000" w:themeColor="text1"/>
          <w:szCs w:val="18"/>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综合总得分由高到低依次推荐成交候选</w:t>
      </w:r>
      <w:r>
        <w:rPr>
          <w:rFonts w:hint="eastAsia"/>
          <w:color w:val="000000" w:themeColor="text1"/>
          <w:szCs w:val="18"/>
          <w:highlight w:val="none"/>
          <w14:textFill>
            <w14:solidFill>
              <w14:schemeClr w14:val="tx1"/>
            </w14:solidFill>
          </w14:textFill>
        </w:rPr>
        <w:t>人</w:t>
      </w:r>
      <w:r>
        <w:rPr>
          <w:rFonts w:hint="eastAsia"/>
          <w:color w:val="000000" w:themeColor="text1"/>
          <w:highlight w:val="none"/>
          <w14:textFill>
            <w14:solidFill>
              <w14:schemeClr w14:val="tx1"/>
            </w14:solidFill>
          </w14:textFill>
        </w:rPr>
        <w:t>。综合总得分出现两家或两家以上相同者，按最后报价由低到高排序推荐成交候选</w:t>
      </w:r>
      <w:r>
        <w:rPr>
          <w:rFonts w:hint="eastAsia"/>
          <w:color w:val="000000" w:themeColor="text1"/>
          <w:szCs w:val="18"/>
          <w:highlight w:val="none"/>
          <w14:textFill>
            <w14:solidFill>
              <w14:schemeClr w14:val="tx1"/>
            </w14:solidFill>
          </w14:textFill>
        </w:rPr>
        <w:t>人</w:t>
      </w:r>
      <w:r>
        <w:rPr>
          <w:rFonts w:hint="eastAsia"/>
          <w:color w:val="000000" w:themeColor="text1"/>
          <w:highlight w:val="none"/>
          <w14:textFill>
            <w14:solidFill>
              <w14:schemeClr w14:val="tx1"/>
            </w14:solidFill>
          </w14:textFill>
        </w:rPr>
        <w:t>；综合总得分且最后报价均相同的，由评审委员会按照技术指标优劣顺序推荐成交候选</w:t>
      </w:r>
      <w:r>
        <w:rPr>
          <w:rFonts w:hint="eastAsia"/>
          <w:color w:val="000000" w:themeColor="text1"/>
          <w:szCs w:val="18"/>
          <w:highlight w:val="none"/>
          <w14:textFill>
            <w14:solidFill>
              <w14:schemeClr w14:val="tx1"/>
            </w14:solidFill>
          </w14:textFill>
        </w:rPr>
        <w:t>人</w:t>
      </w:r>
      <w:r>
        <w:rPr>
          <w:rFonts w:hint="eastAsia"/>
          <w:color w:val="000000" w:themeColor="text1"/>
          <w:highlight w:val="none"/>
          <w14:textFill>
            <w14:solidFill>
              <w14:schemeClr w14:val="tx1"/>
            </w14:solidFill>
          </w14:textFill>
        </w:rPr>
        <w:t>。</w:t>
      </w:r>
    </w:p>
    <w:p w14:paraId="042FBEB6">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17.2凡发现成交候选人有下列行为之一的，成交无效，并移交监管部门依法处理：</w:t>
      </w:r>
    </w:p>
    <w:p w14:paraId="0F2A68DB">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17.2.1有下列情形之一的，属于</w:t>
      </w:r>
      <w:r>
        <w:rPr>
          <w:rFonts w:hint="eastAsia"/>
          <w:color w:val="000000" w:themeColor="text1"/>
          <w:szCs w:val="18"/>
          <w:highlight w:val="none"/>
          <w14:textFill>
            <w14:solidFill>
              <w14:schemeClr w14:val="tx1"/>
            </w14:solidFill>
          </w14:textFill>
        </w:rPr>
        <w:t>供应商间</w:t>
      </w:r>
      <w:r>
        <w:rPr>
          <w:rFonts w:hint="eastAsia" w:cs="宋体"/>
          <w:color w:val="000000" w:themeColor="text1"/>
          <w:szCs w:val="24"/>
          <w:highlight w:val="none"/>
          <w:lang w:bidi="ar"/>
          <w14:textFill>
            <w14:solidFill>
              <w14:schemeClr w14:val="tx1"/>
            </w14:solidFill>
          </w14:textFill>
        </w:rPr>
        <w:t>相互串通：</w:t>
      </w:r>
    </w:p>
    <w:p w14:paraId="5797A425">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17.2.1.1</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之间协商报价等响应文件的实质性内容；</w:t>
      </w:r>
    </w:p>
    <w:p w14:paraId="13A3DE30">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17.2.1.2</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之间约定成交人；</w:t>
      </w:r>
    </w:p>
    <w:p w14:paraId="20756C11">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17.2.1.3</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之间约定部分</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放弃磋商或者成交；</w:t>
      </w:r>
    </w:p>
    <w:p w14:paraId="0C2C0F28">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17.2.1.4属于同一集团、协会、商会等组织成员的</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按照该组织要求协同磋商；</w:t>
      </w:r>
    </w:p>
    <w:p w14:paraId="70090D4E">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17.2.1.5</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之间为谋取成交或者排斥特定</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而采取的其他联合行动。</w:t>
      </w:r>
    </w:p>
    <w:p w14:paraId="14A5D697">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17.2.2有下列情形之一的，视为</w:t>
      </w:r>
      <w:r>
        <w:rPr>
          <w:rFonts w:hint="eastAsia"/>
          <w:color w:val="000000" w:themeColor="text1"/>
          <w:szCs w:val="18"/>
          <w:highlight w:val="none"/>
          <w14:textFill>
            <w14:solidFill>
              <w14:schemeClr w14:val="tx1"/>
            </w14:solidFill>
          </w14:textFill>
        </w:rPr>
        <w:t>供应商间</w:t>
      </w:r>
      <w:r>
        <w:rPr>
          <w:rFonts w:hint="eastAsia" w:cs="宋体"/>
          <w:color w:val="000000" w:themeColor="text1"/>
          <w:szCs w:val="24"/>
          <w:highlight w:val="none"/>
          <w:lang w:bidi="ar"/>
          <w14:textFill>
            <w14:solidFill>
              <w14:schemeClr w14:val="tx1"/>
            </w14:solidFill>
          </w14:textFill>
        </w:rPr>
        <w:t>相互串通：</w:t>
      </w:r>
    </w:p>
    <w:p w14:paraId="457C1234">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17.2.2.1不同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的响应文件由同一单位或者个人编制；</w:t>
      </w:r>
    </w:p>
    <w:p w14:paraId="1EDE467C">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17.2.2.2不同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委托同一单位或者个人办理磋商事宜；</w:t>
      </w:r>
    </w:p>
    <w:p w14:paraId="4A0EB642">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17.2.2.3不同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的响应文件载明的项目管理成员为同一人；</w:t>
      </w:r>
    </w:p>
    <w:p w14:paraId="71D18CA2">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17.2.2.4不同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的响应文件异常一致或者报价呈规律性差异；</w:t>
      </w:r>
    </w:p>
    <w:p w14:paraId="135BD0F7">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17.2.2.5不同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的响应文件相互混装；</w:t>
      </w:r>
    </w:p>
    <w:p w14:paraId="589EB44C">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17.2.2.6不同</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的磋商保证金从同一单位或者个人的账户转出。</w:t>
      </w:r>
    </w:p>
    <w:p w14:paraId="521129C9">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17.2.3有下列情形之一的，属于</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与</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串通：</w:t>
      </w:r>
    </w:p>
    <w:p w14:paraId="27ED0239">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17.2.3.1</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在磋商前开启响应文件并将有关信息泄露给其他</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w:t>
      </w:r>
    </w:p>
    <w:p w14:paraId="6A16518C">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17.2.3.2</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直接或者间接向</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泄露标底、评审委员会成员等信息；</w:t>
      </w:r>
    </w:p>
    <w:p w14:paraId="33F408C5">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17.2.3.3</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明示或者暗示</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压低或者抬高报价；</w:t>
      </w:r>
    </w:p>
    <w:p w14:paraId="05779955">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17.2.3.4</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授意</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撤换、修改响应文件；</w:t>
      </w:r>
    </w:p>
    <w:p w14:paraId="0C29E1B3">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17.2.3.5</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明示或者暗示</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为特定</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成交提供方便；</w:t>
      </w:r>
    </w:p>
    <w:p w14:paraId="078DB93E">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17.2.3.6</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与</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为谋求特定</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成交而采取的其他串通行为。</w:t>
      </w:r>
    </w:p>
    <w:p w14:paraId="2D5DC4C2">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17.2.4使用通过受让或者租借等方式获取的资格、资质证书参与磋商的，</w:t>
      </w:r>
    </w:p>
    <w:p w14:paraId="049D1ACD">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w:t>
      </w:r>
      <w:r>
        <w:rPr>
          <w:rFonts w:hint="eastAsia"/>
          <w:color w:val="000000" w:themeColor="text1"/>
          <w:szCs w:val="18"/>
          <w:highlight w:val="none"/>
          <w14:textFill>
            <w14:solidFill>
              <w14:schemeClr w14:val="tx1"/>
            </w14:solidFill>
          </w14:textFill>
        </w:rPr>
        <w:t>供应商</w:t>
      </w:r>
      <w:r>
        <w:rPr>
          <w:rFonts w:hint="eastAsia" w:cs="宋体"/>
          <w:color w:val="000000" w:themeColor="text1"/>
          <w:szCs w:val="24"/>
          <w:highlight w:val="none"/>
          <w:lang w:bidi="ar"/>
          <w14:textFill>
            <w14:solidFill>
              <w14:schemeClr w14:val="tx1"/>
            </w14:solidFill>
          </w14:textFill>
        </w:rPr>
        <w:t>有下列情形之一的，属于以其他方式弄虚作假的行为：</w:t>
      </w:r>
    </w:p>
    <w:p w14:paraId="22228106">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17.2.5.1使用伪造、变造的许可证件；</w:t>
      </w:r>
    </w:p>
    <w:p w14:paraId="63CE92DD">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17.2.5.2提供虚假的财务状况或者业绩；</w:t>
      </w:r>
    </w:p>
    <w:p w14:paraId="45183064">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17.2.5.3提供虚假的项目负责人或者主要技术人员简历、劳动关系证明；</w:t>
      </w:r>
    </w:p>
    <w:p w14:paraId="1508D3D4">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17.2.5.4提供虚假的信用状况；</w:t>
      </w:r>
    </w:p>
    <w:p w14:paraId="53697B34">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17.2.5.5其他弄虚作假的行为。</w:t>
      </w:r>
    </w:p>
    <w:p w14:paraId="3E0F9FDE">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17.2.6其他违反法规和规章强制性规定的行为。</w:t>
      </w:r>
    </w:p>
    <w:p w14:paraId="6200FDD8">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18.确定成交候选人和成交人</w:t>
      </w:r>
    </w:p>
    <w:p w14:paraId="69C7633E">
      <w:pPr>
        <w:ind w:firstLine="470" w:firstLineChars="196"/>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审委员会根据综合评分的结果和供应商须知前附表中规定确定成交候选人，并标明排列顺序。排名第一的成交候选人经业主单位或业主单位授权的评审委员会确定为成交人后，由代理机构在指定媒体上予以公告。</w:t>
      </w:r>
    </w:p>
    <w:p w14:paraId="7650A4A8">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19.编写评审报告</w:t>
      </w:r>
    </w:p>
    <w:p w14:paraId="0CAEB743">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审报告是根据全体评审委员会成员签字的原始评审记录和评审结果编写的报告，评审报告由评审委员会全体成员签字。对评审结论持有异议的评审委员会成员可以阐述其不同意见和理由。评审委员会成员拒绝在评审报告上签字且不陈述其不同意见和理由的，视为同意评审结论。</w:t>
      </w:r>
    </w:p>
    <w:p w14:paraId="2DF2415A">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20.保密要求</w:t>
      </w:r>
    </w:p>
    <w:p w14:paraId="0F8EA1DD">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20.1评审将在严格保密的情况下进行。</w:t>
      </w:r>
    </w:p>
    <w:p w14:paraId="719394D3">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20.2有关人员应当遵守评审工作纪律，不得泄露评审文件、评审情况和评审中获悉的国家秘密、商业秘密等。</w:t>
      </w:r>
    </w:p>
    <w:p w14:paraId="319A118A">
      <w:pPr>
        <w:ind w:firstLine="482"/>
        <w:outlineLvl w:val="3"/>
        <w:rPr>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21.成交候选人和成交结果公示</w:t>
      </w:r>
    </w:p>
    <w:p w14:paraId="5EC6D2A6">
      <w:pPr>
        <w:ind w:firstLine="480"/>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21.1磋商结束后，代理机构将在</w:t>
      </w:r>
      <w:r>
        <w:rPr>
          <w:rFonts w:hint="eastAsia"/>
          <w:color w:val="000000" w:themeColor="text1"/>
          <w:highlight w:val="none"/>
          <w14:textFill>
            <w14:solidFill>
              <w14:schemeClr w14:val="tx1"/>
            </w14:solidFill>
          </w14:textFill>
        </w:rPr>
        <w:t>发布磋商公告的媒介上</w:t>
      </w:r>
      <w:r>
        <w:rPr>
          <w:rFonts w:hint="eastAsia" w:cs="宋体"/>
          <w:color w:val="000000" w:themeColor="text1"/>
          <w:szCs w:val="24"/>
          <w:highlight w:val="none"/>
          <w:lang w:bidi="ar"/>
          <w14:textFill>
            <w14:solidFill>
              <w14:schemeClr w14:val="tx1"/>
            </w14:solidFill>
          </w14:textFill>
        </w:rPr>
        <w:t>发布成交候选人公示和成交结果公示。</w:t>
      </w:r>
    </w:p>
    <w:p w14:paraId="319FEF73">
      <w:pPr>
        <w:ind w:firstLine="480"/>
        <w:rPr>
          <w:rFonts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21.2</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在收到评审报告之日起3日内，依法公示成交候选人。</w:t>
      </w:r>
      <w:r>
        <w:rPr>
          <w:rFonts w:hint="eastAsia"/>
          <w:color w:val="000000" w:themeColor="text1"/>
          <w:szCs w:val="18"/>
          <w:highlight w:val="none"/>
          <w14:textFill>
            <w14:solidFill>
              <w14:schemeClr w14:val="tx1"/>
            </w14:solidFill>
          </w14:textFill>
        </w:rPr>
        <w:t>业主单位</w:t>
      </w:r>
      <w:r>
        <w:rPr>
          <w:rFonts w:hint="eastAsia" w:cs="宋体"/>
          <w:color w:val="000000" w:themeColor="text1"/>
          <w:szCs w:val="24"/>
          <w:highlight w:val="none"/>
          <w:lang w:bidi="ar"/>
          <w14:textFill>
            <w14:solidFill>
              <w14:schemeClr w14:val="tx1"/>
            </w14:solidFill>
          </w14:textFill>
        </w:rPr>
        <w:t>在确定成交人之日起3日内，依法公示成交结果。</w:t>
      </w:r>
    </w:p>
    <w:p w14:paraId="0288864A">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22.磋商结果的异议、投诉</w:t>
      </w:r>
    </w:p>
    <w:p w14:paraId="3C88E5FC">
      <w:pPr>
        <w:ind w:firstLine="480"/>
        <w:rPr>
          <w:rFonts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22.1对于磋商结果有异议的，应在成交结果公告规定的时间内向业主单位或代理机构提出。</w:t>
      </w:r>
    </w:p>
    <w:p w14:paraId="497A9310">
      <w:pPr>
        <w:ind w:firstLine="480"/>
        <w:rPr>
          <w:color w:val="000000" w:themeColor="text1"/>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22.2对于异议答复不满意的，应在收到异议答复之日起3日内向磋商公告载明的监督管理部门提出。</w:t>
      </w:r>
    </w:p>
    <w:p w14:paraId="1F6FC526">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23.成交通知书</w:t>
      </w:r>
    </w:p>
    <w:p w14:paraId="1287653B">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23.1代理机构发布成交结果公告的同时以供应商须知前附表规定的形式向成交人发出成交通知书。</w:t>
      </w:r>
    </w:p>
    <w:p w14:paraId="626D56F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23.2成交通知书对业主单位和成交人具有同等法律效力。成交通知书发出以后，业主单位改变成交结果或者成交人放弃成交资格，应当承担相应的法律责任。</w:t>
      </w:r>
    </w:p>
    <w:p w14:paraId="35F713BC">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23.3成交通知书是合同的组成部分。</w:t>
      </w:r>
    </w:p>
    <w:p w14:paraId="773B8A6D">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24.告知磋商结果</w:t>
      </w:r>
    </w:p>
    <w:p w14:paraId="0D7D8407">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24.1成交结果公告发布后，供应商自行登录系统查询结果信息。</w:t>
      </w:r>
    </w:p>
    <w:p w14:paraId="5F038CC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24.2代理机构对未成交的供应商不做未成交原因的解释。</w:t>
      </w:r>
    </w:p>
    <w:p w14:paraId="12C7C067">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25.履约保证金</w:t>
      </w:r>
    </w:p>
    <w:p w14:paraId="21D096CE">
      <w:pPr>
        <w:ind w:firstLine="480"/>
        <w:rPr>
          <w:rFonts w:cs="宋体"/>
          <w:color w:val="000000" w:themeColor="text1"/>
          <w:szCs w:val="24"/>
          <w:highlight w:val="none"/>
          <w:lang w:bidi="ar"/>
          <w14:textFill>
            <w14:solidFill>
              <w14:schemeClr w14:val="tx1"/>
            </w14:solidFill>
          </w14:textFill>
        </w:rPr>
      </w:pPr>
      <w:r>
        <w:rPr>
          <w:rFonts w:hint="eastAsia" w:cs="宋体"/>
          <w:color w:val="000000" w:themeColor="text1"/>
          <w:szCs w:val="24"/>
          <w:highlight w:val="none"/>
          <w:lang w:bidi="ar"/>
          <w14:textFill>
            <w14:solidFill>
              <w14:schemeClr w14:val="tx1"/>
            </w14:solidFill>
          </w14:textFill>
        </w:rPr>
        <w:t>25.1成交人应按照</w:t>
      </w:r>
      <w:r>
        <w:rPr>
          <w:rFonts w:hint="eastAsia"/>
          <w:color w:val="000000" w:themeColor="text1"/>
          <w:szCs w:val="18"/>
          <w:highlight w:val="none"/>
          <w14:textFill>
            <w14:solidFill>
              <w14:schemeClr w14:val="tx1"/>
            </w14:solidFill>
          </w14:textFill>
        </w:rPr>
        <w:t>参审单位</w:t>
      </w:r>
      <w:r>
        <w:rPr>
          <w:rFonts w:hint="eastAsia" w:cs="宋体"/>
          <w:color w:val="000000" w:themeColor="text1"/>
          <w:szCs w:val="24"/>
          <w:highlight w:val="none"/>
          <w:lang w:bidi="ar"/>
          <w14:textFill>
            <w14:solidFill>
              <w14:schemeClr w14:val="tx1"/>
            </w14:solidFill>
          </w14:textFill>
        </w:rPr>
        <w:t>须知前附表规定缴纳履约保证金。</w:t>
      </w:r>
    </w:p>
    <w:p w14:paraId="095E850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eastAsiaTheme="minorEastAsia"/>
          <w:color w:val="000000" w:themeColor="text1"/>
          <w:szCs w:val="24"/>
          <w:highlight w:val="none"/>
          <w:lang w:bidi="ar"/>
          <w14:textFill>
            <w14:solidFill>
              <w14:schemeClr w14:val="tx1"/>
            </w14:solidFill>
          </w14:textFill>
        </w:rPr>
        <w:t>25.2</w:t>
      </w:r>
      <w:r>
        <w:rPr>
          <w:rFonts w:hint="eastAsia" w:asciiTheme="minorEastAsia" w:hAnsiTheme="minorEastAsia" w:eastAsiaTheme="minorEastAsia" w:cstheme="minorEastAsia"/>
          <w:color w:val="000000" w:themeColor="text1"/>
          <w:highlight w:val="none"/>
          <w14:textFill>
            <w14:solidFill>
              <w14:schemeClr w14:val="tx1"/>
            </w14:solidFill>
          </w14:textFill>
        </w:rPr>
        <w:t>如果成交人没有按照供应商须知前附表中履约保证金的规定执行，将视为放弃成交资格。在此情况下，业主单位可确定下一成交候选人为成交人，也可以重新开展磋商。</w:t>
      </w:r>
    </w:p>
    <w:p w14:paraId="66B95A7A">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26.代理费用</w:t>
      </w:r>
    </w:p>
    <w:p w14:paraId="18947D1B">
      <w:pPr>
        <w:ind w:firstLine="480"/>
        <w:rPr>
          <w:rFonts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成交人放弃成交资格的，</w:t>
      </w:r>
      <w:r>
        <w:rPr>
          <w:rFonts w:hint="eastAsia" w:asciiTheme="minorEastAsia" w:hAnsiTheme="minorEastAsia" w:eastAsiaTheme="minorEastAsia" w:cstheme="minorEastAsia"/>
          <w:color w:val="000000" w:themeColor="text1"/>
          <w:highlight w:val="none"/>
          <w14:textFill>
            <w14:solidFill>
              <w14:schemeClr w14:val="tx1"/>
            </w14:solidFill>
          </w14:textFill>
        </w:rPr>
        <w:t>本磋商项目应收取的</w:t>
      </w:r>
      <w:r>
        <w:rPr>
          <w:rFonts w:hint="eastAsia"/>
          <w:color w:val="000000" w:themeColor="text1"/>
          <w:szCs w:val="24"/>
          <w:highlight w:val="none"/>
          <w14:textFill>
            <w14:solidFill>
              <w14:schemeClr w14:val="tx1"/>
            </w14:solidFill>
          </w14:textFill>
        </w:rPr>
        <w:t>代理服务费</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由其承担。</w:t>
      </w:r>
    </w:p>
    <w:p w14:paraId="5FCC9703">
      <w:pPr>
        <w:ind w:firstLine="482"/>
        <w:rPr>
          <w:rFonts w:asciiTheme="minorEastAsia" w:hAnsiTheme="minorEastAsia" w:eastAsiaTheme="minorEastAsia" w:cstheme="minorEastAsia"/>
          <w:b/>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2"/>
          <w:highlight w:val="none"/>
          <w14:textFill>
            <w14:solidFill>
              <w14:schemeClr w14:val="tx1"/>
            </w14:solidFill>
          </w14:textFill>
        </w:rPr>
        <w:t>代理费用收取账户信息如下：</w:t>
      </w:r>
    </w:p>
    <w:p w14:paraId="51922AF0">
      <w:pPr>
        <w:ind w:firstLine="723" w:firstLineChars="300"/>
        <w:rPr>
          <w:b/>
          <w:highlight w:val="none"/>
        </w:rPr>
      </w:pPr>
      <w:r>
        <w:rPr>
          <w:rFonts w:hint="eastAsia"/>
          <w:b/>
          <w:highlight w:val="none"/>
        </w:rPr>
        <w:t>户名：肥西县公共资源交易有限责任公司</w:t>
      </w:r>
    </w:p>
    <w:p w14:paraId="45401075">
      <w:pPr>
        <w:ind w:firstLine="723" w:firstLineChars="300"/>
        <w:rPr>
          <w:b/>
          <w:highlight w:val="none"/>
        </w:rPr>
      </w:pPr>
      <w:r>
        <w:rPr>
          <w:rFonts w:hint="eastAsia"/>
          <w:b/>
          <w:highlight w:val="none"/>
        </w:rPr>
        <w:t>账号：179746801939</w:t>
      </w:r>
    </w:p>
    <w:p w14:paraId="09FD6B3C">
      <w:pPr>
        <w:ind w:firstLine="723" w:firstLineChars="300"/>
        <w:rPr>
          <w:rFonts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b/>
          <w:highlight w:val="none"/>
        </w:rPr>
        <w:t>开户行：中国银行股份有限公司肥西支行</w:t>
      </w:r>
    </w:p>
    <w:p w14:paraId="71CB8B58">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27.签订合同</w:t>
      </w:r>
    </w:p>
    <w:p w14:paraId="31A083CD">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27.1业主单位与成交人应当在成交通知书发出后及时签订合同。</w:t>
      </w:r>
    </w:p>
    <w:p w14:paraId="034CBB8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27.2磋商文件、成交人的响应文件及其澄清文件等，均为签订合同的依据。</w:t>
      </w:r>
    </w:p>
    <w:p w14:paraId="515DD13D">
      <w:pPr>
        <w:ind w:firstLine="470" w:firstLineChars="196"/>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27.3成交人拒绝与业主单位签订合同的，业主单位可以按照评审报告推荐的成交候选人名单排序，确定下一成交候选人为成交人，也可以重新开展磋商活动。成交人拒绝签订合同的不得参加对该项目重新开展的磋商活动。</w:t>
      </w:r>
    </w:p>
    <w:p w14:paraId="762B76D7">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28.廉洁自律规定</w:t>
      </w:r>
    </w:p>
    <w:p w14:paraId="087C3EB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28.1代理机构工作人员不得以不正当手段获取代理业务，不得与业主单位、供应商恶意串通。</w:t>
      </w:r>
    </w:p>
    <w:p w14:paraId="136DC261">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28.2代理机构工作人员不得接受业主单位或者供应商组织的宴请、旅游、娱乐，不得收受礼品、现金、有价证券等，不得向业主单位或者供应商报销应当由个人承担的费用。</w:t>
      </w:r>
    </w:p>
    <w:p w14:paraId="1E701CCA">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29</w:t>
      </w:r>
      <w:r>
        <w:rPr>
          <w:rFonts w:asciiTheme="minorEastAsia" w:hAnsiTheme="minorEastAsia" w:eastAsiaTheme="minorEastAsia" w:cstheme="minorEastAsia"/>
          <w:b/>
          <w:color w:val="000000" w:themeColor="text1"/>
          <w:highlight w:val="none"/>
          <w14:textFill>
            <w14:solidFill>
              <w14:schemeClr w14:val="tx1"/>
            </w14:solidFill>
          </w14:textFill>
        </w:rPr>
        <w:t>.</w:t>
      </w:r>
      <w:r>
        <w:rPr>
          <w:rFonts w:hint="eastAsia" w:asciiTheme="minorEastAsia" w:hAnsiTheme="minorEastAsia" w:eastAsiaTheme="minorEastAsia" w:cstheme="minorEastAsia"/>
          <w:b/>
          <w:color w:val="000000" w:themeColor="text1"/>
          <w:highlight w:val="none"/>
          <w14:textFill>
            <w14:solidFill>
              <w14:schemeClr w14:val="tx1"/>
            </w14:solidFill>
          </w14:textFill>
        </w:rPr>
        <w:t>异议的提出与接收</w:t>
      </w:r>
    </w:p>
    <w:p w14:paraId="1D0FE8A6">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29.1参审单位认为磋商文件、磋商过程和成交结果使自己的权益受到损害的，可以在知道或者应知其权益受到损害之日起三日内，以书面形式向业主单位或其委托的代理机构提出异议。</w:t>
      </w:r>
    </w:p>
    <w:p w14:paraId="5DC4980D">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29.2异议应以书面形式实名提出，书面异议材料应当包括以下内容：</w:t>
      </w:r>
    </w:p>
    <w:p w14:paraId="59E3FA0F">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29.3异议人的名称、地址、有效联系方式；</w:t>
      </w:r>
    </w:p>
    <w:p w14:paraId="187B0053">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29.5项目名称、项目编号、包别号（如有）；</w:t>
      </w:r>
    </w:p>
    <w:p w14:paraId="6120B49C">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29.6被异议人名称；</w:t>
      </w:r>
    </w:p>
    <w:p w14:paraId="06CA7E38">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29.7具体的异议事项、基本事实及必要的证明材料；</w:t>
      </w:r>
    </w:p>
    <w:p w14:paraId="7C36A984">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29.8明确的请求及主张；</w:t>
      </w:r>
    </w:p>
    <w:p w14:paraId="7D8540D3">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29.9提起异议的日期。</w:t>
      </w:r>
    </w:p>
    <w:p w14:paraId="5EA40A09">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异议人为法人或者其他组织的，应当由法定代表人或其委托代理人（需有委托授权书）签字并加盖公章。异议人需要修改、补充异议材料的，应当在异议期内提交修改或补充材料。</w:t>
      </w:r>
    </w:p>
    <w:p w14:paraId="51492324">
      <w:pPr>
        <w:ind w:firstLine="48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29.10代理机构异议函接收部门、联系电话和通讯地址，见参审单位须知前附表。</w:t>
      </w:r>
    </w:p>
    <w:p w14:paraId="4A799807">
      <w:pPr>
        <w:ind w:firstLine="482"/>
        <w:outlineLvl w:val="3"/>
        <w:rPr>
          <w:rFonts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30.需要补充的其他内容</w:t>
      </w:r>
    </w:p>
    <w:p w14:paraId="29CE6AA2">
      <w:pPr>
        <w:ind w:firstLine="480"/>
        <w:rPr>
          <w:rFonts w:asciiTheme="minorEastAsia" w:hAnsiTheme="minorEastAsia" w:eastAsiaTheme="minorEastAsia"/>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需要补充的其他内容，见供应商须知前附表</w:t>
      </w:r>
      <w:r>
        <w:rPr>
          <w:rFonts w:hint="eastAsia"/>
          <w:color w:val="000000" w:themeColor="text1"/>
          <w:highlight w:val="none"/>
          <w14:textFill>
            <w14:solidFill>
              <w14:schemeClr w14:val="tx1"/>
            </w14:solidFill>
          </w14:textFill>
        </w:rPr>
        <w:t>。</w:t>
      </w:r>
    </w:p>
    <w:p w14:paraId="63E0991F">
      <w:pPr>
        <w:ind w:firstLine="480"/>
        <w:rPr>
          <w:highlight w:val="none"/>
        </w:rPr>
      </w:pPr>
      <w:r>
        <w:rPr>
          <w:rFonts w:asciiTheme="minorEastAsia" w:hAnsiTheme="minorEastAsia" w:eastAsiaTheme="minorEastAsia"/>
          <w:highlight w:val="none"/>
        </w:rPr>
        <w:br w:type="page"/>
      </w:r>
    </w:p>
    <w:p w14:paraId="5826E77D">
      <w:pPr>
        <w:ind w:firstLine="562"/>
        <w:jc w:val="center"/>
        <w:outlineLvl w:val="1"/>
        <w:rPr>
          <w:rFonts w:hint="eastAsia" w:asciiTheme="minorEastAsia" w:hAnsiTheme="minorEastAsia" w:eastAsiaTheme="minorEastAsia"/>
          <w:b/>
          <w:sz w:val="28"/>
          <w:highlight w:val="green"/>
          <w:lang w:eastAsia="zh-CN"/>
        </w:rPr>
      </w:pPr>
      <w:bookmarkStart w:id="7" w:name="_Toc14866"/>
      <w:r>
        <w:rPr>
          <w:rFonts w:hint="eastAsia" w:asciiTheme="minorEastAsia" w:hAnsiTheme="minorEastAsia" w:eastAsiaTheme="minorEastAsia"/>
          <w:b/>
          <w:sz w:val="28"/>
          <w:highlight w:val="none"/>
        </w:rPr>
        <w:t>第三章  业主单位要求</w:t>
      </w:r>
      <w:bookmarkEnd w:id="7"/>
    </w:p>
    <w:p w14:paraId="4BE39323">
      <w:pPr>
        <w:ind w:firstLine="480"/>
        <w:rPr>
          <w:rFonts w:ascii="Times New Roman" w:hAnsi="Times New Roman"/>
          <w:szCs w:val="24"/>
          <w:highlight w:val="none"/>
        </w:rPr>
      </w:pPr>
      <w:bookmarkStart w:id="8" w:name="_Toc482188637"/>
      <w:r>
        <w:rPr>
          <w:rFonts w:hint="eastAsia" w:ascii="Times New Roman" w:hAnsi="Times New Roman"/>
          <w:szCs w:val="24"/>
          <w:highlight w:val="none"/>
        </w:rPr>
        <w:t>本说明中提出的技术方案仅为参考，如无明确限制，供应商可以进行优化，提供满足用户实际需要的更优（或者性能实质上不低于的）服务方案，且此方案须经磋商小组评审认可。</w:t>
      </w:r>
    </w:p>
    <w:bookmarkEnd w:id="8"/>
    <w:p w14:paraId="32B91568">
      <w:pPr>
        <w:pStyle w:val="5"/>
        <w:ind w:left="0" w:leftChars="0" w:firstLine="482" w:firstLineChars="200"/>
        <w:rPr>
          <w:rFonts w:hint="eastAsia" w:ascii="宋体" w:hAnsi="宋体" w:eastAsia="宋体" w:cs="宋体"/>
          <w:b/>
          <w:color w:val="000000"/>
          <w:sz w:val="24"/>
          <w:szCs w:val="24"/>
        </w:rPr>
      </w:pPr>
      <w:bookmarkStart w:id="9" w:name="_Toc3273"/>
      <w:bookmarkStart w:id="10" w:name="_Toc482188638"/>
      <w:r>
        <w:rPr>
          <w:rFonts w:hint="eastAsia" w:ascii="宋体" w:hAnsi="宋体" w:eastAsia="宋体" w:cs="宋体"/>
          <w:b/>
          <w:color w:val="000000" w:themeColor="text1"/>
          <w:sz w:val="24"/>
          <w:szCs w:val="24"/>
          <w:highlight w:val="none"/>
          <w14:textFill>
            <w14:solidFill>
              <w14:schemeClr w14:val="tx1"/>
            </w14:solidFill>
          </w14:textFill>
        </w:rPr>
        <w:t>一、供应商须知前附表</w:t>
      </w:r>
    </w:p>
    <w:tbl>
      <w:tblPr>
        <w:tblStyle w:val="15"/>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463"/>
        <w:gridCol w:w="6138"/>
      </w:tblGrid>
      <w:tr w14:paraId="1BCC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594C56F7">
            <w:pPr>
              <w:pStyle w:val="22"/>
              <w:widowControl w:val="0"/>
              <w:spacing w:before="0" w:beforeAutospacing="0" w:after="0" w:afterAutospacing="0" w:line="360" w:lineRule="auto"/>
              <w:jc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2"/>
                <w:sz w:val="24"/>
                <w:szCs w:val="24"/>
              </w:rPr>
              <w:t>序号</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7A2422B3">
            <w:pPr>
              <w:pStyle w:val="22"/>
              <w:widowControl w:val="0"/>
              <w:spacing w:before="0" w:beforeAutospacing="0" w:after="0" w:afterAutospacing="0" w:line="360" w:lineRule="auto"/>
              <w:jc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2"/>
                <w:sz w:val="24"/>
                <w:szCs w:val="24"/>
              </w:rPr>
              <w:t>条款名称</w:t>
            </w:r>
          </w:p>
        </w:tc>
        <w:tc>
          <w:tcPr>
            <w:tcW w:w="6138" w:type="dxa"/>
            <w:tcBorders>
              <w:top w:val="single" w:color="auto" w:sz="4" w:space="0"/>
              <w:left w:val="single" w:color="auto" w:sz="4" w:space="0"/>
              <w:bottom w:val="single" w:color="auto" w:sz="4" w:space="0"/>
              <w:right w:val="single" w:color="auto" w:sz="4" w:space="0"/>
            </w:tcBorders>
            <w:noWrap w:val="0"/>
            <w:vAlign w:val="center"/>
          </w:tcPr>
          <w:p w14:paraId="60B61FDD">
            <w:pPr>
              <w:pStyle w:val="22"/>
              <w:widowControl w:val="0"/>
              <w:spacing w:before="0" w:beforeAutospacing="0" w:after="0" w:afterAutospacing="0" w:line="360" w:lineRule="auto"/>
              <w:jc w:val="center"/>
              <w:rPr>
                <w:rFonts w:hint="eastAsia" w:ascii="宋体" w:hAnsi="宋体" w:eastAsia="宋体" w:cs="宋体"/>
                <w:b/>
                <w:bCs w:val="0"/>
                <w:color w:val="000000"/>
                <w:kern w:val="2"/>
                <w:sz w:val="24"/>
                <w:szCs w:val="24"/>
              </w:rPr>
            </w:pPr>
            <w:r>
              <w:rPr>
                <w:rFonts w:hint="eastAsia" w:ascii="宋体" w:hAnsi="宋体" w:eastAsia="宋体" w:cs="宋体"/>
                <w:b/>
                <w:bCs w:val="0"/>
                <w:color w:val="000000"/>
                <w:kern w:val="2"/>
                <w:sz w:val="24"/>
                <w:szCs w:val="24"/>
              </w:rPr>
              <w:t>内容、说明与要求</w:t>
            </w:r>
          </w:p>
        </w:tc>
      </w:tr>
      <w:tr w14:paraId="54D9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0020A63B">
            <w:pPr>
              <w:pStyle w:val="22"/>
              <w:widowControl w:val="0"/>
              <w:spacing w:before="0" w:beforeAutospacing="0" w:after="0" w:afterAutospacing="0" w:line="360" w:lineRule="auto"/>
              <w:jc w:val="center"/>
              <w:rPr>
                <w:rFonts w:hint="eastAsia" w:ascii="宋体" w:hAnsi="宋体" w:eastAsia="宋体" w:cs="宋体"/>
                <w:b/>
                <w:bCs w:val="0"/>
                <w:color w:val="000000"/>
                <w:kern w:val="2"/>
                <w:sz w:val="24"/>
                <w:szCs w:val="24"/>
                <w:lang w:val="en-US" w:eastAsia="zh-CN"/>
              </w:rPr>
            </w:pPr>
            <w:r>
              <w:rPr>
                <w:rFonts w:hint="eastAsia" w:cs="宋体"/>
                <w:b w:val="0"/>
                <w:bCs/>
                <w:color w:val="000000"/>
                <w:kern w:val="2"/>
                <w:sz w:val="24"/>
                <w:szCs w:val="24"/>
                <w:lang w:val="en-US" w:eastAsia="zh-CN"/>
              </w:rPr>
              <w:t>1</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46DCC138">
            <w:pPr>
              <w:pStyle w:val="22"/>
              <w:widowControl w:val="0"/>
              <w:spacing w:before="0" w:beforeAutospacing="0" w:after="0" w:afterAutospacing="0" w:line="360" w:lineRule="auto"/>
              <w:jc w:val="center"/>
              <w:rPr>
                <w:rFonts w:hint="eastAsia" w:ascii="宋体" w:hAnsi="宋体" w:eastAsia="宋体" w:cs="宋体"/>
                <w:b/>
                <w:bCs w:val="0"/>
                <w:color w:val="000000"/>
                <w:kern w:val="2"/>
                <w:sz w:val="24"/>
                <w:szCs w:val="24"/>
                <w:lang w:val="en-US" w:eastAsia="zh-CN"/>
              </w:rPr>
            </w:pPr>
            <w:r>
              <w:rPr>
                <w:rFonts w:hint="eastAsia" w:cs="宋体"/>
                <w:b w:val="0"/>
                <w:bCs/>
                <w:color w:val="000000"/>
                <w:kern w:val="2"/>
                <w:sz w:val="24"/>
                <w:szCs w:val="24"/>
                <w:lang w:val="en-US" w:eastAsia="zh-CN"/>
              </w:rPr>
              <w:t>付款方式</w:t>
            </w:r>
          </w:p>
        </w:tc>
        <w:tc>
          <w:tcPr>
            <w:tcW w:w="6138" w:type="dxa"/>
            <w:tcBorders>
              <w:top w:val="single" w:color="auto" w:sz="4" w:space="0"/>
              <w:left w:val="single" w:color="auto" w:sz="4" w:space="0"/>
              <w:bottom w:val="single" w:color="auto" w:sz="4" w:space="0"/>
              <w:right w:val="single" w:color="auto" w:sz="4" w:space="0"/>
            </w:tcBorders>
            <w:noWrap w:val="0"/>
            <w:vAlign w:val="center"/>
          </w:tcPr>
          <w:p w14:paraId="7056E079">
            <w:pPr>
              <w:pStyle w:val="22"/>
              <w:widowControl w:val="0"/>
              <w:spacing w:before="0" w:beforeAutospacing="0" w:after="0" w:afterAutospacing="0" w:line="360" w:lineRule="auto"/>
              <w:jc w:val="left"/>
              <w:rPr>
                <w:rFonts w:hint="eastAsia" w:ascii="宋体" w:hAnsi="宋体" w:eastAsia="宋体" w:cs="宋体"/>
                <w:b/>
                <w:bCs w:val="0"/>
                <w:color w:val="000000"/>
                <w:kern w:val="2"/>
                <w:sz w:val="24"/>
                <w:szCs w:val="24"/>
                <w:highlight w:val="none"/>
              </w:rPr>
            </w:pPr>
            <w:r>
              <w:rPr>
                <w:rFonts w:hint="eastAsia" w:ascii="宋体" w:hAnsi="宋体" w:eastAsia="宋体" w:cs="宋体"/>
                <w:lang w:val="en-US" w:eastAsia="zh-CN"/>
              </w:rPr>
              <w:t>本项目以人工投入为主，按月定期结算支付款项。</w:t>
            </w:r>
          </w:p>
        </w:tc>
      </w:tr>
      <w:tr w14:paraId="0BDF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3828A2A3">
            <w:pPr>
              <w:pStyle w:val="22"/>
              <w:widowControl w:val="0"/>
              <w:spacing w:before="0" w:beforeAutospacing="0" w:after="0" w:afterAutospacing="0" w:line="360" w:lineRule="auto"/>
              <w:jc w:val="center"/>
              <w:rPr>
                <w:rFonts w:hint="eastAsia" w:ascii="宋体" w:hAnsi="宋体" w:eastAsia="宋体" w:cs="宋体"/>
                <w:b w:val="0"/>
                <w:color w:val="000000"/>
                <w:kern w:val="2"/>
                <w:sz w:val="24"/>
                <w:szCs w:val="24"/>
                <w:lang w:eastAsia="zh-CN"/>
              </w:rPr>
            </w:pPr>
            <w:r>
              <w:rPr>
                <w:rFonts w:hint="eastAsia" w:cs="宋体"/>
                <w:b w:val="0"/>
                <w:color w:val="000000"/>
                <w:kern w:val="2"/>
                <w:sz w:val="24"/>
                <w:szCs w:val="24"/>
                <w:lang w:val="en-US" w:eastAsia="zh-CN"/>
              </w:rPr>
              <w:t>2</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66666028">
            <w:pPr>
              <w:pStyle w:val="22"/>
              <w:widowControl w:val="0"/>
              <w:spacing w:before="0" w:beforeAutospacing="0" w:after="0" w:afterAutospacing="0" w:line="360" w:lineRule="auto"/>
              <w:jc w:val="center"/>
              <w:rPr>
                <w:rFonts w:hint="eastAsia" w:ascii="宋体" w:hAnsi="宋体" w:eastAsia="宋体" w:cs="宋体"/>
                <w:b w:val="0"/>
                <w:color w:val="000000"/>
                <w:kern w:val="2"/>
                <w:sz w:val="24"/>
                <w:szCs w:val="24"/>
                <w:lang w:eastAsia="zh-CN"/>
              </w:rPr>
            </w:pPr>
            <w:r>
              <w:rPr>
                <w:rFonts w:hint="eastAsia" w:ascii="宋体" w:hAnsi="宋体" w:eastAsia="宋体" w:cs="宋体"/>
                <w:b w:val="0"/>
                <w:color w:val="000000"/>
                <w:kern w:val="2"/>
                <w:sz w:val="24"/>
                <w:szCs w:val="24"/>
                <w:highlight w:val="none"/>
              </w:rPr>
              <w:t>服务地点</w:t>
            </w:r>
          </w:p>
        </w:tc>
        <w:tc>
          <w:tcPr>
            <w:tcW w:w="6138" w:type="dxa"/>
            <w:tcBorders>
              <w:top w:val="single" w:color="auto" w:sz="4" w:space="0"/>
              <w:left w:val="single" w:color="auto" w:sz="4" w:space="0"/>
              <w:bottom w:val="single" w:color="auto" w:sz="4" w:space="0"/>
              <w:right w:val="single" w:color="auto" w:sz="4" w:space="0"/>
            </w:tcBorders>
            <w:noWrap w:val="0"/>
            <w:vAlign w:val="center"/>
          </w:tcPr>
          <w:p w14:paraId="747AA3E5">
            <w:pPr>
              <w:pStyle w:val="22"/>
              <w:widowControl w:val="0"/>
              <w:spacing w:before="0" w:beforeAutospacing="0" w:after="0" w:afterAutospacing="0" w:line="360" w:lineRule="auto"/>
              <w:jc w:val="both"/>
              <w:rPr>
                <w:rFonts w:hint="default"/>
                <w:lang w:val="en-US" w:eastAsia="zh-CN"/>
              </w:rPr>
            </w:pPr>
            <w:r>
              <w:rPr>
                <w:rFonts w:hint="eastAsia"/>
                <w:lang w:val="en-US" w:eastAsia="zh-CN"/>
              </w:rPr>
              <w:t>采购人指定地点</w:t>
            </w:r>
          </w:p>
        </w:tc>
      </w:tr>
      <w:tr w14:paraId="41CB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62C70E62">
            <w:pPr>
              <w:pStyle w:val="22"/>
              <w:widowControl w:val="0"/>
              <w:spacing w:before="0" w:beforeAutospacing="0" w:after="0" w:afterAutospacing="0" w:line="360" w:lineRule="auto"/>
              <w:jc w:val="center"/>
              <w:rPr>
                <w:rFonts w:hint="eastAsia" w:ascii="宋体" w:hAnsi="宋体" w:eastAsia="宋体" w:cs="宋体"/>
                <w:b w:val="0"/>
                <w:color w:val="000000"/>
                <w:kern w:val="2"/>
                <w:sz w:val="24"/>
                <w:szCs w:val="24"/>
                <w:lang w:eastAsia="zh-CN"/>
              </w:rPr>
            </w:pPr>
            <w:r>
              <w:rPr>
                <w:rFonts w:hint="eastAsia" w:cs="宋体"/>
                <w:b w:val="0"/>
                <w:color w:val="000000"/>
                <w:kern w:val="2"/>
                <w:sz w:val="24"/>
                <w:szCs w:val="24"/>
                <w:lang w:val="en-US" w:eastAsia="zh-CN"/>
              </w:rPr>
              <w:t>3</w:t>
            </w:r>
          </w:p>
        </w:tc>
        <w:tc>
          <w:tcPr>
            <w:tcW w:w="1463" w:type="dxa"/>
            <w:tcBorders>
              <w:top w:val="single" w:color="auto" w:sz="4" w:space="0"/>
              <w:left w:val="single" w:color="auto" w:sz="4" w:space="0"/>
              <w:bottom w:val="single" w:color="auto" w:sz="4" w:space="0"/>
              <w:right w:val="single" w:color="auto" w:sz="4" w:space="0"/>
            </w:tcBorders>
            <w:noWrap w:val="0"/>
            <w:vAlign w:val="center"/>
          </w:tcPr>
          <w:p w14:paraId="3DD76D6D">
            <w:pPr>
              <w:pStyle w:val="22"/>
              <w:widowControl w:val="0"/>
              <w:spacing w:before="0" w:beforeAutospacing="0" w:after="0" w:afterAutospacing="0" w:line="360" w:lineRule="auto"/>
              <w:jc w:val="center"/>
              <w:rPr>
                <w:rFonts w:hint="eastAsia" w:ascii="宋体" w:hAnsi="宋体" w:eastAsia="宋体" w:cs="宋体"/>
                <w:b w:val="0"/>
                <w:color w:val="000000"/>
                <w:kern w:val="2"/>
                <w:sz w:val="24"/>
                <w:szCs w:val="24"/>
              </w:rPr>
            </w:pPr>
            <w:r>
              <w:rPr>
                <w:rFonts w:hint="eastAsia" w:ascii="宋体" w:hAnsi="宋体" w:eastAsia="宋体" w:cs="宋体"/>
                <w:b w:val="0"/>
                <w:color w:val="000000"/>
                <w:kern w:val="2"/>
                <w:sz w:val="24"/>
                <w:szCs w:val="24"/>
              </w:rPr>
              <w:t>服务期限</w:t>
            </w:r>
          </w:p>
        </w:tc>
        <w:tc>
          <w:tcPr>
            <w:tcW w:w="6138" w:type="dxa"/>
            <w:tcBorders>
              <w:top w:val="single" w:color="auto" w:sz="4" w:space="0"/>
              <w:left w:val="single" w:color="auto" w:sz="4" w:space="0"/>
              <w:bottom w:val="single" w:color="auto" w:sz="4" w:space="0"/>
              <w:right w:val="single" w:color="auto" w:sz="4" w:space="0"/>
            </w:tcBorders>
            <w:noWrap w:val="0"/>
            <w:vAlign w:val="center"/>
          </w:tcPr>
          <w:p w14:paraId="7E4704CB">
            <w:pPr>
              <w:pStyle w:val="22"/>
              <w:widowControl w:val="0"/>
              <w:spacing w:before="0" w:beforeAutospacing="0" w:after="0" w:afterAutospacing="0" w:line="360" w:lineRule="auto"/>
              <w:jc w:val="both"/>
              <w:rPr>
                <w:rFonts w:hint="default" w:ascii="宋体" w:hAnsi="宋体" w:eastAsia="宋体" w:cs="宋体"/>
                <w:b w:val="0"/>
                <w:color w:val="000000"/>
                <w:kern w:val="2"/>
                <w:sz w:val="24"/>
                <w:szCs w:val="24"/>
                <w:highlight w:val="none"/>
                <w:lang w:val="en-US" w:eastAsia="zh-CN"/>
              </w:rPr>
            </w:pPr>
            <w:r>
              <w:rPr>
                <w:rFonts w:hint="eastAsia" w:ascii="宋体" w:hAnsi="宋体" w:eastAsia="宋体" w:cs="宋体"/>
                <w:b w:val="0"/>
                <w:bCs/>
                <w:color w:val="auto"/>
                <w:kern w:val="0"/>
                <w:sz w:val="24"/>
                <w:szCs w:val="24"/>
                <w:u w:val="none"/>
                <w:lang w:val="en-US" w:eastAsia="zh-CN" w:bidi="ar-SA"/>
              </w:rPr>
              <w:t>本次合同服务期限一年</w:t>
            </w:r>
            <w:r>
              <w:rPr>
                <w:rFonts w:hint="eastAsia" w:eastAsia="宋体" w:cs="宋体"/>
                <w:b w:val="0"/>
                <w:bCs/>
                <w:color w:val="auto"/>
                <w:kern w:val="0"/>
                <w:sz w:val="24"/>
                <w:szCs w:val="24"/>
                <w:u w:val="none"/>
                <w:lang w:val="en-US" w:eastAsia="zh-CN" w:bidi="ar-SA"/>
              </w:rPr>
              <w:t>(以实际进场开展实质性服务时间为准。)</w:t>
            </w:r>
            <w:r>
              <w:rPr>
                <w:rFonts w:hint="eastAsia" w:ascii="宋体" w:hAnsi="宋体" w:eastAsia="宋体" w:cs="宋体"/>
                <w:b w:val="0"/>
                <w:bCs/>
                <w:color w:val="auto"/>
                <w:kern w:val="0"/>
                <w:sz w:val="24"/>
                <w:szCs w:val="24"/>
                <w:u w:val="none"/>
                <w:lang w:val="en-US" w:eastAsia="zh-CN" w:bidi="ar-SA"/>
              </w:rPr>
              <w:t>。如合同履约情况良好，经采购人考核合格，且在资金能保障的前提下，经双方协商同意，可续签下一年合同，合同一年一签，最多续签2年。采购人与</w:t>
            </w:r>
            <w:r>
              <w:rPr>
                <w:rFonts w:hint="eastAsia" w:cs="宋体"/>
                <w:b w:val="0"/>
                <w:bCs/>
                <w:color w:val="auto"/>
                <w:kern w:val="0"/>
                <w:sz w:val="24"/>
                <w:szCs w:val="24"/>
                <w:u w:val="none"/>
                <w:lang w:val="en-US" w:eastAsia="zh-CN" w:bidi="ar-SA"/>
              </w:rPr>
              <w:t>成交供应商</w:t>
            </w:r>
            <w:r>
              <w:rPr>
                <w:rFonts w:hint="eastAsia" w:ascii="宋体" w:hAnsi="宋体" w:eastAsia="宋体" w:cs="宋体"/>
                <w:b w:val="0"/>
                <w:bCs/>
                <w:color w:val="auto"/>
                <w:kern w:val="0"/>
                <w:sz w:val="24"/>
                <w:szCs w:val="24"/>
                <w:u w:val="none"/>
                <w:lang w:val="en-US" w:eastAsia="zh-CN" w:bidi="ar-SA"/>
              </w:rPr>
              <w:t>有任何一方不同意续签，合同不予续签。</w:t>
            </w:r>
          </w:p>
        </w:tc>
      </w:tr>
      <w:bookmarkEnd w:id="9"/>
    </w:tbl>
    <w:p w14:paraId="0C5D8E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07E0146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color w:val="000000"/>
          <w:sz w:val="24"/>
          <w:szCs w:val="24"/>
          <w:lang w:val="en-US" w:eastAsia="zh-CN"/>
        </w:rPr>
        <w:t>肥西县公安局3个独立办公及执法场所，分布于全县各乡镇驻地，具体包括：局机关、看守所、拘留所，建筑总面积25000平方米。3个独立办公场所的卫生间保洁区域。</w:t>
      </w:r>
    </w:p>
    <w:p w14:paraId="05A3615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三、服务需求</w:t>
      </w:r>
    </w:p>
    <w:p w14:paraId="1CA581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sz w:val="24"/>
          <w:szCs w:val="24"/>
          <w:highlight w:val="none"/>
        </w:rPr>
      </w:pPr>
      <w:r>
        <w:rPr>
          <w:rFonts w:hint="eastAsia" w:cs="宋体"/>
          <w:sz w:val="24"/>
          <w:szCs w:val="24"/>
          <w:highlight w:val="none"/>
          <w:lang w:val="en-US" w:eastAsia="zh-CN"/>
        </w:rPr>
        <w:t>1、</w:t>
      </w:r>
      <w:r>
        <w:rPr>
          <w:rFonts w:hint="eastAsia" w:ascii="宋体" w:hAnsi="宋体" w:eastAsia="宋体" w:cs="宋体"/>
          <w:b/>
          <w:bCs/>
          <w:sz w:val="24"/>
          <w:szCs w:val="24"/>
          <w:highlight w:val="none"/>
        </w:rPr>
        <w:t>室内区域保洁</w:t>
      </w:r>
    </w:p>
    <w:p w14:paraId="276C6E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卫生间：全天候循环保洁，每</w:t>
      </w:r>
      <w:r>
        <w:rPr>
          <w:rFonts w:ascii="宋体" w:hAnsi="宋体" w:eastAsia="宋体" w:cs="宋体"/>
          <w:sz w:val="24"/>
          <w:szCs w:val="24"/>
          <w:highlight w:val="none"/>
        </w:rPr>
        <w:t>2</w:t>
      </w:r>
      <w:r>
        <w:rPr>
          <w:rFonts w:hint="eastAsia" w:ascii="宋体" w:hAnsi="宋体" w:eastAsia="宋体" w:cs="宋体"/>
          <w:sz w:val="24"/>
          <w:szCs w:val="24"/>
          <w:highlight w:val="none"/>
        </w:rPr>
        <w:t>小时巡查清洁一次，及时冲刷洁具、清理垃圾、擦拭台面镜面；定时消毒除臭，补充洗手液、纸巾等耗材；保持地面干燥无积水、无污渍、无异味，洁具干净无污垢、无黄渍，下水通畅无堵塞。</w:t>
      </w:r>
    </w:p>
    <w:p w14:paraId="27E74962">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b/>
          <w:bCs/>
          <w:sz w:val="24"/>
          <w:szCs w:val="24"/>
          <w:highlight w:val="none"/>
        </w:rPr>
      </w:pPr>
      <w:r>
        <w:rPr>
          <w:rFonts w:hint="eastAsia" w:cs="宋体"/>
          <w:sz w:val="24"/>
          <w:szCs w:val="24"/>
          <w:highlight w:val="none"/>
          <w:lang w:val="en-US" w:eastAsia="zh-CN"/>
        </w:rPr>
        <w:t>2、</w:t>
      </w:r>
      <w:r>
        <w:rPr>
          <w:rFonts w:hint="eastAsia" w:ascii="宋体" w:hAnsi="宋体" w:eastAsia="宋体" w:cs="宋体"/>
          <w:b/>
          <w:bCs/>
          <w:sz w:val="24"/>
          <w:szCs w:val="24"/>
          <w:highlight w:val="none"/>
        </w:rPr>
        <w:t>公共及室外区域保洁</w:t>
      </w:r>
    </w:p>
    <w:p w14:paraId="50D3AE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highlight w:val="yellow"/>
          <w:lang w:val="en-US" w:eastAsia="zh-CN"/>
        </w:rPr>
      </w:pPr>
      <w:r>
        <w:rPr>
          <w:rFonts w:hint="eastAsia" w:ascii="宋体" w:hAnsi="宋体" w:eastAsia="宋体" w:cs="宋体"/>
          <w:sz w:val="24"/>
          <w:szCs w:val="24"/>
          <w:highlight w:val="none"/>
        </w:rPr>
        <w:t>包含大院庭院、主干道、人行道、绿化带边缘、宣传栏、门禁区域、公共休闲区域、地下车库、楼梯通道、消防通道等。日常清扫路面杂物、落叶、垃圾、砂石；清理墙面、地面乱贴乱画、污渍；雨天及时清理积水、泥泞，冬季配合清扫积雪、积冰；地下车库定期清扫、除尘、拖洗，清理车位杂物、地面油污，保持通道畅通整洁。</w:t>
      </w:r>
    </w:p>
    <w:p w14:paraId="23ED08E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rPr>
      </w:pPr>
      <w:bookmarkStart w:id="11" w:name="heading_7"/>
      <w:r>
        <w:rPr>
          <w:rFonts w:hint="eastAsia" w:ascii="宋体" w:hAnsi="宋体" w:eastAsia="宋体" w:cs="宋体"/>
          <w:b/>
          <w:bCs/>
          <w:sz w:val="24"/>
          <w:szCs w:val="24"/>
        </w:rPr>
        <w:t>四、服务标准</w:t>
      </w:r>
      <w:bookmarkEnd w:id="11"/>
    </w:p>
    <w:p w14:paraId="0F4BE8EF">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rPr>
      </w:pPr>
      <w:bookmarkStart w:id="12" w:name="heading_8"/>
      <w:r>
        <w:rPr>
          <w:rFonts w:ascii="宋体" w:hAnsi="宋体" w:eastAsia="宋体" w:cs="宋体"/>
          <w:b/>
          <w:bCs/>
          <w:sz w:val="24"/>
          <w:szCs w:val="24"/>
        </w:rPr>
        <w:t xml:space="preserve">4.1 </w:t>
      </w:r>
      <w:r>
        <w:rPr>
          <w:rFonts w:hint="eastAsia" w:ascii="宋体" w:hAnsi="宋体" w:eastAsia="宋体" w:cs="宋体"/>
          <w:b/>
          <w:bCs/>
          <w:sz w:val="24"/>
          <w:szCs w:val="24"/>
        </w:rPr>
        <w:t>通用卫生标准</w:t>
      </w:r>
      <w:bookmarkEnd w:id="12"/>
    </w:p>
    <w:p w14:paraId="50F964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1</w:t>
      </w:r>
      <w:r>
        <w:rPr>
          <w:rFonts w:hint="eastAsia" w:ascii="宋体" w:hAnsi="宋体" w:eastAsia="宋体" w:cs="宋体"/>
          <w:sz w:val="24"/>
          <w:szCs w:val="24"/>
        </w:rPr>
        <w:t>、整体环境：无垃圾、无杂物、无积尘、无蛛网、无污渍、无积水、无异味，卫生死角彻底清零；</w:t>
      </w:r>
    </w:p>
    <w:p w14:paraId="0077F2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hint="eastAsia" w:cs="宋体"/>
          <w:sz w:val="24"/>
          <w:szCs w:val="24"/>
          <w:lang w:val="en-US" w:eastAsia="zh-CN"/>
        </w:rPr>
        <w:t>2</w:t>
      </w:r>
      <w:r>
        <w:rPr>
          <w:rFonts w:hint="eastAsia" w:ascii="宋体" w:hAnsi="宋体" w:eastAsia="宋体" w:cs="宋体"/>
          <w:sz w:val="24"/>
          <w:szCs w:val="24"/>
        </w:rPr>
        <w:t>、垃圾收纳：垃圾桶干净无异味、无溢出，垃圾袋规整统一，垃圾日产日清、分类规范。</w:t>
      </w:r>
    </w:p>
    <w:p w14:paraId="1C4723C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rPr>
      </w:pPr>
      <w:bookmarkStart w:id="13" w:name="heading_9"/>
      <w:r>
        <w:rPr>
          <w:rFonts w:ascii="宋体" w:hAnsi="宋体" w:eastAsia="宋体" w:cs="宋体"/>
          <w:b/>
          <w:bCs/>
          <w:sz w:val="24"/>
          <w:szCs w:val="24"/>
        </w:rPr>
        <w:t xml:space="preserve">4.2 </w:t>
      </w:r>
      <w:r>
        <w:rPr>
          <w:rFonts w:hint="eastAsia" w:ascii="宋体" w:hAnsi="宋体" w:eastAsia="宋体" w:cs="宋体"/>
          <w:b/>
          <w:bCs/>
          <w:sz w:val="24"/>
          <w:szCs w:val="24"/>
        </w:rPr>
        <w:t>重点区域专项标准</w:t>
      </w:r>
      <w:bookmarkEnd w:id="13"/>
    </w:p>
    <w:p w14:paraId="6A0C29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sz w:val="24"/>
          <w:szCs w:val="24"/>
          <w:highlight w:val="none"/>
          <w:lang w:val="en-US" w:eastAsia="zh-CN"/>
        </w:rPr>
        <w:t>1、</w:t>
      </w:r>
      <w:r>
        <w:rPr>
          <w:rFonts w:hint="eastAsia" w:ascii="宋体" w:hAnsi="宋体" w:eastAsia="宋体" w:cs="宋体"/>
          <w:sz w:val="24"/>
          <w:szCs w:val="24"/>
          <w:highlight w:val="none"/>
        </w:rPr>
        <w:t>卫生间：无异味、无污垢、无积水、无蚊虫，洁具光亮洁净，地面干燥防滑，耗材摆放整齐、补给及时，消毒记录完整；</w:t>
      </w:r>
    </w:p>
    <w:p w14:paraId="2DF741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highlight w:val="yellow"/>
        </w:rPr>
      </w:pPr>
      <w:r>
        <w:rPr>
          <w:rFonts w:hint="eastAsia" w:cs="宋体"/>
          <w:sz w:val="24"/>
          <w:szCs w:val="24"/>
          <w:highlight w:val="none"/>
          <w:lang w:val="en-US" w:eastAsia="zh-CN"/>
        </w:rPr>
        <w:t>2、</w:t>
      </w:r>
      <w:r>
        <w:rPr>
          <w:rFonts w:hint="eastAsia" w:ascii="宋体" w:hAnsi="宋体" w:eastAsia="宋体" w:cs="宋体"/>
          <w:sz w:val="24"/>
          <w:szCs w:val="24"/>
          <w:highlight w:val="none"/>
        </w:rPr>
        <w:t>室外区域：路面干净无落叶、垃圾、砂石，绿化带边缘无白色垃圾，车库无油污、无杂物，通道整洁通畅。</w:t>
      </w:r>
    </w:p>
    <w:p w14:paraId="7CE8C4C7">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rPr>
      </w:pPr>
      <w:bookmarkStart w:id="14" w:name="heading_10"/>
      <w:r>
        <w:rPr>
          <w:rFonts w:ascii="宋体" w:hAnsi="宋体" w:eastAsia="宋体" w:cs="宋体"/>
          <w:b/>
          <w:bCs/>
          <w:sz w:val="24"/>
          <w:szCs w:val="24"/>
        </w:rPr>
        <w:t xml:space="preserve">4.3 </w:t>
      </w:r>
      <w:r>
        <w:rPr>
          <w:rFonts w:hint="eastAsia" w:ascii="宋体" w:hAnsi="宋体" w:eastAsia="宋体" w:cs="宋体"/>
          <w:b/>
          <w:bCs/>
          <w:sz w:val="24"/>
          <w:szCs w:val="24"/>
        </w:rPr>
        <w:t>保密及纪律标准</w:t>
      </w:r>
      <w:bookmarkEnd w:id="14"/>
    </w:p>
    <w:p w14:paraId="0608C2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1</w:t>
      </w:r>
      <w:r>
        <w:rPr>
          <w:rFonts w:hint="eastAsia" w:ascii="宋体" w:hAnsi="宋体" w:eastAsia="宋体" w:cs="宋体"/>
          <w:sz w:val="24"/>
          <w:szCs w:val="24"/>
        </w:rPr>
        <w:t>、所有服务人员必须严格遵守《中华人民共和国保守国家秘密法》及公安机关保密管理制度，严禁窥探、询问、记录、传播、拍摄、留存单位工作信息、文件资料、警务动态、人员信息等涉密内容；</w:t>
      </w:r>
    </w:p>
    <w:p w14:paraId="76ED1A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2</w:t>
      </w:r>
      <w:r>
        <w:rPr>
          <w:rFonts w:hint="eastAsia" w:ascii="宋体" w:hAnsi="宋体" w:eastAsia="宋体" w:cs="宋体"/>
          <w:sz w:val="24"/>
          <w:szCs w:val="24"/>
        </w:rPr>
        <w:t>、保洁作业中发现涉密文件、资料、设备，严禁触碰、翻看、拍照，第一时间原地报备采购人管理人员；</w:t>
      </w:r>
    </w:p>
    <w:p w14:paraId="270E9C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3</w:t>
      </w:r>
      <w:r>
        <w:rPr>
          <w:rFonts w:hint="eastAsia" w:ascii="宋体" w:hAnsi="宋体" w:eastAsia="宋体" w:cs="宋体"/>
          <w:sz w:val="24"/>
          <w:szCs w:val="24"/>
        </w:rPr>
        <w:t>、未经允许不得进入涉密办公区域、不得随意翻阅办公文件、不得使用办公设备、不得私自拍摄单位内部场景、不得对外泄露单位内部情况；</w:t>
      </w:r>
    </w:p>
    <w:p w14:paraId="408C54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4</w:t>
      </w:r>
      <w:r>
        <w:rPr>
          <w:rFonts w:hint="eastAsia" w:ascii="宋体" w:hAnsi="宋体" w:eastAsia="宋体" w:cs="宋体"/>
          <w:sz w:val="24"/>
          <w:szCs w:val="24"/>
        </w:rPr>
        <w:t>、服务人员上岗全程服从公安机关内部管理，严格落实出入登记、安检、值守制度，作息规范、言行文明。</w:t>
      </w:r>
    </w:p>
    <w:p w14:paraId="154C139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rPr>
      </w:pPr>
      <w:bookmarkStart w:id="15" w:name="heading_11"/>
      <w:r>
        <w:rPr>
          <w:rFonts w:hint="eastAsia" w:ascii="宋体" w:hAnsi="宋体" w:eastAsia="宋体" w:cs="宋体"/>
          <w:b/>
          <w:bCs/>
          <w:sz w:val="24"/>
          <w:szCs w:val="24"/>
        </w:rPr>
        <w:t>五、服务人员配置要求</w:t>
      </w:r>
      <w:bookmarkEnd w:id="15"/>
    </w:p>
    <w:p w14:paraId="0379B2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须根据办公区域面积、岗位需求，足额配置全职、稳定、合规的保洁人员，确保全天候在岗服务，具体要求如下：</w:t>
      </w:r>
    </w:p>
    <w:p w14:paraId="4F9023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highlight w:val="none"/>
        </w:rPr>
        <w:t>1</w:t>
      </w:r>
      <w:r>
        <w:rPr>
          <w:rFonts w:hint="eastAsia" w:ascii="宋体" w:hAnsi="宋体" w:eastAsia="宋体" w:cs="宋体"/>
          <w:sz w:val="24"/>
          <w:szCs w:val="24"/>
          <w:highlight w:val="none"/>
        </w:rPr>
        <w:t>、人员数量：根据项目场地规模及保洁作业需求，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须配置</w:t>
      </w:r>
      <w:r>
        <w:rPr>
          <w:rFonts w:hint="eastAsia" w:ascii="宋体" w:hAnsi="宋体" w:eastAsia="宋体" w:cs="宋体"/>
          <w:b/>
          <w:bCs/>
          <w:sz w:val="24"/>
          <w:szCs w:val="24"/>
          <w:highlight w:val="none"/>
        </w:rPr>
        <w:t>不少于</w:t>
      </w:r>
      <w:r>
        <w:rPr>
          <w:rFonts w:hint="eastAsia" w:cs="宋体"/>
          <w:b/>
          <w:bCs/>
          <w:sz w:val="24"/>
          <w:szCs w:val="24"/>
          <w:highlight w:val="none"/>
          <w:lang w:val="en-US" w:eastAsia="zh-CN"/>
        </w:rPr>
        <w:t>8</w:t>
      </w:r>
      <w:r>
        <w:rPr>
          <w:rFonts w:hint="eastAsia" w:ascii="宋体" w:hAnsi="宋体" w:eastAsia="宋体" w:cs="宋体"/>
          <w:b/>
          <w:bCs/>
          <w:sz w:val="24"/>
          <w:szCs w:val="24"/>
          <w:highlight w:val="none"/>
        </w:rPr>
        <w:t>名</w:t>
      </w:r>
      <w:r>
        <w:rPr>
          <w:rFonts w:hint="eastAsia" w:ascii="宋体" w:hAnsi="宋体" w:eastAsia="宋体" w:cs="宋体"/>
          <w:sz w:val="24"/>
          <w:szCs w:val="24"/>
          <w:highlight w:val="none"/>
        </w:rPr>
        <w:t>专职保洁人员，服务期内</w:t>
      </w:r>
      <w:r>
        <w:rPr>
          <w:rFonts w:hint="eastAsia" w:ascii="宋体" w:hAnsi="宋体" w:eastAsia="宋体" w:cs="宋体"/>
          <w:sz w:val="24"/>
          <w:szCs w:val="24"/>
        </w:rPr>
        <w:t>严禁长期缺岗、空岗、人员不足。</w:t>
      </w:r>
    </w:p>
    <w:p w14:paraId="3CFE23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2</w:t>
      </w:r>
      <w:r>
        <w:rPr>
          <w:rFonts w:hint="eastAsia" w:ascii="宋体" w:hAnsi="宋体" w:eastAsia="宋体" w:cs="宋体"/>
          <w:sz w:val="24"/>
          <w:szCs w:val="24"/>
        </w:rPr>
        <w:t>、人员基本条件：男女不限，身体健康、无传染病、无精神类疾病、无纹身、无不良嗜好、无违法犯罪记录、无涉毒涉赌前科，经采购人政审核查合格。所有上岗人员须提供有效期内个人无犯罪记录证明、正规医院健康体检报告，入职资料齐全方可上岗。</w:t>
      </w:r>
    </w:p>
    <w:p w14:paraId="24B058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ascii="宋体" w:hAnsi="宋体" w:eastAsia="宋体" w:cs="宋体"/>
          <w:sz w:val="24"/>
          <w:szCs w:val="24"/>
        </w:rPr>
        <w:t>3</w:t>
      </w:r>
      <w:r>
        <w:rPr>
          <w:rFonts w:hint="eastAsia" w:ascii="宋体" w:hAnsi="宋体" w:eastAsia="宋体" w:cs="宋体"/>
          <w:sz w:val="24"/>
          <w:szCs w:val="24"/>
        </w:rPr>
        <w:t>、</w:t>
      </w:r>
      <w:r>
        <w:rPr>
          <w:rFonts w:hint="eastAsia" w:cs="宋体"/>
          <w:sz w:val="24"/>
          <w:szCs w:val="24"/>
          <w:lang w:val="en-US" w:eastAsia="zh-CN"/>
        </w:rPr>
        <w:t>资格</w:t>
      </w:r>
      <w:r>
        <w:rPr>
          <w:rFonts w:hint="eastAsia" w:ascii="宋体" w:hAnsi="宋体" w:eastAsia="宋体" w:cs="宋体"/>
          <w:sz w:val="24"/>
          <w:szCs w:val="24"/>
        </w:rPr>
        <w:t>及培训要求：上岗前必须完成公安机关纪律、保密制度、服务规范、安全操作、垃圾分类、消毒防疫专项培训，培训合格后方可上岗</w:t>
      </w:r>
      <w:r>
        <w:rPr>
          <w:rFonts w:hint="eastAsia" w:cs="宋体"/>
          <w:sz w:val="24"/>
          <w:szCs w:val="24"/>
          <w:lang w:eastAsia="zh-CN"/>
        </w:rPr>
        <w:t>。</w:t>
      </w:r>
    </w:p>
    <w:p w14:paraId="69A08F5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ascii="宋体" w:hAnsi="宋体" w:eastAsia="宋体" w:cs="宋体"/>
          <w:sz w:val="24"/>
          <w:szCs w:val="24"/>
        </w:rPr>
        <w:t>4</w:t>
      </w:r>
      <w:r>
        <w:rPr>
          <w:rFonts w:hint="eastAsia" w:ascii="宋体" w:hAnsi="宋体" w:eastAsia="宋体" w:cs="宋体"/>
          <w:sz w:val="24"/>
          <w:szCs w:val="24"/>
        </w:rPr>
        <w:t>、人员管理要求：所有人员统一着装、佩戴工牌，仪容整洁、言行文明，遵守单位规章制度；人员变动须提前</w:t>
      </w:r>
      <w:r>
        <w:rPr>
          <w:rFonts w:ascii="宋体" w:hAnsi="宋体" w:eastAsia="宋体" w:cs="宋体"/>
          <w:sz w:val="24"/>
          <w:szCs w:val="24"/>
        </w:rPr>
        <w:t>7</w:t>
      </w:r>
      <w:r>
        <w:rPr>
          <w:rFonts w:hint="eastAsia" w:ascii="宋体" w:hAnsi="宋体" w:eastAsia="宋体" w:cs="宋体"/>
          <w:sz w:val="24"/>
          <w:szCs w:val="24"/>
        </w:rPr>
        <w:t>个工作日报备采购人，经审核同意后方可更换，严禁私自换人、临时顶岗；建立人员台账，实名登记、动态管理。</w:t>
      </w:r>
    </w:p>
    <w:p w14:paraId="3E6600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ascii="宋体" w:hAnsi="宋体" w:eastAsia="宋体" w:cs="宋体"/>
          <w:sz w:val="24"/>
          <w:szCs w:val="24"/>
        </w:rPr>
        <w:t>5</w:t>
      </w:r>
      <w:r>
        <w:rPr>
          <w:rFonts w:hint="eastAsia" w:ascii="宋体" w:hAnsi="宋体" w:eastAsia="宋体" w:cs="宋体"/>
          <w:sz w:val="24"/>
          <w:szCs w:val="24"/>
        </w:rPr>
        <w:t>、纪律要求：严禁在岗闲聊、玩手机、脱岗、串岗、私自会客；严禁私自挪用、损坏单位财物；严禁带无关人员进入办公区域。</w:t>
      </w:r>
    </w:p>
    <w:p w14:paraId="78851A0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pPr>
      <w:bookmarkStart w:id="16" w:name="_Toc25137"/>
      <w:r>
        <w:rPr>
          <w:rFonts w:hint="eastAsia" w:ascii="宋体" w:hAnsi="宋体" w:eastAsia="宋体" w:cs="宋体"/>
          <w:b/>
          <w:bCs/>
          <w:color w:val="000000"/>
          <w:kern w:val="21"/>
          <w:sz w:val="24"/>
          <w:szCs w:val="24"/>
          <w:highlight w:val="none"/>
        </w:rPr>
        <w:t>注：以上人员要求，除评分细则中要求提供的人员相关证明材料作为评分条件以外，</w:t>
      </w:r>
      <w:r>
        <w:rPr>
          <w:rFonts w:hint="eastAsia" w:ascii="宋体" w:hAnsi="宋体" w:eastAsia="宋体" w:cs="宋体"/>
          <w:b/>
          <w:bCs/>
          <w:color w:val="000000"/>
          <w:kern w:val="21"/>
          <w:sz w:val="24"/>
          <w:szCs w:val="24"/>
          <w:highlight w:val="none"/>
          <w:lang w:eastAsia="zh-CN"/>
        </w:rPr>
        <w:t>响应文件</w:t>
      </w:r>
      <w:r>
        <w:rPr>
          <w:rFonts w:hint="eastAsia" w:ascii="宋体" w:hAnsi="宋体" w:eastAsia="宋体" w:cs="宋体"/>
          <w:b/>
          <w:bCs/>
          <w:color w:val="000000"/>
          <w:kern w:val="21"/>
          <w:sz w:val="24"/>
          <w:szCs w:val="24"/>
          <w:highlight w:val="none"/>
        </w:rPr>
        <w:t>中无须提供其余人员相关证明材料，合同签订后服务实施前由采购人负责核查，若不符合</w:t>
      </w:r>
      <w:r>
        <w:rPr>
          <w:rFonts w:hint="eastAsia" w:ascii="宋体" w:hAnsi="宋体" w:eastAsia="宋体" w:cs="宋体"/>
          <w:b/>
          <w:bCs/>
          <w:color w:val="000000"/>
          <w:kern w:val="21"/>
          <w:sz w:val="24"/>
          <w:szCs w:val="24"/>
          <w:highlight w:val="none"/>
          <w:lang w:eastAsia="zh-CN"/>
        </w:rPr>
        <w:t>磋商文件</w:t>
      </w:r>
      <w:r>
        <w:rPr>
          <w:rFonts w:hint="eastAsia" w:ascii="宋体" w:hAnsi="宋体" w:eastAsia="宋体" w:cs="宋体"/>
          <w:b/>
          <w:bCs/>
          <w:color w:val="000000"/>
          <w:kern w:val="21"/>
          <w:sz w:val="24"/>
          <w:szCs w:val="24"/>
          <w:highlight w:val="none"/>
        </w:rPr>
        <w:t>要求，采购人有权报监督管理部门进行处理。</w:t>
      </w:r>
      <w:bookmarkEnd w:id="16"/>
    </w:p>
    <w:p w14:paraId="09FAD27E">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sz w:val="24"/>
          <w:szCs w:val="24"/>
        </w:rPr>
      </w:pPr>
      <w:bookmarkStart w:id="17" w:name="heading_12"/>
      <w:r>
        <w:rPr>
          <w:rFonts w:hint="eastAsia" w:ascii="宋体" w:hAnsi="宋体" w:eastAsia="宋体" w:cs="宋体"/>
          <w:b/>
          <w:bCs/>
          <w:sz w:val="24"/>
          <w:szCs w:val="24"/>
        </w:rPr>
        <w:t>六、设备、耗材及物资要求</w:t>
      </w:r>
      <w:bookmarkEnd w:id="17"/>
    </w:p>
    <w:p w14:paraId="732E34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hint="eastAsia" w:ascii="宋体" w:hAnsi="宋体" w:eastAsia="宋体" w:cs="宋体"/>
          <w:sz w:val="24"/>
          <w:szCs w:val="24"/>
        </w:rPr>
        <w:t>采购人提供保洁工具、耗材及设备。</w:t>
      </w:r>
    </w:p>
    <w:p w14:paraId="053BE58B">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rPr>
      </w:pPr>
      <w:bookmarkStart w:id="18" w:name="heading_13"/>
      <w:r>
        <w:rPr>
          <w:rFonts w:hint="eastAsia" w:ascii="宋体" w:hAnsi="宋体" w:eastAsia="宋体" w:cs="宋体"/>
          <w:b/>
          <w:bCs/>
          <w:sz w:val="24"/>
          <w:szCs w:val="24"/>
        </w:rPr>
        <w:t>七、服务时间要求</w:t>
      </w:r>
      <w:bookmarkEnd w:id="18"/>
    </w:p>
    <w:p w14:paraId="098FE8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hint="eastAsia" w:ascii="宋体" w:hAnsi="宋体" w:eastAsia="宋体" w:cs="宋体"/>
          <w:sz w:val="24"/>
          <w:szCs w:val="24"/>
        </w:rPr>
        <w:t>日常服务时间：工作日上午</w:t>
      </w:r>
      <w:r>
        <w:rPr>
          <w:rFonts w:ascii="宋体" w:hAnsi="宋体" w:eastAsia="宋体" w:cs="宋体"/>
          <w:sz w:val="24"/>
          <w:szCs w:val="24"/>
        </w:rPr>
        <w:t>7:30-12:00</w:t>
      </w:r>
      <w:r>
        <w:rPr>
          <w:rFonts w:hint="eastAsia" w:ascii="宋体" w:hAnsi="宋体" w:eastAsia="宋体" w:cs="宋体"/>
          <w:sz w:val="24"/>
          <w:szCs w:val="24"/>
        </w:rPr>
        <w:t>，下午</w:t>
      </w:r>
      <w:r>
        <w:rPr>
          <w:rFonts w:ascii="宋体" w:hAnsi="宋体" w:eastAsia="宋体" w:cs="宋体"/>
          <w:sz w:val="24"/>
          <w:szCs w:val="24"/>
        </w:rPr>
        <w:t>14:00-18:00</w:t>
      </w:r>
      <w:r>
        <w:rPr>
          <w:rFonts w:hint="eastAsia" w:ascii="宋体" w:hAnsi="宋体" w:eastAsia="宋体" w:cs="宋体"/>
          <w:sz w:val="24"/>
          <w:szCs w:val="24"/>
        </w:rPr>
        <w:t>，全程在岗保洁、巡回维护；</w:t>
      </w:r>
    </w:p>
    <w:p w14:paraId="5906A88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rPr>
      </w:pPr>
      <w:bookmarkStart w:id="19" w:name="heading_14"/>
      <w:r>
        <w:rPr>
          <w:rFonts w:hint="eastAsia" w:ascii="宋体" w:hAnsi="宋体" w:eastAsia="宋体" w:cs="宋体"/>
          <w:b/>
          <w:bCs/>
          <w:sz w:val="24"/>
          <w:szCs w:val="24"/>
        </w:rPr>
        <w:t>八、考核管理及验收标准</w:t>
      </w:r>
      <w:bookmarkEnd w:id="19"/>
    </w:p>
    <w:p w14:paraId="254B8A5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rPr>
      </w:pPr>
      <w:bookmarkStart w:id="20" w:name="heading_15"/>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日常考核</w:t>
      </w:r>
      <w:bookmarkEnd w:id="20"/>
    </w:p>
    <w:p w14:paraId="0B3A01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rPr>
      </w:pPr>
      <w:r>
        <w:rPr>
          <w:rFonts w:hint="eastAsia" w:ascii="宋体" w:hAnsi="宋体" w:eastAsia="宋体" w:cs="宋体"/>
          <w:sz w:val="24"/>
          <w:szCs w:val="24"/>
        </w:rPr>
        <w:t>采购人成立考核小组，实行每日巡查、每周抽查、每月综合考核机制，对保洁质量、人员纪律、保密执行、应急响应、物资管理等情况进行打分考核，考核结果与服务费用、履约评价直接挂钩。</w:t>
      </w:r>
    </w:p>
    <w:p w14:paraId="495B43FE">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highlight w:val="none"/>
        </w:rPr>
      </w:pPr>
      <w:bookmarkStart w:id="21" w:name="heading_16"/>
      <w:r>
        <w:rPr>
          <w:rFonts w:hint="eastAsia" w:ascii="宋体" w:hAnsi="宋体" w:eastAsia="宋体" w:cs="宋体"/>
          <w:b/>
          <w:bCs/>
          <w:sz w:val="24"/>
          <w:szCs w:val="24"/>
          <w:lang w:val="en-US" w:eastAsia="zh-CN"/>
        </w:rPr>
        <w:t>2、</w:t>
      </w:r>
      <w:r>
        <w:rPr>
          <w:rFonts w:hint="eastAsia" w:ascii="宋体" w:hAnsi="宋体" w:eastAsia="宋体" w:cs="宋体"/>
          <w:b/>
          <w:bCs/>
          <w:sz w:val="24"/>
          <w:szCs w:val="24"/>
        </w:rPr>
        <w:t>月度验收</w:t>
      </w:r>
      <w:bookmarkEnd w:id="21"/>
    </w:p>
    <w:p w14:paraId="562B36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highlight w:val="none"/>
          <w:lang w:eastAsia="zh-CN"/>
        </w:rPr>
      </w:pPr>
      <w:r>
        <w:rPr>
          <w:rFonts w:hint="eastAsia" w:ascii="宋体" w:hAnsi="宋体" w:eastAsia="宋体" w:cs="宋体"/>
          <w:sz w:val="24"/>
          <w:szCs w:val="24"/>
          <w:highlight w:val="none"/>
        </w:rPr>
        <w:t>每月月底由采购人组织月度验收，依据本文件服务标准逐项核查，验收合格全额支付当月服务费用；考核不合格的，限期整改，扣除对应履约违约金，连续</w:t>
      </w:r>
      <w:r>
        <w:rPr>
          <w:rFonts w:ascii="宋体" w:hAnsi="宋体" w:eastAsia="宋体" w:cs="宋体"/>
          <w:sz w:val="24"/>
          <w:szCs w:val="24"/>
          <w:highlight w:val="none"/>
        </w:rPr>
        <w:t>2</w:t>
      </w:r>
      <w:r>
        <w:rPr>
          <w:rFonts w:hint="eastAsia" w:ascii="宋体" w:hAnsi="宋体" w:eastAsia="宋体" w:cs="宋体"/>
          <w:sz w:val="24"/>
          <w:szCs w:val="24"/>
          <w:highlight w:val="none"/>
        </w:rPr>
        <w:t>个月考核不合格，采购人有权单方面解除合同</w:t>
      </w:r>
      <w:r>
        <w:rPr>
          <w:rFonts w:hint="eastAsia" w:cs="宋体"/>
          <w:sz w:val="24"/>
          <w:szCs w:val="24"/>
          <w:highlight w:val="none"/>
          <w:lang w:eastAsia="zh-CN"/>
        </w:rPr>
        <w:t>。</w:t>
      </w:r>
    </w:p>
    <w:p w14:paraId="034DEE80">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highlight w:val="none"/>
        </w:rPr>
      </w:pPr>
      <w:bookmarkStart w:id="22" w:name="heading_19"/>
      <w:r>
        <w:rPr>
          <w:rFonts w:hint="eastAsia" w:ascii="宋体" w:hAnsi="宋体" w:eastAsia="宋体" w:cs="宋体"/>
          <w:b/>
          <w:bCs/>
          <w:sz w:val="24"/>
          <w:szCs w:val="24"/>
          <w:highlight w:val="none"/>
        </w:rPr>
        <w:t>九、商务及履约要求</w:t>
      </w:r>
      <w:bookmarkEnd w:id="22"/>
    </w:p>
    <w:p w14:paraId="4A8EAA40">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b/>
          <w:bCs/>
          <w:sz w:val="24"/>
          <w:szCs w:val="24"/>
          <w:highlight w:val="none"/>
        </w:rPr>
      </w:pPr>
      <w:bookmarkStart w:id="23" w:name="heading_20"/>
      <w:r>
        <w:rPr>
          <w:rFonts w:hint="eastAsia" w:ascii="宋体" w:hAnsi="宋体" w:eastAsia="宋体" w:cs="宋体"/>
          <w:b/>
          <w:bCs/>
          <w:sz w:val="24"/>
          <w:szCs w:val="24"/>
          <w:highlight w:val="none"/>
          <w:lang w:val="en-US" w:eastAsia="zh-CN"/>
        </w:rPr>
        <w:t>1、</w:t>
      </w:r>
      <w:r>
        <w:rPr>
          <w:rFonts w:hint="eastAsia" w:ascii="宋体" w:hAnsi="宋体" w:eastAsia="宋体" w:cs="宋体"/>
          <w:b/>
          <w:bCs/>
          <w:sz w:val="24"/>
          <w:szCs w:val="24"/>
          <w:highlight w:val="none"/>
        </w:rPr>
        <w:t>报价要求</w:t>
      </w:r>
      <w:bookmarkEnd w:id="23"/>
    </w:p>
    <w:p w14:paraId="7AB455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kern w:val="21"/>
          <w:sz w:val="24"/>
          <w:szCs w:val="24"/>
          <w:highlight w:val="none"/>
        </w:rPr>
      </w:pPr>
      <w:r>
        <w:rPr>
          <w:rFonts w:hint="eastAsia" w:ascii="宋体" w:hAnsi="宋体" w:eastAsia="宋体" w:cs="Times New Roman"/>
          <w:kern w:val="21"/>
          <w:sz w:val="24"/>
          <w:szCs w:val="24"/>
          <w:highlight w:val="none"/>
          <w:lang w:eastAsia="zh-CN"/>
        </w:rPr>
        <w:t>（</w:t>
      </w:r>
      <w:r>
        <w:rPr>
          <w:rFonts w:hint="eastAsia" w:ascii="宋体" w:hAnsi="宋体" w:eastAsia="宋体" w:cs="Times New Roman"/>
          <w:kern w:val="21"/>
          <w:sz w:val="24"/>
          <w:szCs w:val="24"/>
          <w:highlight w:val="none"/>
          <w:lang w:val="en-US" w:eastAsia="zh-CN"/>
        </w:rPr>
        <w:t>1</w:t>
      </w:r>
      <w:r>
        <w:rPr>
          <w:rFonts w:hint="eastAsia" w:ascii="宋体" w:hAnsi="宋体" w:eastAsia="宋体" w:cs="Times New Roman"/>
          <w:kern w:val="21"/>
          <w:sz w:val="24"/>
          <w:szCs w:val="24"/>
          <w:highlight w:val="none"/>
          <w:lang w:eastAsia="zh-CN"/>
        </w:rPr>
        <w:t>）</w:t>
      </w:r>
      <w:r>
        <w:rPr>
          <w:rFonts w:hint="eastAsia" w:ascii="宋体" w:hAnsi="宋体" w:eastAsia="宋体" w:cs="Times New Roman"/>
          <w:kern w:val="21"/>
          <w:sz w:val="24"/>
          <w:szCs w:val="24"/>
          <w:highlight w:val="none"/>
        </w:rPr>
        <w:t>根据采购内容和要求，报出总报价。总报价为合同签订一年的服务费用。根据</w:t>
      </w:r>
      <w:r>
        <w:rPr>
          <w:rFonts w:hint="eastAsia" w:ascii="宋体" w:hAnsi="宋体" w:eastAsia="宋体" w:cs="Times New Roman"/>
          <w:kern w:val="21"/>
          <w:sz w:val="24"/>
          <w:szCs w:val="24"/>
          <w:highlight w:val="none"/>
          <w:lang w:eastAsia="zh-CN"/>
        </w:rPr>
        <w:t>磋商文件</w:t>
      </w:r>
      <w:r>
        <w:rPr>
          <w:rFonts w:hint="eastAsia" w:ascii="宋体" w:hAnsi="宋体" w:eastAsia="宋体" w:cs="Times New Roman"/>
          <w:kern w:val="21"/>
          <w:sz w:val="24"/>
          <w:szCs w:val="24"/>
          <w:highlight w:val="none"/>
        </w:rPr>
        <w:t>的要求写明本项目的总报价金额（为完成要求的服务内容所发生的一切总费用）。</w:t>
      </w:r>
    </w:p>
    <w:p w14:paraId="15288B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kern w:val="21"/>
          <w:sz w:val="24"/>
          <w:szCs w:val="24"/>
          <w:highlight w:val="none"/>
        </w:rPr>
      </w:pPr>
      <w:r>
        <w:rPr>
          <w:rFonts w:hint="eastAsia" w:ascii="宋体" w:hAnsi="宋体" w:eastAsia="宋体" w:cs="Times New Roman"/>
          <w:kern w:val="21"/>
          <w:sz w:val="24"/>
          <w:szCs w:val="24"/>
          <w:highlight w:val="none"/>
          <w:lang w:eastAsia="zh-CN"/>
        </w:rPr>
        <w:t>（</w:t>
      </w:r>
      <w:r>
        <w:rPr>
          <w:rFonts w:hint="eastAsia" w:ascii="宋体" w:hAnsi="宋体" w:eastAsia="宋体" w:cs="Times New Roman"/>
          <w:kern w:val="21"/>
          <w:sz w:val="24"/>
          <w:szCs w:val="24"/>
          <w:highlight w:val="none"/>
          <w:lang w:val="en-US" w:eastAsia="zh-CN"/>
        </w:rPr>
        <w:t>2</w:t>
      </w:r>
      <w:r>
        <w:rPr>
          <w:rFonts w:hint="eastAsia" w:ascii="宋体" w:hAnsi="宋体" w:eastAsia="宋体" w:cs="Times New Roman"/>
          <w:kern w:val="21"/>
          <w:sz w:val="24"/>
          <w:szCs w:val="24"/>
          <w:highlight w:val="none"/>
          <w:lang w:eastAsia="zh-CN"/>
        </w:rPr>
        <w:t>）</w:t>
      </w:r>
      <w:r>
        <w:rPr>
          <w:rFonts w:hint="eastAsia" w:ascii="宋体" w:hAnsi="宋体" w:eastAsia="宋体" w:cs="Times New Roman"/>
          <w:kern w:val="21"/>
          <w:sz w:val="24"/>
          <w:szCs w:val="24"/>
          <w:highlight w:val="none"/>
        </w:rPr>
        <w:t>报价为完成本项的全费用价格，其组成包括但不限于人员工作、管理费、服务费、办公费、交通费、通讯费、培训费、税金、利润、劳动保险费、合同工期内的风险费用等为完成本项目发生的一切费用。</w:t>
      </w:r>
      <w:r>
        <w:rPr>
          <w:rFonts w:hint="eastAsia" w:ascii="宋体" w:hAnsi="宋体" w:eastAsia="宋体" w:cs="Times New Roman"/>
          <w:kern w:val="21"/>
          <w:sz w:val="24"/>
          <w:szCs w:val="24"/>
          <w:highlight w:val="none"/>
          <w:lang w:eastAsia="zh-CN"/>
        </w:rPr>
        <w:t>成交供应商</w:t>
      </w:r>
      <w:r>
        <w:rPr>
          <w:rFonts w:hint="eastAsia" w:ascii="宋体" w:hAnsi="宋体" w:eastAsia="宋体" w:cs="Times New Roman"/>
          <w:kern w:val="21"/>
          <w:sz w:val="24"/>
          <w:szCs w:val="24"/>
          <w:highlight w:val="none"/>
        </w:rPr>
        <w:t>自行解决员工养老、事业、医疗、工伤、生育等保险及劳保、纳税、工资、福利、食宿、员工上下班交通及</w:t>
      </w:r>
      <w:r>
        <w:rPr>
          <w:rFonts w:hint="eastAsia" w:ascii="宋体" w:hAnsi="宋体" w:eastAsia="宋体" w:cs="Times New Roman"/>
          <w:kern w:val="21"/>
          <w:sz w:val="24"/>
          <w:szCs w:val="24"/>
          <w:highlight w:val="none"/>
          <w:lang w:eastAsia="zh-CN"/>
        </w:rPr>
        <w:t>成交供应商</w:t>
      </w:r>
      <w:r>
        <w:rPr>
          <w:rFonts w:hint="eastAsia" w:ascii="宋体" w:hAnsi="宋体" w:eastAsia="宋体" w:cs="Times New Roman"/>
          <w:kern w:val="21"/>
          <w:sz w:val="24"/>
          <w:szCs w:val="24"/>
          <w:highlight w:val="none"/>
        </w:rPr>
        <w:t>为完成服务所发生的一切费用等有关问题。</w:t>
      </w:r>
      <w:r>
        <w:rPr>
          <w:rFonts w:hint="eastAsia" w:ascii="宋体" w:hAnsi="宋体" w:eastAsia="宋体" w:cs="Times New Roman"/>
          <w:kern w:val="21"/>
          <w:sz w:val="24"/>
          <w:szCs w:val="24"/>
          <w:highlight w:val="none"/>
          <w:lang w:val="en-US" w:eastAsia="zh-CN"/>
        </w:rPr>
        <w:t>供应商</w:t>
      </w:r>
      <w:r>
        <w:rPr>
          <w:rFonts w:hint="eastAsia" w:ascii="宋体" w:hAnsi="宋体" w:eastAsia="宋体" w:cs="Times New Roman"/>
          <w:kern w:val="21"/>
          <w:sz w:val="24"/>
          <w:szCs w:val="24"/>
          <w:highlight w:val="none"/>
        </w:rPr>
        <w:t>报价要充分考虑上述因素，相关风险已含在报价中。公共能耗、保洁耗材及应急物资由采购人负责。</w:t>
      </w:r>
    </w:p>
    <w:p w14:paraId="4A7DFB9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highlight w:val="none"/>
        </w:rPr>
      </w:pPr>
      <w:bookmarkStart w:id="24" w:name="heading_22"/>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人员保障要求</w:t>
      </w:r>
      <w:bookmarkEnd w:id="24"/>
    </w:p>
    <w:p w14:paraId="6A353B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须与所有在岗保洁人员签订正规劳务合同，保障人员合法权益，杜绝劳务纠纷，若发生劳资纠纷、安全事故，全部责任由</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承担，与采购人无关。</w:t>
      </w:r>
    </w:p>
    <w:p w14:paraId="7283BC74">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highlight w:val="none"/>
        </w:rPr>
      </w:pPr>
      <w:bookmarkStart w:id="25" w:name="heading_23"/>
      <w:r>
        <w:rPr>
          <w:rFonts w:hint="eastAsia" w:ascii="宋体" w:hAnsi="宋体" w:eastAsia="宋体" w:cs="宋体"/>
          <w:b/>
          <w:bCs/>
          <w:sz w:val="24"/>
          <w:szCs w:val="24"/>
          <w:highlight w:val="none"/>
          <w:lang w:val="en-US" w:eastAsia="zh-CN"/>
        </w:rPr>
        <w:t>3、</w:t>
      </w:r>
      <w:r>
        <w:rPr>
          <w:rFonts w:hint="eastAsia" w:ascii="宋体" w:hAnsi="宋体" w:eastAsia="宋体" w:cs="宋体"/>
          <w:b/>
          <w:bCs/>
          <w:sz w:val="24"/>
          <w:szCs w:val="24"/>
          <w:highlight w:val="none"/>
        </w:rPr>
        <w:t>安全责任要求</w:t>
      </w:r>
      <w:bookmarkEnd w:id="25"/>
    </w:p>
    <w:p w14:paraId="02A670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hint="eastAsia" w:ascii="宋体" w:hAnsi="宋体" w:eastAsia="宋体" w:cs="宋体"/>
          <w:sz w:val="24"/>
          <w:szCs w:val="24"/>
          <w:highlight w:val="none"/>
        </w:rPr>
        <w:t>服务期间所有作业安全、人身安全、财产安全、第三方损害责任均由</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全权负责，严格规范作业，做好防滑、防摔、防触电、防腐蚀防护，若发生安全事故、设施损坏、财物丢失、泄密事件、舆情问题等，由</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承担全部赔偿责任及法律责任，采购人有权追责并解除合同。</w:t>
      </w:r>
    </w:p>
    <w:p w14:paraId="1D1CFA47">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2"/>
        <w:rPr>
          <w:rFonts w:ascii="宋体" w:hAnsi="宋体" w:eastAsia="宋体" w:cs="Times New Roman"/>
          <w:sz w:val="24"/>
          <w:szCs w:val="24"/>
          <w:highlight w:val="none"/>
        </w:rPr>
      </w:pPr>
      <w:bookmarkStart w:id="26" w:name="heading_24"/>
      <w:r>
        <w:rPr>
          <w:rFonts w:hint="eastAsia" w:ascii="宋体" w:hAnsi="宋体" w:eastAsia="宋体" w:cs="宋体"/>
          <w:b/>
          <w:bCs/>
          <w:sz w:val="24"/>
          <w:szCs w:val="24"/>
          <w:highlight w:val="none"/>
        </w:rPr>
        <w:t>（</w:t>
      </w:r>
      <w:r>
        <w:rPr>
          <w:rFonts w:ascii="宋体" w:hAnsi="宋体" w:eastAsia="宋体" w:cs="宋体"/>
          <w:b/>
          <w:bCs/>
          <w:sz w:val="24"/>
          <w:szCs w:val="24"/>
          <w:highlight w:val="none"/>
        </w:rPr>
        <w:t>4</w:t>
      </w:r>
      <w:r>
        <w:rPr>
          <w:rFonts w:hint="eastAsia" w:ascii="宋体" w:hAnsi="宋体" w:eastAsia="宋体" w:cs="宋体"/>
          <w:b/>
          <w:bCs/>
          <w:sz w:val="24"/>
          <w:szCs w:val="24"/>
          <w:highlight w:val="none"/>
        </w:rPr>
        <w:t>）保密责任</w:t>
      </w:r>
      <w:bookmarkEnd w:id="26"/>
    </w:p>
    <w:p w14:paraId="5EE6E0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须与采购人签订《公安机关服务处所保密服务协议》，全员签订保密承诺书，服务期及服务结束后终身遵守保密义务，若发生泄密行为，立即</w:t>
      </w:r>
      <w:r>
        <w:rPr>
          <w:rFonts w:hint="eastAsia" w:ascii="宋体" w:hAnsi="宋体" w:eastAsia="宋体" w:cs="宋体"/>
          <w:sz w:val="24"/>
          <w:szCs w:val="24"/>
          <w:highlight w:val="none"/>
          <w:lang w:val="en-US" w:eastAsia="zh-CN"/>
        </w:rPr>
        <w:t>解除</w:t>
      </w:r>
      <w:r>
        <w:rPr>
          <w:rFonts w:hint="eastAsia" w:ascii="宋体" w:hAnsi="宋体" w:eastAsia="宋体" w:cs="宋体"/>
          <w:sz w:val="24"/>
          <w:szCs w:val="24"/>
          <w:highlight w:val="none"/>
        </w:rPr>
        <w:t>合同</w:t>
      </w:r>
      <w:r>
        <w:rPr>
          <w:rFonts w:hint="eastAsia" w:cs="宋体"/>
          <w:sz w:val="24"/>
          <w:szCs w:val="24"/>
          <w:highlight w:val="none"/>
          <w:lang w:eastAsia="zh-CN"/>
        </w:rPr>
        <w:t>，</w:t>
      </w:r>
      <w:r>
        <w:rPr>
          <w:rFonts w:hint="eastAsia" w:ascii="宋体" w:hAnsi="宋体" w:eastAsia="宋体" w:cs="宋体"/>
          <w:sz w:val="24"/>
          <w:szCs w:val="24"/>
          <w:highlight w:val="none"/>
        </w:rPr>
        <w:t>依法追究法律责任。</w:t>
      </w:r>
    </w:p>
    <w:p w14:paraId="6DE64B15">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highlight w:val="none"/>
        </w:rPr>
      </w:pPr>
      <w:bookmarkStart w:id="27" w:name="heading_25"/>
      <w:r>
        <w:rPr>
          <w:rFonts w:hint="eastAsia" w:ascii="宋体" w:hAnsi="宋体" w:eastAsia="宋体" w:cs="宋体"/>
          <w:b/>
          <w:bCs/>
          <w:sz w:val="24"/>
          <w:szCs w:val="24"/>
          <w:highlight w:val="none"/>
        </w:rPr>
        <w:t>十、违约责任</w:t>
      </w:r>
      <w:bookmarkEnd w:id="27"/>
    </w:p>
    <w:p w14:paraId="605740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ascii="宋体" w:hAnsi="宋体" w:eastAsia="宋体" w:cs="宋体"/>
          <w:sz w:val="24"/>
          <w:szCs w:val="24"/>
          <w:highlight w:val="none"/>
        </w:rPr>
        <w:t>1</w:t>
      </w:r>
      <w:r>
        <w:rPr>
          <w:rFonts w:hint="eastAsia" w:ascii="宋体" w:hAnsi="宋体" w:eastAsia="宋体" w:cs="宋体"/>
          <w:sz w:val="24"/>
          <w:szCs w:val="24"/>
          <w:highlight w:val="none"/>
        </w:rPr>
        <w:t>、日常保洁质量不达标、卫生死角清理不到位，每次</w:t>
      </w:r>
      <w:r>
        <w:rPr>
          <w:rFonts w:hint="eastAsia" w:cs="宋体"/>
          <w:sz w:val="24"/>
          <w:szCs w:val="24"/>
          <w:highlight w:val="none"/>
          <w:lang w:eastAsia="zh-CN"/>
        </w:rPr>
        <w:t>扣减</w:t>
      </w:r>
      <w:r>
        <w:rPr>
          <w:rFonts w:hint="eastAsia" w:ascii="宋体" w:hAnsi="宋体" w:eastAsia="宋体" w:cs="宋体"/>
          <w:sz w:val="24"/>
          <w:szCs w:val="24"/>
          <w:highlight w:val="none"/>
        </w:rPr>
        <w:t>服务费</w:t>
      </w:r>
      <w:r>
        <w:rPr>
          <w:rFonts w:ascii="宋体" w:hAnsi="宋体" w:eastAsia="宋体" w:cs="宋体"/>
          <w:sz w:val="24"/>
          <w:szCs w:val="24"/>
          <w:highlight w:val="none"/>
        </w:rPr>
        <w:t>200-500</w:t>
      </w:r>
      <w:r>
        <w:rPr>
          <w:rFonts w:hint="eastAsia" w:ascii="宋体" w:hAnsi="宋体" w:eastAsia="宋体" w:cs="宋体"/>
          <w:sz w:val="24"/>
          <w:szCs w:val="24"/>
          <w:highlight w:val="none"/>
        </w:rPr>
        <w:t>元，限期整改；</w:t>
      </w:r>
    </w:p>
    <w:p w14:paraId="5B5568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rPr>
        <w:t>、工作人员脱岗、空岗、违规违纪、言行不当，每次</w:t>
      </w:r>
      <w:r>
        <w:rPr>
          <w:rFonts w:hint="eastAsia" w:cs="宋体"/>
          <w:sz w:val="24"/>
          <w:szCs w:val="24"/>
          <w:highlight w:val="none"/>
          <w:lang w:eastAsia="zh-CN"/>
        </w:rPr>
        <w:t>扣减</w:t>
      </w:r>
      <w:r>
        <w:rPr>
          <w:rFonts w:ascii="宋体" w:hAnsi="宋体" w:eastAsia="宋体" w:cs="宋体"/>
          <w:sz w:val="24"/>
          <w:szCs w:val="24"/>
          <w:highlight w:val="none"/>
        </w:rPr>
        <w:t>500</w:t>
      </w:r>
      <w:r>
        <w:rPr>
          <w:rFonts w:hint="eastAsia" w:ascii="宋体" w:hAnsi="宋体" w:eastAsia="宋体" w:cs="宋体"/>
          <w:sz w:val="24"/>
          <w:szCs w:val="24"/>
          <w:highlight w:val="none"/>
        </w:rPr>
        <w:t>元，情节严重直接清退人员；</w:t>
      </w:r>
    </w:p>
    <w:p w14:paraId="68E53E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hint="eastAsia" w:cs="宋体"/>
          <w:sz w:val="24"/>
          <w:szCs w:val="24"/>
          <w:highlight w:val="none"/>
          <w:lang w:val="en-US" w:eastAsia="zh-CN"/>
        </w:rPr>
        <w:t>3</w:t>
      </w:r>
      <w:r>
        <w:rPr>
          <w:rFonts w:hint="eastAsia" w:ascii="宋体" w:hAnsi="宋体" w:eastAsia="宋体" w:cs="宋体"/>
          <w:sz w:val="24"/>
          <w:szCs w:val="24"/>
          <w:highlight w:val="none"/>
        </w:rPr>
        <w:t>、发生泄密、损坏单位财物、引发安全事故、舆情事故、劳资纠纷的，</w:t>
      </w:r>
      <w:r>
        <w:rPr>
          <w:rFonts w:hint="eastAsia" w:cs="宋体"/>
          <w:sz w:val="24"/>
          <w:szCs w:val="24"/>
          <w:highlight w:val="none"/>
          <w:lang w:val="en-US" w:eastAsia="zh-CN"/>
        </w:rPr>
        <w:t>采购人</w:t>
      </w:r>
      <w:r>
        <w:rPr>
          <w:rFonts w:hint="eastAsia" w:ascii="宋体" w:hAnsi="宋体" w:eastAsia="宋体" w:cs="宋体"/>
          <w:sz w:val="24"/>
          <w:szCs w:val="24"/>
          <w:highlight w:val="none"/>
          <w:lang w:val="en-US" w:eastAsia="zh-CN"/>
        </w:rPr>
        <w:t>有权解除</w:t>
      </w:r>
      <w:r>
        <w:rPr>
          <w:rFonts w:hint="eastAsia" w:ascii="宋体" w:hAnsi="宋体" w:eastAsia="宋体" w:cs="宋体"/>
          <w:sz w:val="24"/>
          <w:szCs w:val="24"/>
          <w:highlight w:val="none"/>
        </w:rPr>
        <w:t>合同，并追究法律及经济赔偿责任。</w:t>
      </w:r>
    </w:p>
    <w:p w14:paraId="76EEAAC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ascii="宋体" w:hAnsi="宋体" w:eastAsia="宋体" w:cs="Times New Roman"/>
          <w:sz w:val="24"/>
          <w:szCs w:val="24"/>
          <w:highlight w:val="none"/>
        </w:rPr>
      </w:pPr>
      <w:bookmarkStart w:id="28" w:name="heading_26"/>
      <w:r>
        <w:rPr>
          <w:rFonts w:hint="eastAsia" w:ascii="宋体" w:hAnsi="宋体" w:eastAsia="宋体" w:cs="宋体"/>
          <w:b/>
          <w:bCs/>
          <w:sz w:val="24"/>
          <w:szCs w:val="24"/>
          <w:highlight w:val="none"/>
        </w:rPr>
        <w:t>十一、其他要求</w:t>
      </w:r>
      <w:bookmarkEnd w:id="28"/>
    </w:p>
    <w:p w14:paraId="4A82A5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ascii="宋体" w:hAnsi="宋体" w:eastAsia="宋体" w:cs="宋体"/>
          <w:sz w:val="24"/>
          <w:szCs w:val="24"/>
          <w:highlight w:val="none"/>
        </w:rPr>
        <w:t>1</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须自行踏勘项目现场，充分了解公安办公场所服务环境、岗位要求、保密规定，未踏勘现场产生的一切风险由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自行承担。</w:t>
      </w:r>
    </w:p>
    <w:p w14:paraId="2DB807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Times New Roman"/>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须无条件配合采购人各项管理制度、专项工作、临时任务，主动配合疫情防控、卫生检查、内务整治等工作。</w:t>
      </w:r>
    </w:p>
    <w:p w14:paraId="555ABE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highlight w:val="none"/>
          <w:lang w:eastAsia="zh-CN"/>
        </w:rPr>
      </w:pPr>
      <w:r>
        <w:rPr>
          <w:rFonts w:ascii="宋体" w:hAnsi="宋体" w:eastAsia="宋体" w:cs="宋体"/>
          <w:sz w:val="24"/>
          <w:szCs w:val="24"/>
          <w:highlight w:val="none"/>
        </w:rPr>
        <w:t>3</w:t>
      </w:r>
      <w:r>
        <w:rPr>
          <w:rFonts w:hint="eastAsia" w:ascii="宋体" w:hAnsi="宋体" w:eastAsia="宋体" w:cs="宋体"/>
          <w:sz w:val="24"/>
          <w:szCs w:val="24"/>
          <w:highlight w:val="none"/>
        </w:rPr>
        <w:t>、本项目不允许分包、转包，一经发现转包分包，立即</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解除</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w:t>
      </w:r>
      <w:r>
        <w:rPr>
          <w:rFonts w:hint="eastAsia" w:cs="宋体"/>
          <w:sz w:val="24"/>
          <w:szCs w:val="24"/>
          <w:highlight w:val="none"/>
          <w:lang w:eastAsia="zh-CN"/>
        </w:rPr>
        <w:t>。</w:t>
      </w:r>
    </w:p>
    <w:p w14:paraId="0AA79D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highlight w:val="none"/>
        </w:rPr>
      </w:pPr>
      <w:r>
        <w:rPr>
          <w:rFonts w:ascii="宋体" w:hAnsi="宋体" w:eastAsia="宋体" w:cs="宋体"/>
          <w:sz w:val="24"/>
          <w:szCs w:val="24"/>
          <w:highlight w:val="none"/>
        </w:rPr>
        <w:t>4</w:t>
      </w:r>
      <w:r>
        <w:rPr>
          <w:rFonts w:hint="eastAsia" w:ascii="宋体" w:hAnsi="宋体" w:eastAsia="宋体" w:cs="宋体"/>
          <w:sz w:val="24"/>
          <w:szCs w:val="24"/>
          <w:highlight w:val="none"/>
        </w:rPr>
        <w:t>、服务期满后，</w:t>
      </w:r>
      <w:r>
        <w:rPr>
          <w:rFonts w:hint="eastAsia" w:ascii="宋体" w:hAnsi="宋体" w:eastAsia="宋体" w:cs="宋体"/>
          <w:sz w:val="24"/>
          <w:szCs w:val="24"/>
          <w:highlight w:val="none"/>
          <w:lang w:val="en-US" w:eastAsia="zh-CN"/>
        </w:rPr>
        <w:t>成交供应商</w:t>
      </w:r>
      <w:r>
        <w:rPr>
          <w:rFonts w:hint="eastAsia" w:ascii="宋体" w:hAnsi="宋体" w:eastAsia="宋体" w:cs="宋体"/>
          <w:sz w:val="24"/>
          <w:szCs w:val="24"/>
          <w:highlight w:val="none"/>
        </w:rPr>
        <w:t>须平稳交接，完整移交物资台账、工作记录，配合完成收尾验收，不得无故拖延、拒不配合。</w:t>
      </w:r>
    </w:p>
    <w:p w14:paraId="08FE9105">
      <w:pPr>
        <w:pStyle w:val="14"/>
        <w:rPr>
          <w:rFonts w:hint="eastAsia" w:ascii="宋体" w:hAnsi="宋体" w:eastAsia="宋体" w:cs="宋体"/>
          <w:kern w:val="2"/>
          <w:sz w:val="24"/>
        </w:rPr>
      </w:pPr>
    </w:p>
    <w:p w14:paraId="18CC9B3B">
      <w:pPr>
        <w:rPr>
          <w:rFonts w:hint="eastAsia" w:ascii="宋体" w:hAnsi="宋体" w:eastAsia="宋体" w:cs="宋体"/>
          <w:kern w:val="2"/>
          <w:sz w:val="24"/>
        </w:rPr>
      </w:pPr>
    </w:p>
    <w:p w14:paraId="4576AAC8">
      <w:pPr>
        <w:pStyle w:val="2"/>
        <w:rPr>
          <w:rFonts w:hint="eastAsia" w:ascii="宋体" w:hAnsi="宋体" w:eastAsia="宋体" w:cs="宋体"/>
          <w:kern w:val="2"/>
          <w:sz w:val="24"/>
        </w:rPr>
      </w:pPr>
    </w:p>
    <w:p w14:paraId="30F1534B">
      <w:pPr>
        <w:rPr>
          <w:rFonts w:hint="eastAsia" w:ascii="宋体" w:hAnsi="宋体" w:eastAsia="宋体" w:cs="宋体"/>
          <w:kern w:val="2"/>
          <w:sz w:val="24"/>
        </w:rPr>
      </w:pPr>
    </w:p>
    <w:p w14:paraId="72B96B69">
      <w:pPr>
        <w:pStyle w:val="2"/>
        <w:rPr>
          <w:rFonts w:hint="eastAsia" w:ascii="宋体" w:hAnsi="宋体" w:eastAsia="宋体" w:cs="宋体"/>
          <w:kern w:val="2"/>
          <w:sz w:val="24"/>
        </w:rPr>
      </w:pPr>
    </w:p>
    <w:p w14:paraId="7C33B04C">
      <w:pPr>
        <w:rPr>
          <w:rFonts w:hint="eastAsia" w:ascii="宋体" w:hAnsi="宋体" w:eastAsia="宋体" w:cs="宋体"/>
          <w:kern w:val="2"/>
          <w:sz w:val="24"/>
        </w:rPr>
      </w:pPr>
    </w:p>
    <w:p w14:paraId="59A22572">
      <w:pPr>
        <w:pStyle w:val="2"/>
        <w:rPr>
          <w:rFonts w:hint="eastAsia" w:ascii="宋体" w:hAnsi="宋体" w:eastAsia="宋体" w:cs="宋体"/>
          <w:kern w:val="2"/>
          <w:sz w:val="24"/>
        </w:rPr>
      </w:pPr>
    </w:p>
    <w:p w14:paraId="6B3215D1">
      <w:pPr>
        <w:rPr>
          <w:rFonts w:hint="eastAsia" w:ascii="宋体" w:hAnsi="宋体" w:eastAsia="宋体" w:cs="宋体"/>
          <w:kern w:val="2"/>
          <w:sz w:val="24"/>
        </w:rPr>
      </w:pPr>
    </w:p>
    <w:p w14:paraId="3E991516">
      <w:pPr>
        <w:pStyle w:val="2"/>
        <w:rPr>
          <w:rFonts w:hint="eastAsia" w:ascii="宋体" w:hAnsi="宋体" w:eastAsia="宋体" w:cs="宋体"/>
          <w:kern w:val="2"/>
          <w:sz w:val="24"/>
        </w:rPr>
      </w:pPr>
    </w:p>
    <w:p w14:paraId="041A2FA4">
      <w:pPr>
        <w:rPr>
          <w:rFonts w:hint="eastAsia" w:ascii="宋体" w:hAnsi="宋体" w:eastAsia="宋体" w:cs="宋体"/>
          <w:kern w:val="2"/>
          <w:sz w:val="24"/>
        </w:rPr>
      </w:pPr>
    </w:p>
    <w:p w14:paraId="287A4200">
      <w:pPr>
        <w:pStyle w:val="2"/>
        <w:rPr>
          <w:rFonts w:hint="eastAsia" w:ascii="宋体" w:hAnsi="宋体" w:eastAsia="宋体" w:cs="宋体"/>
          <w:kern w:val="2"/>
          <w:sz w:val="24"/>
        </w:rPr>
      </w:pPr>
    </w:p>
    <w:p w14:paraId="2F8B45A0">
      <w:pPr>
        <w:rPr>
          <w:rFonts w:hint="eastAsia" w:ascii="宋体" w:hAnsi="宋体" w:eastAsia="宋体" w:cs="宋体"/>
          <w:kern w:val="2"/>
          <w:sz w:val="24"/>
        </w:rPr>
      </w:pPr>
    </w:p>
    <w:p w14:paraId="72BAA3A3">
      <w:pPr>
        <w:pStyle w:val="2"/>
        <w:rPr>
          <w:rFonts w:hint="eastAsia" w:ascii="宋体" w:hAnsi="宋体" w:eastAsia="宋体" w:cs="宋体"/>
          <w:kern w:val="2"/>
          <w:sz w:val="24"/>
        </w:rPr>
      </w:pPr>
    </w:p>
    <w:p w14:paraId="586330CB">
      <w:pPr>
        <w:rPr>
          <w:rFonts w:hint="eastAsia"/>
        </w:rPr>
      </w:pPr>
    </w:p>
    <w:bookmarkEnd w:id="10"/>
    <w:p w14:paraId="66CA36F2">
      <w:pPr>
        <w:spacing w:before="312" w:beforeLines="100"/>
        <w:ind w:firstLine="562"/>
        <w:jc w:val="center"/>
        <w:outlineLvl w:val="1"/>
        <w:rPr>
          <w:rFonts w:asciiTheme="minorEastAsia" w:hAnsiTheme="minorEastAsia" w:eastAsiaTheme="minorEastAsia"/>
          <w:b/>
          <w:sz w:val="28"/>
          <w:highlight w:val="none"/>
        </w:rPr>
      </w:pPr>
      <w:bookmarkStart w:id="29" w:name="_Toc8991"/>
      <w:r>
        <w:rPr>
          <w:rFonts w:hint="eastAsia" w:asciiTheme="minorEastAsia" w:hAnsiTheme="minorEastAsia" w:eastAsiaTheme="minorEastAsia"/>
          <w:b/>
          <w:sz w:val="28"/>
          <w:highlight w:val="none"/>
        </w:rPr>
        <w:t>第四章  评审方法和标准</w:t>
      </w:r>
      <w:bookmarkEnd w:id="29"/>
    </w:p>
    <w:p w14:paraId="1D12492A">
      <w:pPr>
        <w:ind w:firstLine="482"/>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一、总则</w:t>
      </w:r>
    </w:p>
    <w:p w14:paraId="554E4331">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本项目采用综合评分法评审，响应文件满足磋商文件全部实质性要求且按评审因素的量化指标评审得分最高的供应商为成交候选人的评审方法。</w:t>
      </w:r>
    </w:p>
    <w:p w14:paraId="50B4FDB9">
      <w:pPr>
        <w:ind w:firstLine="482"/>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二、评审方法</w:t>
      </w:r>
    </w:p>
    <w:p w14:paraId="6D2C0D4B">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2.1初审</w:t>
      </w:r>
    </w:p>
    <w:p w14:paraId="496A95AF">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评审委员会对供应商的响应文件进行初审，以确定其是否满足磋商文件的实质性要求。初审表如下：</w:t>
      </w:r>
    </w:p>
    <w:tbl>
      <w:tblPr>
        <w:tblStyle w:val="15"/>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2763"/>
        <w:gridCol w:w="5261"/>
      </w:tblGrid>
      <w:tr w14:paraId="434E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261ACFA3">
            <w:pPr>
              <w:adjustRightInd w:val="0"/>
              <w:snapToGrid w:val="0"/>
              <w:ind w:right="-10" w:firstLine="482"/>
              <w:jc w:val="center"/>
              <w:rPr>
                <w:rFonts w:ascii="Calibri" w:hAnsi="Calibri" w:cs="Times New Roman"/>
                <w:b/>
                <w:kern w:val="2"/>
                <w:szCs w:val="22"/>
                <w:highlight w:val="none"/>
              </w:rPr>
            </w:pPr>
            <w:r>
              <w:rPr>
                <w:rFonts w:hint="eastAsia" w:ascii="Calibri" w:hAnsi="Calibri" w:cs="Times New Roman"/>
                <w:b/>
                <w:kern w:val="2"/>
                <w:szCs w:val="22"/>
                <w:highlight w:val="none"/>
              </w:rPr>
              <w:t>初审表</w:t>
            </w:r>
          </w:p>
        </w:tc>
      </w:tr>
      <w:tr w14:paraId="0D19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81" w:type="pct"/>
            <w:tcBorders>
              <w:bottom w:val="single" w:color="auto" w:sz="4" w:space="0"/>
            </w:tcBorders>
            <w:vAlign w:val="center"/>
          </w:tcPr>
          <w:p w14:paraId="5F0AF474">
            <w:pPr>
              <w:adjustRightInd w:val="0"/>
              <w:snapToGrid w:val="0"/>
              <w:ind w:firstLine="0" w:firstLineChars="0"/>
              <w:jc w:val="center"/>
              <w:rPr>
                <w:rFonts w:ascii="Calibri" w:hAnsi="Calibri" w:cs="Times New Roman"/>
                <w:b/>
                <w:kern w:val="2"/>
                <w:szCs w:val="22"/>
                <w:highlight w:val="none"/>
              </w:rPr>
            </w:pPr>
            <w:r>
              <w:rPr>
                <w:rFonts w:hint="eastAsia" w:ascii="Calibri" w:hAnsi="Calibri" w:cs="Times New Roman"/>
                <w:b/>
                <w:kern w:val="2"/>
                <w:szCs w:val="22"/>
                <w:highlight w:val="none"/>
              </w:rPr>
              <w:t>序号</w:t>
            </w:r>
          </w:p>
        </w:tc>
        <w:tc>
          <w:tcPr>
            <w:tcW w:w="1556" w:type="pct"/>
            <w:tcBorders>
              <w:bottom w:val="single" w:color="auto" w:sz="4" w:space="0"/>
            </w:tcBorders>
            <w:vAlign w:val="center"/>
          </w:tcPr>
          <w:p w14:paraId="28B3308B">
            <w:pPr>
              <w:adjustRightInd w:val="0"/>
              <w:snapToGrid w:val="0"/>
              <w:ind w:firstLine="0" w:firstLineChars="0"/>
              <w:jc w:val="center"/>
              <w:rPr>
                <w:rFonts w:ascii="Calibri" w:hAnsi="Calibri" w:cs="Times New Roman"/>
                <w:b/>
                <w:kern w:val="2"/>
                <w:szCs w:val="24"/>
                <w:highlight w:val="none"/>
              </w:rPr>
            </w:pPr>
            <w:r>
              <w:rPr>
                <w:rFonts w:hint="eastAsia" w:ascii="Calibri" w:hAnsi="Calibri" w:cs="Times New Roman"/>
                <w:b/>
                <w:kern w:val="2"/>
                <w:szCs w:val="24"/>
                <w:highlight w:val="none"/>
              </w:rPr>
              <w:t>评审指标</w:t>
            </w:r>
          </w:p>
        </w:tc>
        <w:tc>
          <w:tcPr>
            <w:tcW w:w="2962" w:type="pct"/>
            <w:tcBorders>
              <w:bottom w:val="single" w:color="auto" w:sz="4" w:space="0"/>
            </w:tcBorders>
            <w:vAlign w:val="center"/>
          </w:tcPr>
          <w:p w14:paraId="0CDC1D17">
            <w:pPr>
              <w:adjustRightInd w:val="0"/>
              <w:snapToGrid w:val="0"/>
              <w:ind w:firstLine="0" w:firstLineChars="0"/>
              <w:jc w:val="center"/>
              <w:rPr>
                <w:rFonts w:ascii="Calibri" w:hAnsi="Calibri" w:cs="Times New Roman"/>
                <w:b/>
                <w:kern w:val="2"/>
                <w:szCs w:val="22"/>
                <w:highlight w:val="none"/>
              </w:rPr>
            </w:pPr>
            <w:r>
              <w:rPr>
                <w:rFonts w:hint="eastAsia" w:ascii="Calibri" w:hAnsi="Calibri" w:cs="Times New Roman"/>
                <w:b/>
                <w:kern w:val="2"/>
                <w:szCs w:val="22"/>
                <w:highlight w:val="none"/>
              </w:rPr>
              <w:t>合格条件</w:t>
            </w:r>
          </w:p>
        </w:tc>
      </w:tr>
      <w:tr w14:paraId="2D3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bottom w:val="single" w:color="auto" w:sz="4" w:space="0"/>
            </w:tcBorders>
            <w:vAlign w:val="center"/>
          </w:tcPr>
          <w:p w14:paraId="72713EB4">
            <w:pPr>
              <w:adjustRightInd w:val="0"/>
              <w:snapToGrid w:val="0"/>
              <w:ind w:firstLine="0" w:firstLineChars="0"/>
              <w:jc w:val="center"/>
              <w:rPr>
                <w:rFonts w:ascii="Calibri" w:hAnsi="Calibri" w:cs="Times New Roman"/>
                <w:kern w:val="2"/>
                <w:szCs w:val="22"/>
                <w:highlight w:val="none"/>
              </w:rPr>
            </w:pPr>
            <w:r>
              <w:rPr>
                <w:rFonts w:hint="eastAsia" w:cs="Times New Roman"/>
                <w:kern w:val="2"/>
                <w:highlight w:val="none"/>
              </w:rPr>
              <w:t>1</w:t>
            </w:r>
          </w:p>
        </w:tc>
        <w:tc>
          <w:tcPr>
            <w:tcW w:w="1556" w:type="pct"/>
            <w:tcBorders>
              <w:bottom w:val="single" w:color="auto" w:sz="4" w:space="0"/>
            </w:tcBorders>
            <w:vAlign w:val="center"/>
          </w:tcPr>
          <w:p w14:paraId="04B66159">
            <w:pPr>
              <w:adjustRightInd w:val="0"/>
              <w:snapToGrid w:val="0"/>
              <w:ind w:firstLine="0" w:firstLineChars="0"/>
              <w:jc w:val="left"/>
              <w:rPr>
                <w:rFonts w:cs="Times New Roman"/>
                <w:kern w:val="2"/>
                <w:highlight w:val="none"/>
              </w:rPr>
            </w:pPr>
            <w:r>
              <w:rPr>
                <w:rFonts w:hint="eastAsia" w:cs="Times New Roman"/>
                <w:kern w:val="2"/>
                <w:highlight w:val="none"/>
              </w:rPr>
              <w:t>营业执照</w:t>
            </w:r>
          </w:p>
        </w:tc>
        <w:tc>
          <w:tcPr>
            <w:tcW w:w="2962" w:type="pct"/>
            <w:tcBorders>
              <w:bottom w:val="single" w:color="auto" w:sz="4" w:space="0"/>
            </w:tcBorders>
            <w:vAlign w:val="center"/>
          </w:tcPr>
          <w:p w14:paraId="67546E34">
            <w:pPr>
              <w:adjustRightInd w:val="0"/>
              <w:snapToGrid w:val="0"/>
              <w:ind w:firstLine="0" w:firstLineChars="0"/>
              <w:rPr>
                <w:rFonts w:ascii="Calibri" w:hAnsi="Calibri" w:cs="Times New Roman"/>
                <w:kern w:val="2"/>
                <w:szCs w:val="22"/>
                <w:highlight w:val="none"/>
              </w:rPr>
            </w:pPr>
            <w:r>
              <w:rPr>
                <w:rFonts w:hint="eastAsia" w:cs="Times New Roman"/>
                <w:kern w:val="2"/>
                <w:szCs w:val="22"/>
                <w:highlight w:val="none"/>
              </w:rPr>
              <w:t>提供有效的营业执照扫描件，应完整地体现出营业执照的全部内容。联合体磋商的联合体各方均须提供。</w:t>
            </w:r>
          </w:p>
        </w:tc>
      </w:tr>
      <w:tr w14:paraId="6C8E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81" w:type="pct"/>
            <w:vAlign w:val="center"/>
          </w:tcPr>
          <w:p w14:paraId="032C022C">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2</w:t>
            </w:r>
          </w:p>
        </w:tc>
        <w:tc>
          <w:tcPr>
            <w:tcW w:w="1556" w:type="pct"/>
            <w:shd w:val="clear" w:color="auto" w:fill="auto"/>
            <w:vAlign w:val="center"/>
          </w:tcPr>
          <w:p w14:paraId="3F2DBE7C">
            <w:pPr>
              <w:adjustRightInd w:val="0"/>
              <w:snapToGrid w:val="0"/>
              <w:ind w:firstLine="0" w:firstLineChars="0"/>
              <w:jc w:val="left"/>
              <w:rPr>
                <w:rFonts w:hint="default" w:ascii="宋体" w:hAnsi="宋体" w:eastAsia="宋体" w:cs="Times New Roman"/>
                <w:kern w:val="2"/>
                <w:sz w:val="24"/>
                <w:highlight w:val="none"/>
                <w:lang w:val="en-US" w:eastAsia="zh-CN" w:bidi="ar-SA"/>
              </w:rPr>
            </w:pPr>
            <w:r>
              <w:rPr>
                <w:rFonts w:hint="eastAsia" w:cs="Times New Roman"/>
                <w:kern w:val="2"/>
                <w:highlight w:val="none"/>
              </w:rPr>
              <w:t>磋商响应函</w:t>
            </w:r>
          </w:p>
        </w:tc>
        <w:tc>
          <w:tcPr>
            <w:tcW w:w="2962" w:type="pct"/>
            <w:shd w:val="clear" w:color="auto" w:fill="auto"/>
            <w:vAlign w:val="center"/>
          </w:tcPr>
          <w:p w14:paraId="71D5B93D">
            <w:pPr>
              <w:adjustRightInd w:val="0"/>
              <w:snapToGrid w:val="0"/>
              <w:ind w:firstLine="0" w:firstLineChars="0"/>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2D04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130DCC2E">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3</w:t>
            </w:r>
          </w:p>
        </w:tc>
        <w:tc>
          <w:tcPr>
            <w:tcW w:w="1556" w:type="pct"/>
            <w:shd w:val="clear" w:color="auto" w:fill="auto"/>
            <w:vAlign w:val="center"/>
          </w:tcPr>
          <w:p w14:paraId="1F614541">
            <w:pPr>
              <w:adjustRightInd w:val="0"/>
              <w:snapToGrid w:val="0"/>
              <w:ind w:firstLine="0" w:firstLineChars="0"/>
              <w:jc w:val="left"/>
              <w:rPr>
                <w:rFonts w:ascii="宋体" w:hAnsi="宋体" w:eastAsia="宋体" w:cs="Times New Roman"/>
                <w:kern w:val="2"/>
                <w:sz w:val="24"/>
                <w:highlight w:val="none"/>
                <w:lang w:val="en-US" w:eastAsia="zh-CN" w:bidi="ar-SA"/>
              </w:rPr>
            </w:pPr>
            <w:r>
              <w:rPr>
                <w:rFonts w:hint="eastAsia" w:cs="Times New Roman"/>
                <w:kern w:val="2"/>
                <w:highlight w:val="none"/>
              </w:rPr>
              <w:t>磋商保证金及电子交易服务费用</w:t>
            </w:r>
          </w:p>
        </w:tc>
        <w:tc>
          <w:tcPr>
            <w:tcW w:w="2962" w:type="pct"/>
            <w:shd w:val="clear" w:color="auto" w:fill="auto"/>
            <w:vAlign w:val="center"/>
          </w:tcPr>
          <w:p w14:paraId="7A701449">
            <w:pPr>
              <w:ind w:firstLine="0" w:firstLineChars="0"/>
              <w:jc w:val="left"/>
              <w:rPr>
                <w:highlight w:val="none"/>
              </w:rPr>
            </w:pPr>
            <w:r>
              <w:rPr>
                <w:rFonts w:hint="eastAsia"/>
                <w:highlight w:val="none"/>
              </w:rPr>
              <w:t>符合磋商文件要求。</w:t>
            </w:r>
          </w:p>
          <w:p w14:paraId="318AE10B">
            <w:pPr>
              <w:ind w:firstLine="0" w:firstLineChars="0"/>
              <w:jc w:val="left"/>
              <w:rPr>
                <w:rFonts w:ascii="Calibri" w:hAnsi="Calibri" w:eastAsia="宋体" w:cs="Times New Roman"/>
                <w:kern w:val="2"/>
                <w:sz w:val="24"/>
                <w:szCs w:val="22"/>
                <w:highlight w:val="none"/>
                <w:lang w:val="en-US" w:eastAsia="zh-CN" w:bidi="ar-SA"/>
              </w:rPr>
            </w:pPr>
            <w:r>
              <w:rPr>
                <w:rFonts w:hint="eastAsia"/>
                <w:b/>
                <w:bCs/>
                <w:highlight w:val="none"/>
              </w:rPr>
              <w:t>备注</w:t>
            </w:r>
            <w:r>
              <w:rPr>
                <w:b/>
                <w:bCs/>
                <w:highlight w:val="none"/>
              </w:rPr>
              <w:t>：</w:t>
            </w:r>
            <w:r>
              <w:rPr>
                <w:rFonts w:hint="eastAsia"/>
                <w:b/>
                <w:szCs w:val="18"/>
                <w:highlight w:val="none"/>
              </w:rPr>
              <w:t>供应商</w:t>
            </w:r>
            <w:r>
              <w:rPr>
                <w:rFonts w:hint="eastAsia" w:cs="宋体"/>
                <w:b/>
                <w:bCs/>
                <w:szCs w:val="24"/>
                <w:highlight w:val="none"/>
              </w:rPr>
              <w:t>须知前附表及</w:t>
            </w:r>
            <w:r>
              <w:rPr>
                <w:rFonts w:hint="eastAsia"/>
                <w:b/>
                <w:szCs w:val="18"/>
                <w:highlight w:val="none"/>
              </w:rPr>
              <w:t>供应商</w:t>
            </w:r>
            <w:r>
              <w:rPr>
                <w:rFonts w:hint="eastAsia" w:cs="宋体"/>
                <w:b/>
                <w:bCs/>
                <w:szCs w:val="24"/>
                <w:highlight w:val="none"/>
              </w:rPr>
              <w:t>须知第13条（以代理机构财务查询为准）</w:t>
            </w:r>
          </w:p>
        </w:tc>
      </w:tr>
      <w:tr w14:paraId="4D70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52AEB79F">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4</w:t>
            </w:r>
          </w:p>
        </w:tc>
        <w:tc>
          <w:tcPr>
            <w:tcW w:w="1556" w:type="pct"/>
            <w:shd w:val="clear" w:color="auto" w:fill="auto"/>
            <w:vAlign w:val="center"/>
          </w:tcPr>
          <w:p w14:paraId="46AE7422">
            <w:pPr>
              <w:adjustRightInd w:val="0"/>
              <w:snapToGrid w:val="0"/>
              <w:ind w:firstLine="0" w:firstLineChars="0"/>
              <w:jc w:val="left"/>
              <w:rPr>
                <w:rFonts w:ascii="宋体" w:hAnsi="宋体" w:eastAsia="宋体" w:cs="Times New Roman"/>
                <w:kern w:val="2"/>
                <w:sz w:val="24"/>
                <w:highlight w:val="none"/>
                <w:lang w:val="en-US" w:eastAsia="zh-CN" w:bidi="ar-SA"/>
              </w:rPr>
            </w:pPr>
            <w:r>
              <w:rPr>
                <w:rFonts w:hint="eastAsia" w:cs="Times New Roman"/>
                <w:kern w:val="2"/>
                <w:highlight w:val="none"/>
              </w:rPr>
              <w:t>授权书</w:t>
            </w:r>
          </w:p>
        </w:tc>
        <w:tc>
          <w:tcPr>
            <w:tcW w:w="2962" w:type="pct"/>
            <w:shd w:val="clear" w:color="auto" w:fill="auto"/>
            <w:vAlign w:val="center"/>
          </w:tcPr>
          <w:p w14:paraId="499DE8B5">
            <w:pPr>
              <w:adjustRightInd w:val="0"/>
              <w:snapToGrid w:val="0"/>
              <w:ind w:firstLine="0" w:firstLineChars="0"/>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095E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20124B8F">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5</w:t>
            </w:r>
          </w:p>
        </w:tc>
        <w:tc>
          <w:tcPr>
            <w:tcW w:w="1556" w:type="pct"/>
            <w:shd w:val="clear" w:color="auto" w:fill="auto"/>
            <w:vAlign w:val="center"/>
          </w:tcPr>
          <w:p w14:paraId="36A3288C">
            <w:pPr>
              <w:adjustRightInd w:val="0"/>
              <w:snapToGrid w:val="0"/>
              <w:ind w:firstLine="0" w:firstLineChars="0"/>
              <w:jc w:val="left"/>
              <w:rPr>
                <w:rFonts w:hint="eastAsia" w:ascii="宋体" w:hAnsi="宋体" w:eastAsia="宋体" w:cs="Times New Roman"/>
                <w:kern w:val="2"/>
                <w:sz w:val="24"/>
                <w:highlight w:val="none"/>
                <w:lang w:val="en-US" w:eastAsia="zh-CN" w:bidi="ar-SA"/>
              </w:rPr>
            </w:pPr>
            <w:r>
              <w:rPr>
                <w:rFonts w:hint="eastAsia" w:ascii="宋体" w:hAnsi="宋体" w:eastAsia="宋体" w:cs="Times New Roman"/>
                <w:kern w:val="2"/>
                <w:sz w:val="24"/>
                <w:highlight w:val="none"/>
                <w:lang w:val="en-US" w:eastAsia="zh-CN" w:bidi="ar-SA"/>
              </w:rPr>
              <w:t>无不良信用记录声明函</w:t>
            </w:r>
          </w:p>
        </w:tc>
        <w:tc>
          <w:tcPr>
            <w:tcW w:w="2962" w:type="pct"/>
            <w:shd w:val="clear" w:color="auto" w:fill="auto"/>
            <w:vAlign w:val="center"/>
          </w:tcPr>
          <w:p w14:paraId="15DEB5D1">
            <w:pPr>
              <w:ind w:firstLine="0" w:firstLineChars="0"/>
              <w:jc w:val="left"/>
              <w:rPr>
                <w:highlight w:val="none"/>
              </w:rPr>
            </w:pPr>
            <w:r>
              <w:rPr>
                <w:rFonts w:hint="eastAsia"/>
                <w:szCs w:val="18"/>
                <w:highlight w:val="none"/>
              </w:rPr>
              <w:t>供应商</w:t>
            </w:r>
            <w:r>
              <w:rPr>
                <w:rFonts w:hint="eastAsia"/>
                <w:highlight w:val="none"/>
              </w:rPr>
              <w:t>不得存在</w:t>
            </w:r>
            <w:r>
              <w:rPr>
                <w:rFonts w:hint="eastAsia"/>
                <w:szCs w:val="18"/>
                <w:highlight w:val="none"/>
              </w:rPr>
              <w:t>供应商</w:t>
            </w:r>
            <w:r>
              <w:rPr>
                <w:rFonts w:hint="eastAsia"/>
                <w:highlight w:val="none"/>
              </w:rPr>
              <w:t>须知第</w:t>
            </w:r>
            <w:r>
              <w:rPr>
                <w:highlight w:val="none"/>
              </w:rPr>
              <w:t>1</w:t>
            </w:r>
            <w:r>
              <w:rPr>
                <w:rFonts w:hint="eastAsia"/>
                <w:highlight w:val="none"/>
              </w:rPr>
              <w:t>3</w:t>
            </w:r>
            <w:r>
              <w:rPr>
                <w:highlight w:val="none"/>
              </w:rPr>
              <w:t>.3.1.1</w:t>
            </w:r>
            <w:r>
              <w:rPr>
                <w:rFonts w:hint="eastAsia"/>
                <w:highlight w:val="none"/>
              </w:rPr>
              <w:t>条中的不良信用记录情形。</w:t>
            </w:r>
          </w:p>
          <w:p w14:paraId="3A2272A4">
            <w:pPr>
              <w:ind w:firstLine="0" w:firstLineChars="0"/>
              <w:jc w:val="left"/>
              <w:rPr>
                <w:rFonts w:ascii="宋体" w:hAnsi="宋体" w:eastAsia="宋体" w:cs="Times New Roman"/>
                <w:kern w:val="2"/>
                <w:sz w:val="24"/>
                <w:szCs w:val="22"/>
                <w:highlight w:val="none"/>
                <w:lang w:val="en-US" w:eastAsia="zh-CN" w:bidi="ar-SA"/>
              </w:rPr>
            </w:pPr>
            <w:r>
              <w:rPr>
                <w:rFonts w:hint="eastAsia"/>
                <w:highlight w:val="none"/>
              </w:rPr>
              <w:t>注：提供无不良信用记录声明函，格式后附。</w:t>
            </w:r>
          </w:p>
        </w:tc>
      </w:tr>
      <w:tr w14:paraId="4A84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3A6B1364">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6</w:t>
            </w:r>
          </w:p>
        </w:tc>
        <w:tc>
          <w:tcPr>
            <w:tcW w:w="1556" w:type="pct"/>
            <w:shd w:val="clear" w:color="auto" w:fill="auto"/>
            <w:vAlign w:val="center"/>
          </w:tcPr>
          <w:p w14:paraId="0212DDDA">
            <w:pPr>
              <w:adjustRightInd w:val="0"/>
              <w:snapToGrid w:val="0"/>
              <w:ind w:firstLine="0" w:firstLineChars="0"/>
              <w:jc w:val="left"/>
              <w:rPr>
                <w:rFonts w:ascii="宋体" w:hAnsi="宋体" w:eastAsia="宋体" w:cs="Times New Roman"/>
                <w:kern w:val="2"/>
                <w:sz w:val="24"/>
                <w:highlight w:val="none"/>
                <w:lang w:val="en-US" w:eastAsia="zh-CN" w:bidi="ar-SA"/>
              </w:rPr>
            </w:pPr>
            <w:r>
              <w:rPr>
                <w:rFonts w:hint="eastAsia" w:cs="Times New Roman"/>
                <w:kern w:val="2"/>
                <w:highlight w:val="none"/>
              </w:rPr>
              <w:t>磋商报价</w:t>
            </w:r>
          </w:p>
        </w:tc>
        <w:tc>
          <w:tcPr>
            <w:tcW w:w="2962" w:type="pct"/>
            <w:shd w:val="clear" w:color="auto" w:fill="auto"/>
            <w:vAlign w:val="center"/>
          </w:tcPr>
          <w:p w14:paraId="7F933DD4">
            <w:pPr>
              <w:adjustRightInd w:val="0"/>
              <w:snapToGrid w:val="0"/>
              <w:ind w:firstLine="0" w:firstLineChars="0"/>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10B7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81" w:type="pct"/>
            <w:vAlign w:val="center"/>
          </w:tcPr>
          <w:p w14:paraId="10AD5436">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7</w:t>
            </w:r>
          </w:p>
        </w:tc>
        <w:tc>
          <w:tcPr>
            <w:tcW w:w="1556" w:type="pct"/>
            <w:shd w:val="clear" w:color="auto" w:fill="auto"/>
            <w:vAlign w:val="center"/>
          </w:tcPr>
          <w:p w14:paraId="1DE5C951">
            <w:pPr>
              <w:adjustRightInd w:val="0"/>
              <w:snapToGrid w:val="0"/>
              <w:ind w:firstLine="0" w:firstLineChars="0"/>
              <w:jc w:val="left"/>
              <w:rPr>
                <w:rFonts w:ascii="宋体" w:hAnsi="宋体" w:eastAsia="宋体" w:cs="Times New Roman"/>
                <w:kern w:val="2"/>
                <w:sz w:val="24"/>
                <w:highlight w:val="none"/>
                <w:lang w:val="en-US" w:eastAsia="zh-CN" w:bidi="ar-SA"/>
              </w:rPr>
            </w:pPr>
            <w:r>
              <w:rPr>
                <w:rFonts w:hint="eastAsia" w:cs="Times New Roman"/>
                <w:kern w:val="2"/>
                <w:highlight w:val="none"/>
              </w:rPr>
              <w:t>其他要求</w:t>
            </w:r>
          </w:p>
        </w:tc>
        <w:tc>
          <w:tcPr>
            <w:tcW w:w="2962" w:type="pct"/>
            <w:shd w:val="clear" w:color="auto" w:fill="auto"/>
            <w:vAlign w:val="center"/>
          </w:tcPr>
          <w:p w14:paraId="07DBFAF9">
            <w:pPr>
              <w:adjustRightInd w:val="0"/>
              <w:snapToGrid w:val="0"/>
              <w:ind w:firstLine="0" w:firstLineChars="0"/>
              <w:rPr>
                <w:rFonts w:ascii="宋体" w:hAnsi="宋体" w:eastAsia="宋体" w:cs="Times New Roman"/>
                <w:kern w:val="2"/>
                <w:sz w:val="24"/>
                <w:highlight w:val="none"/>
                <w:lang w:val="en-US" w:eastAsia="zh-CN" w:bidi="ar-SA"/>
              </w:rPr>
            </w:pPr>
            <w:r>
              <w:rPr>
                <w:rFonts w:hint="eastAsia"/>
                <w:szCs w:val="28"/>
                <w:highlight w:val="none"/>
              </w:rPr>
              <w:t>符合法律、行政法规规定的其他条件或磋商文件列明的其他要求。</w:t>
            </w:r>
          </w:p>
        </w:tc>
      </w:tr>
      <w:tr w14:paraId="4AFD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vAlign w:val="center"/>
          </w:tcPr>
          <w:p w14:paraId="568DAA33">
            <w:pPr>
              <w:adjustRightInd w:val="0"/>
              <w:snapToGrid w:val="0"/>
              <w:ind w:firstLine="0" w:firstLineChars="0"/>
              <w:jc w:val="left"/>
              <w:rPr>
                <w:rFonts w:ascii="Calibri" w:hAnsi="Calibri" w:cs="Times New Roman"/>
                <w:kern w:val="2"/>
                <w:szCs w:val="22"/>
                <w:highlight w:val="none"/>
              </w:rPr>
            </w:pPr>
            <w:r>
              <w:rPr>
                <w:rFonts w:hint="eastAsia" w:ascii="Calibri" w:hAnsi="Calibri" w:cs="Times New Roman"/>
                <w:kern w:val="2"/>
                <w:szCs w:val="22"/>
                <w:highlight w:val="none"/>
              </w:rPr>
              <w:t>评审指标通过标准：供应商必须通过上述全部指标。</w:t>
            </w:r>
          </w:p>
        </w:tc>
      </w:tr>
    </w:tbl>
    <w:p w14:paraId="6FA3324C">
      <w:pPr>
        <w:ind w:firstLine="482"/>
        <w:rPr>
          <w:rFonts w:asciiTheme="minorEastAsia" w:hAnsiTheme="minorEastAsia" w:eastAsiaTheme="minorEastAsia"/>
          <w:highlight w:val="none"/>
        </w:rPr>
      </w:pPr>
      <w:r>
        <w:rPr>
          <w:rFonts w:hint="eastAsia" w:asciiTheme="minorEastAsia" w:hAnsiTheme="minorEastAsia" w:eastAsiaTheme="minorEastAsia"/>
          <w:b/>
          <w:bCs/>
          <w:highlight w:val="none"/>
        </w:rPr>
        <w:t>初审指标通过标准：</w:t>
      </w:r>
      <w:r>
        <w:rPr>
          <w:rFonts w:hint="eastAsia" w:asciiTheme="minorEastAsia" w:hAnsiTheme="minorEastAsia" w:eastAsiaTheme="minorEastAsia"/>
          <w:highlight w:val="none"/>
        </w:rPr>
        <w:t>供应商必须通过初审表中的全部评审指标。</w:t>
      </w:r>
    </w:p>
    <w:p w14:paraId="032E5D46">
      <w:pPr>
        <w:ind w:firstLine="482"/>
        <w:rPr>
          <w:rFonts w:asciiTheme="minorEastAsia" w:hAnsiTheme="minorEastAsia" w:eastAsiaTheme="minorEastAsia"/>
          <w:b/>
          <w:highlight w:val="none"/>
        </w:rPr>
      </w:pPr>
      <w:r>
        <w:rPr>
          <w:rFonts w:hint="eastAsia" w:asciiTheme="minorEastAsia" w:hAnsiTheme="minorEastAsia" w:eastAsiaTheme="minorEastAsia"/>
          <w:b/>
          <w:highlight w:val="none"/>
        </w:rPr>
        <w:t>2.2综合评分</w:t>
      </w:r>
    </w:p>
    <w:p w14:paraId="0EBA2D0B">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asciiTheme="minorEastAsia" w:hAnsiTheme="minorEastAsia" w:eastAsiaTheme="minorEastAsia"/>
          <w:highlight w:val="none"/>
        </w:rPr>
        <w:t>.</w:t>
      </w:r>
      <w:r>
        <w:rPr>
          <w:rFonts w:hint="eastAsia" w:asciiTheme="minorEastAsia" w:hAnsiTheme="minorEastAsia" w:eastAsiaTheme="minorEastAsia"/>
          <w:highlight w:val="none"/>
        </w:rPr>
        <w:t>2</w:t>
      </w:r>
      <w:r>
        <w:rPr>
          <w:rFonts w:asciiTheme="minorEastAsia" w:hAnsiTheme="minorEastAsia" w:eastAsiaTheme="minorEastAsia"/>
          <w:highlight w:val="none"/>
        </w:rPr>
        <w:t>.1</w:t>
      </w:r>
      <w:r>
        <w:rPr>
          <w:rFonts w:hint="eastAsia" w:asciiTheme="minorEastAsia" w:hAnsiTheme="minorEastAsia" w:eastAsiaTheme="minorEastAsia"/>
          <w:highlight w:val="none"/>
        </w:rPr>
        <w:t>评审委员会按照下表对</w:t>
      </w:r>
      <w:r>
        <w:rPr>
          <w:rFonts w:hint="eastAsia"/>
          <w:highlight w:val="none"/>
        </w:rPr>
        <w:t>进入综合评分的所有供应商的</w:t>
      </w:r>
      <w:r>
        <w:rPr>
          <w:rFonts w:hint="eastAsia" w:asciiTheme="minorEastAsia" w:hAnsiTheme="minorEastAsia" w:eastAsiaTheme="minorEastAsia"/>
          <w:highlight w:val="none"/>
        </w:rPr>
        <w:t>响应文件进行综合评分。</w:t>
      </w:r>
    </w:p>
    <w:p w14:paraId="76A3A82F">
      <w:pPr>
        <w:ind w:firstLine="480"/>
        <w:rPr>
          <w:rFonts w:hint="eastAsia" w:ascii="宋体" w:hAnsi="宋体" w:eastAsia="宋体" w:cs="宋体"/>
          <w:b/>
          <w:bCs/>
          <w:color w:val="000000"/>
          <w:kern w:val="0"/>
          <w:sz w:val="24"/>
          <w:szCs w:val="24"/>
          <w:highlight w:val="none"/>
          <w:lang w:val="en-US" w:eastAsia="zh-CN" w:bidi="ar"/>
        </w:rPr>
      </w:pPr>
      <w:r>
        <w:rPr>
          <w:rFonts w:hint="eastAsia" w:asciiTheme="minorEastAsia" w:hAnsiTheme="minorEastAsia" w:eastAsiaTheme="minorEastAsia"/>
          <w:b/>
          <w:bCs/>
          <w:highlight w:val="none"/>
        </w:rPr>
        <w:t>2</w:t>
      </w:r>
      <w:r>
        <w:rPr>
          <w:rFonts w:asciiTheme="minorEastAsia" w:hAnsiTheme="minorEastAsia" w:eastAsiaTheme="minorEastAsia"/>
          <w:b/>
          <w:bCs/>
          <w:highlight w:val="none"/>
        </w:rPr>
        <w:t>.</w:t>
      </w:r>
      <w:r>
        <w:rPr>
          <w:rFonts w:hint="eastAsia" w:asciiTheme="minorEastAsia" w:hAnsiTheme="minorEastAsia" w:eastAsiaTheme="minorEastAsia"/>
          <w:b/>
          <w:bCs/>
          <w:highlight w:val="none"/>
        </w:rPr>
        <w:t>2</w:t>
      </w:r>
      <w:r>
        <w:rPr>
          <w:rFonts w:asciiTheme="minorEastAsia" w:hAnsiTheme="minorEastAsia" w:eastAsiaTheme="minorEastAsia"/>
          <w:b/>
          <w:bCs/>
          <w:highlight w:val="none"/>
        </w:rPr>
        <w:t>.2</w:t>
      </w:r>
      <w:r>
        <w:rPr>
          <w:rFonts w:hint="eastAsia" w:ascii="宋体" w:hAnsi="宋体" w:eastAsia="宋体" w:cs="宋体"/>
          <w:b/>
          <w:bCs/>
          <w:color w:val="000000"/>
          <w:kern w:val="0"/>
          <w:sz w:val="24"/>
          <w:szCs w:val="24"/>
          <w:lang w:val="en-US" w:eastAsia="zh-CN" w:bidi="ar"/>
        </w:rPr>
        <w:t>本项目综合评分满分为100分，其中：技术资信分值占总分值的权重为</w:t>
      </w:r>
      <w:r>
        <w:rPr>
          <w:rFonts w:hint="eastAsia" w:cs="宋体"/>
          <w:b/>
          <w:bCs/>
          <w:color w:val="000000"/>
          <w:kern w:val="0"/>
          <w:sz w:val="24"/>
          <w:szCs w:val="24"/>
          <w:highlight w:val="none"/>
          <w:u w:val="single"/>
          <w:lang w:val="en-US" w:eastAsia="zh-CN" w:bidi="ar"/>
        </w:rPr>
        <w:t>90</w:t>
      </w:r>
      <w:r>
        <w:rPr>
          <w:rFonts w:hint="eastAsia" w:ascii="宋体" w:hAnsi="宋体" w:eastAsia="宋体" w:cs="宋体"/>
          <w:b/>
          <w:bCs/>
          <w:color w:val="000000"/>
          <w:kern w:val="0"/>
          <w:sz w:val="24"/>
          <w:szCs w:val="24"/>
          <w:highlight w:val="none"/>
          <w:lang w:val="en-US" w:eastAsia="zh-CN" w:bidi="ar"/>
        </w:rPr>
        <w:t>%，价格分值占总分值的权重为</w:t>
      </w:r>
      <w:r>
        <w:rPr>
          <w:rFonts w:hint="eastAsia" w:cs="宋体"/>
          <w:b/>
          <w:bCs/>
          <w:color w:val="000000"/>
          <w:kern w:val="0"/>
          <w:sz w:val="24"/>
          <w:szCs w:val="24"/>
          <w:highlight w:val="none"/>
          <w:u w:val="single"/>
          <w:lang w:val="en-US" w:eastAsia="zh-CN" w:bidi="ar"/>
        </w:rPr>
        <w:t>10</w:t>
      </w:r>
      <w:r>
        <w:rPr>
          <w:rFonts w:hint="eastAsia" w:ascii="宋体" w:hAnsi="宋体" w:eastAsia="宋体" w:cs="宋体"/>
          <w:b/>
          <w:bCs/>
          <w:color w:val="000000"/>
          <w:kern w:val="0"/>
          <w:sz w:val="24"/>
          <w:szCs w:val="24"/>
          <w:highlight w:val="none"/>
          <w:lang w:val="en-US" w:eastAsia="zh-CN" w:bidi="ar"/>
        </w:rPr>
        <w:t>%。具体评分细则如下：</w:t>
      </w:r>
    </w:p>
    <w:tbl>
      <w:tblPr>
        <w:tblStyle w:val="27"/>
        <w:tblW w:w="96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1320"/>
        <w:gridCol w:w="6075"/>
        <w:gridCol w:w="1249"/>
      </w:tblGrid>
      <w:tr w14:paraId="6B1FF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994" w:type="dxa"/>
            <w:tcBorders>
              <w:tl2br w:val="nil"/>
              <w:tr2bl w:val="nil"/>
            </w:tcBorders>
            <w:vAlign w:val="center"/>
          </w:tcPr>
          <w:p w14:paraId="76ED4AEC">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8"/>
                <w:sz w:val="24"/>
                <w:szCs w:val="24"/>
              </w:rPr>
              <w:t>类别</w:t>
            </w:r>
          </w:p>
        </w:tc>
        <w:tc>
          <w:tcPr>
            <w:tcW w:w="1320" w:type="dxa"/>
            <w:tcBorders>
              <w:tl2br w:val="nil"/>
              <w:tr2bl w:val="nil"/>
            </w:tcBorders>
            <w:vAlign w:val="center"/>
          </w:tcPr>
          <w:p w14:paraId="4B9AAC28">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评分内容</w:t>
            </w:r>
          </w:p>
        </w:tc>
        <w:tc>
          <w:tcPr>
            <w:tcW w:w="6075" w:type="dxa"/>
            <w:tcBorders>
              <w:tl2br w:val="nil"/>
              <w:tr2bl w:val="nil"/>
            </w:tcBorders>
            <w:vAlign w:val="center"/>
          </w:tcPr>
          <w:p w14:paraId="5AF371EA">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评分标准</w:t>
            </w:r>
          </w:p>
        </w:tc>
        <w:tc>
          <w:tcPr>
            <w:tcW w:w="1249" w:type="dxa"/>
            <w:tcBorders>
              <w:tl2br w:val="nil"/>
              <w:tr2bl w:val="nil"/>
            </w:tcBorders>
            <w:vAlign w:val="center"/>
          </w:tcPr>
          <w:p w14:paraId="23F148B6">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分值范围</w:t>
            </w:r>
          </w:p>
        </w:tc>
      </w:tr>
      <w:tr w14:paraId="09F9D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4" w:type="dxa"/>
            <w:vMerge w:val="restart"/>
            <w:tcBorders>
              <w:tl2br w:val="nil"/>
              <w:tr2bl w:val="nil"/>
            </w:tcBorders>
            <w:vAlign w:val="center"/>
          </w:tcPr>
          <w:p w14:paraId="1977AC0C">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技术资</w:t>
            </w:r>
          </w:p>
          <w:p w14:paraId="1C08E6B2">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pacing w:val="-1"/>
                <w:sz w:val="24"/>
                <w:szCs w:val="24"/>
              </w:rPr>
            </w:pPr>
            <w:r>
              <w:rPr>
                <w:rFonts w:hint="eastAsia" w:ascii="宋体" w:hAnsi="宋体" w:eastAsia="宋体" w:cs="宋体"/>
                <w:spacing w:val="-6"/>
                <w:sz w:val="24"/>
                <w:szCs w:val="24"/>
              </w:rPr>
              <w:t>信</w:t>
            </w:r>
            <w:r>
              <w:rPr>
                <w:rFonts w:hint="eastAsia" w:ascii="宋体" w:hAnsi="宋体" w:eastAsia="宋体" w:cs="宋体"/>
                <w:spacing w:val="-1"/>
                <w:sz w:val="24"/>
                <w:szCs w:val="24"/>
              </w:rPr>
              <w:t>分</w:t>
            </w:r>
          </w:p>
          <w:p w14:paraId="638B5DB1">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eastAsia="zh-CN"/>
              </w:rPr>
              <w:t>90</w:t>
            </w:r>
            <w:r>
              <w:rPr>
                <w:rFonts w:hint="eastAsia" w:ascii="宋体" w:hAnsi="宋体" w:eastAsia="宋体" w:cs="宋体"/>
                <w:spacing w:val="-1"/>
                <w:sz w:val="24"/>
                <w:szCs w:val="24"/>
              </w:rPr>
              <w:t>分）</w:t>
            </w:r>
          </w:p>
        </w:tc>
        <w:tc>
          <w:tcPr>
            <w:tcW w:w="1320" w:type="dxa"/>
            <w:tcBorders>
              <w:tl2br w:val="nil"/>
              <w:tr2bl w:val="nil"/>
            </w:tcBorders>
            <w:vAlign w:val="center"/>
          </w:tcPr>
          <w:p w14:paraId="6843331A">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firstLine="0"/>
              <w:jc w:val="center"/>
              <w:textAlignment w:val="auto"/>
              <w:rPr>
                <w:rFonts w:hint="eastAsia" w:ascii="宋体" w:hAnsi="宋体" w:eastAsia="宋体" w:cs="宋体"/>
                <w:b w:val="0"/>
                <w:bCs w:val="0"/>
                <w:sz w:val="24"/>
                <w:szCs w:val="24"/>
              </w:rPr>
            </w:pPr>
            <w:r>
              <w:rPr>
                <w:rFonts w:hint="eastAsia" w:ascii="宋体" w:hAnsi="宋体" w:eastAsia="宋体" w:cs="宋体"/>
                <w:spacing w:val="-2"/>
                <w:sz w:val="24"/>
                <w:szCs w:val="24"/>
              </w:rPr>
              <w:t>整体</w:t>
            </w:r>
            <w:r>
              <w:rPr>
                <w:rFonts w:hint="eastAsia" w:ascii="宋体" w:hAnsi="宋体" w:eastAsia="宋体" w:cs="宋体"/>
                <w:spacing w:val="-3"/>
                <w:sz w:val="24"/>
                <w:szCs w:val="24"/>
              </w:rPr>
              <w:t>设想及策划</w:t>
            </w:r>
          </w:p>
        </w:tc>
        <w:tc>
          <w:tcPr>
            <w:tcW w:w="6075" w:type="dxa"/>
            <w:tcBorders>
              <w:tl2br w:val="nil"/>
              <w:tr2bl w:val="nil"/>
            </w:tcBorders>
            <w:vAlign w:val="top"/>
          </w:tcPr>
          <w:p w14:paraId="4BD38DC8">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lang w:eastAsia="zh-CN"/>
              </w:rPr>
            </w:pPr>
            <w:r>
              <w:rPr>
                <w:rFonts w:hint="eastAsia" w:ascii="宋体" w:hAnsi="宋体" w:eastAsia="宋体" w:cs="宋体"/>
                <w:spacing w:val="-6"/>
                <w:sz w:val="24"/>
                <w:szCs w:val="24"/>
              </w:rPr>
              <w:t>供应商提供针对本项目的</w:t>
            </w:r>
            <w:r>
              <w:rPr>
                <w:rFonts w:hint="eastAsia" w:ascii="宋体" w:hAnsi="宋体" w:eastAsia="宋体" w:cs="宋体"/>
                <w:b/>
                <w:bCs/>
                <w:spacing w:val="-1"/>
                <w:sz w:val="24"/>
                <w:szCs w:val="24"/>
              </w:rPr>
              <w:t>物业服务</w:t>
            </w:r>
            <w:r>
              <w:rPr>
                <w:rFonts w:hint="eastAsia" w:ascii="宋体" w:hAnsi="宋体" w:eastAsia="宋体" w:cs="宋体"/>
                <w:b/>
                <w:bCs/>
                <w:spacing w:val="-1"/>
                <w:sz w:val="24"/>
                <w:szCs w:val="24"/>
                <w:lang w:val="en-US" w:eastAsia="zh-CN"/>
              </w:rPr>
              <w:t>项目</w:t>
            </w:r>
            <w:r>
              <w:rPr>
                <w:rFonts w:hint="eastAsia" w:ascii="宋体" w:hAnsi="宋体" w:eastAsia="宋体" w:cs="宋体"/>
                <w:b/>
                <w:bCs/>
                <w:spacing w:val="-1"/>
                <w:sz w:val="24"/>
                <w:szCs w:val="24"/>
              </w:rPr>
              <w:t>整体</w:t>
            </w:r>
            <w:r>
              <w:rPr>
                <w:rFonts w:hint="eastAsia" w:ascii="宋体" w:hAnsi="宋体" w:eastAsia="宋体" w:cs="宋体"/>
                <w:b/>
                <w:bCs/>
                <w:spacing w:val="-5"/>
                <w:sz w:val="24"/>
                <w:szCs w:val="24"/>
              </w:rPr>
              <w:t>设想及策划</w:t>
            </w:r>
            <w:r>
              <w:rPr>
                <w:rFonts w:hint="eastAsia" w:ascii="宋体" w:hAnsi="宋体" w:eastAsia="宋体" w:cs="宋体"/>
                <w:spacing w:val="-5"/>
                <w:sz w:val="24"/>
                <w:szCs w:val="24"/>
                <w:lang w:eastAsia="zh-CN"/>
              </w:rPr>
              <w:t>，</w:t>
            </w:r>
          </w:p>
          <w:p w14:paraId="17EF8FED">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47E91B44">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19CAE5C2">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b/>
                <w:bCs/>
                <w:spacing w:val="-3"/>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0CEEC79E">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5D18A403">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60E19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994" w:type="dxa"/>
            <w:vMerge w:val="continue"/>
            <w:tcBorders>
              <w:tl2br w:val="nil"/>
              <w:tr2bl w:val="nil"/>
            </w:tcBorders>
            <w:vAlign w:val="center"/>
          </w:tcPr>
          <w:p w14:paraId="27666AFB">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6E8F611B">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firstLine="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7"/>
                <w:sz w:val="24"/>
                <w:szCs w:val="24"/>
              </w:rPr>
              <w:t>管理方</w:t>
            </w:r>
            <w:r>
              <w:rPr>
                <w:rFonts w:hint="eastAsia" w:ascii="宋体" w:hAnsi="宋体" w:eastAsia="宋体" w:cs="宋体"/>
                <w:b w:val="0"/>
                <w:bCs w:val="0"/>
                <w:spacing w:val="-5"/>
                <w:sz w:val="24"/>
                <w:szCs w:val="24"/>
              </w:rPr>
              <w:t>式</w:t>
            </w:r>
            <w:r>
              <w:rPr>
                <w:rFonts w:hint="eastAsia" w:ascii="宋体" w:hAnsi="宋体" w:eastAsia="宋体" w:cs="宋体"/>
                <w:b w:val="0"/>
                <w:bCs w:val="0"/>
                <w:spacing w:val="-5"/>
                <w:sz w:val="24"/>
                <w:szCs w:val="24"/>
                <w:lang w:val="en-US" w:eastAsia="zh-CN"/>
              </w:rPr>
              <w:t>及</w:t>
            </w:r>
            <w:r>
              <w:rPr>
                <w:rFonts w:hint="eastAsia" w:ascii="宋体" w:hAnsi="宋体" w:eastAsia="宋体" w:cs="宋体"/>
                <w:b w:val="0"/>
                <w:bCs w:val="0"/>
                <w:spacing w:val="-5"/>
                <w:sz w:val="24"/>
                <w:szCs w:val="24"/>
              </w:rPr>
              <w:t>工作计划</w:t>
            </w:r>
          </w:p>
        </w:tc>
        <w:tc>
          <w:tcPr>
            <w:tcW w:w="6075" w:type="dxa"/>
            <w:tcBorders>
              <w:tl2br w:val="nil"/>
              <w:tr2bl w:val="nil"/>
            </w:tcBorders>
            <w:vAlign w:val="top"/>
          </w:tcPr>
          <w:p w14:paraId="5D9388BF">
            <w:pPr>
              <w:pStyle w:val="26"/>
              <w:keepNext w:val="0"/>
              <w:keepLines w:val="0"/>
              <w:pageBreakBefore w:val="0"/>
              <w:kinsoku/>
              <w:wordWrap/>
              <w:overflowPunct/>
              <w:topLinePunct w:val="0"/>
              <w:autoSpaceDE/>
              <w:autoSpaceDN/>
              <w:bidi w:val="0"/>
              <w:adjustRightInd/>
              <w:snapToGrid/>
              <w:spacing w:line="480" w:lineRule="exact"/>
              <w:ind w:left="89" w:leftChars="25" w:right="60" w:rightChars="25" w:hanging="29"/>
              <w:textAlignment w:val="auto"/>
              <w:rPr>
                <w:rFonts w:hint="eastAsia" w:ascii="宋体" w:hAnsi="宋体" w:eastAsia="宋体" w:cs="宋体"/>
                <w:sz w:val="24"/>
                <w:szCs w:val="24"/>
              </w:rPr>
            </w:pPr>
            <w:r>
              <w:rPr>
                <w:rFonts w:hint="eastAsia" w:ascii="宋体" w:hAnsi="宋体" w:eastAsia="宋体" w:cs="宋体"/>
                <w:sz w:val="24"/>
                <w:szCs w:val="24"/>
              </w:rPr>
              <w:t>供应商提供针对本项目的</w:t>
            </w:r>
            <w:r>
              <w:rPr>
                <w:rFonts w:hint="eastAsia" w:ascii="宋体" w:hAnsi="宋体" w:eastAsia="宋体" w:cs="宋体"/>
                <w:b/>
                <w:bCs/>
                <w:sz w:val="24"/>
                <w:szCs w:val="24"/>
              </w:rPr>
              <w:t>管理方式及工作计划</w:t>
            </w:r>
            <w:r>
              <w:rPr>
                <w:rFonts w:hint="eastAsia" w:ascii="宋体" w:hAnsi="宋体" w:eastAsia="宋体" w:cs="宋体"/>
                <w:sz w:val="24"/>
                <w:szCs w:val="24"/>
              </w:rPr>
              <w:t>，主要</w:t>
            </w:r>
            <w:r>
              <w:rPr>
                <w:rFonts w:hint="eastAsia" w:ascii="宋体" w:hAnsi="宋体" w:eastAsia="宋体" w:cs="宋体"/>
                <w:spacing w:val="-2"/>
                <w:sz w:val="24"/>
                <w:szCs w:val="24"/>
              </w:rPr>
              <w:t>内容包括但不限于：</w:t>
            </w:r>
          </w:p>
          <w:p w14:paraId="5697B626">
            <w:pPr>
              <w:pStyle w:val="26"/>
              <w:keepNext w:val="0"/>
              <w:keepLines w:val="0"/>
              <w:pageBreakBefore w:val="0"/>
              <w:kinsoku/>
              <w:wordWrap/>
              <w:overflowPunct/>
              <w:topLinePunct w:val="0"/>
              <w:autoSpaceDE/>
              <w:autoSpaceDN/>
              <w:bidi w:val="0"/>
              <w:adjustRightInd/>
              <w:snapToGrid/>
              <w:spacing w:line="480" w:lineRule="exact"/>
              <w:ind w:left="100" w:leftChars="25" w:right="60" w:rightChars="25" w:hanging="40"/>
              <w:textAlignment w:val="auto"/>
              <w:rPr>
                <w:rFonts w:hint="eastAsia" w:ascii="宋体" w:hAnsi="宋体" w:eastAsia="宋体" w:cs="宋体"/>
                <w:sz w:val="24"/>
                <w:szCs w:val="24"/>
              </w:rPr>
            </w:pPr>
            <w:r>
              <w:rPr>
                <w:rFonts w:hint="eastAsia" w:ascii="宋体" w:hAnsi="宋体" w:eastAsia="宋体" w:cs="宋体"/>
                <w:spacing w:val="1"/>
                <w:sz w:val="24"/>
                <w:szCs w:val="24"/>
              </w:rPr>
              <w:t>①管理方式：内部管理架构、激励机制、监督机制、</w:t>
            </w:r>
            <w:r>
              <w:rPr>
                <w:rFonts w:hint="eastAsia" w:ascii="宋体" w:hAnsi="宋体" w:eastAsia="宋体" w:cs="宋体"/>
                <w:spacing w:val="3"/>
                <w:sz w:val="24"/>
                <w:szCs w:val="24"/>
              </w:rPr>
              <w:t>自我约束机制、信息反馈及处理机制等；</w:t>
            </w:r>
          </w:p>
          <w:p w14:paraId="0FE3A998">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spacing w:val="12"/>
                <w:sz w:val="24"/>
                <w:szCs w:val="24"/>
              </w:rPr>
              <w:t>②工作计划：工作流程、各项管理、服务项目的长</w:t>
            </w:r>
            <w:r>
              <w:rPr>
                <w:rFonts w:hint="eastAsia" w:ascii="宋体" w:hAnsi="宋体" w:eastAsia="宋体" w:cs="宋体"/>
                <w:spacing w:val="6"/>
                <w:sz w:val="24"/>
                <w:szCs w:val="24"/>
              </w:rPr>
              <w:t>远计划和短期安排等；</w:t>
            </w:r>
          </w:p>
          <w:p w14:paraId="02DF9EB3">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091B3BA7">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236D1BF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
              <w:textAlignment w:val="auto"/>
              <w:rPr>
                <w:rFonts w:hint="eastAsia" w:ascii="宋体" w:hAnsi="宋体" w:eastAsia="宋体" w:cs="宋体"/>
                <w:b/>
                <w:bCs/>
                <w:spacing w:val="-3"/>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78177A2A">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
              <w:textAlignment w:val="auto"/>
              <w:rPr>
                <w:rFonts w:hint="eastAsia" w:ascii="宋体" w:hAnsi="宋体" w:eastAsia="宋体" w:cs="宋体"/>
                <w:spacing w:val="-1"/>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6251752C">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586C1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994" w:type="dxa"/>
            <w:vMerge w:val="continue"/>
            <w:tcBorders>
              <w:tl2br w:val="nil"/>
              <w:tr2bl w:val="nil"/>
            </w:tcBorders>
            <w:vAlign w:val="center"/>
          </w:tcPr>
          <w:p w14:paraId="261784B7">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2808C5E0">
            <w:pPr>
              <w:pStyle w:val="26"/>
              <w:keepNext w:val="0"/>
              <w:keepLines w:val="0"/>
              <w:pageBreakBefore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pacing w:val="-7"/>
                <w:sz w:val="24"/>
                <w:szCs w:val="24"/>
              </w:rPr>
            </w:pPr>
            <w:r>
              <w:rPr>
                <w:rFonts w:hint="eastAsia" w:ascii="宋体" w:hAnsi="宋体" w:eastAsia="宋体" w:cs="宋体"/>
                <w:b w:val="0"/>
                <w:bCs w:val="0"/>
                <w:spacing w:val="-5"/>
                <w:sz w:val="24"/>
                <w:szCs w:val="24"/>
              </w:rPr>
              <w:t>人员培训和管理方</w:t>
            </w:r>
            <w:r>
              <w:rPr>
                <w:rFonts w:hint="eastAsia" w:ascii="宋体" w:hAnsi="宋体" w:eastAsia="宋体" w:cs="宋体"/>
                <w:b w:val="0"/>
                <w:bCs w:val="0"/>
                <w:spacing w:val="-3"/>
                <w:sz w:val="24"/>
                <w:szCs w:val="24"/>
              </w:rPr>
              <w:t>案</w:t>
            </w:r>
          </w:p>
        </w:tc>
        <w:tc>
          <w:tcPr>
            <w:tcW w:w="6075" w:type="dxa"/>
            <w:tcBorders>
              <w:tl2br w:val="nil"/>
              <w:tr2bl w:val="nil"/>
            </w:tcBorders>
            <w:vAlign w:val="top"/>
          </w:tcPr>
          <w:p w14:paraId="54781DFB">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11"/>
                <w:sz w:val="24"/>
                <w:szCs w:val="24"/>
              </w:rPr>
              <w:t>供应商提供针对本项目的</w:t>
            </w:r>
            <w:r>
              <w:rPr>
                <w:rFonts w:hint="eastAsia" w:ascii="宋体" w:hAnsi="宋体" w:eastAsia="宋体" w:cs="宋体"/>
                <w:b/>
                <w:bCs/>
                <w:spacing w:val="11"/>
                <w:sz w:val="24"/>
                <w:szCs w:val="24"/>
              </w:rPr>
              <w:t>人员培训和管理方案</w:t>
            </w:r>
            <w:r>
              <w:rPr>
                <w:rFonts w:hint="eastAsia" w:ascii="宋体" w:hAnsi="宋体" w:eastAsia="宋体" w:cs="宋体"/>
                <w:spacing w:val="11"/>
                <w:sz w:val="24"/>
                <w:szCs w:val="24"/>
              </w:rPr>
              <w:t>，主</w:t>
            </w:r>
            <w:r>
              <w:rPr>
                <w:rFonts w:hint="eastAsia" w:ascii="宋体" w:hAnsi="宋体" w:eastAsia="宋体" w:cs="宋体"/>
                <w:spacing w:val="6"/>
                <w:sz w:val="24"/>
                <w:szCs w:val="24"/>
              </w:rPr>
              <w:t>要内容包括但不限于：</w:t>
            </w:r>
          </w:p>
          <w:p w14:paraId="25A2E2D5">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8"/>
                <w:sz w:val="24"/>
                <w:szCs w:val="24"/>
              </w:rPr>
              <w:t>①人员培训：对各类人员的培训计划、方式、目标</w:t>
            </w:r>
            <w:r>
              <w:rPr>
                <w:rFonts w:hint="eastAsia" w:ascii="宋体" w:hAnsi="宋体" w:eastAsia="宋体" w:cs="宋体"/>
                <w:spacing w:val="2"/>
                <w:sz w:val="24"/>
                <w:szCs w:val="24"/>
              </w:rPr>
              <w:t>及行为规范的培训等；</w:t>
            </w:r>
          </w:p>
          <w:p w14:paraId="22270E28">
            <w:pPr>
              <w:pStyle w:val="26"/>
              <w:keepNext w:val="0"/>
              <w:keepLines w:val="0"/>
              <w:pageBreakBefore w:val="0"/>
              <w:kinsoku/>
              <w:wordWrap/>
              <w:overflowPunct/>
              <w:topLinePunct w:val="0"/>
              <w:autoSpaceDE/>
              <w:autoSpaceDN/>
              <w:bidi w:val="0"/>
              <w:adjustRightInd/>
              <w:snapToGrid/>
              <w:spacing w:line="480" w:lineRule="exact"/>
              <w:ind w:left="65" w:leftChars="25" w:right="60" w:rightChars="25" w:hanging="5"/>
              <w:textAlignment w:val="auto"/>
              <w:rPr>
                <w:rFonts w:hint="eastAsia" w:ascii="宋体" w:hAnsi="宋体" w:eastAsia="宋体" w:cs="宋体"/>
                <w:sz w:val="24"/>
                <w:szCs w:val="24"/>
              </w:rPr>
            </w:pPr>
            <w:r>
              <w:rPr>
                <w:rFonts w:hint="eastAsia" w:ascii="宋体" w:hAnsi="宋体" w:eastAsia="宋体" w:cs="宋体"/>
                <w:spacing w:val="12"/>
                <w:sz w:val="24"/>
                <w:szCs w:val="24"/>
              </w:rPr>
              <w:t>②人员管理：录用与考核、淘汰机制、奖罚、协调</w:t>
            </w:r>
            <w:r>
              <w:rPr>
                <w:rFonts w:hint="eastAsia" w:ascii="宋体" w:hAnsi="宋体" w:eastAsia="宋体" w:cs="宋体"/>
                <w:spacing w:val="8"/>
                <w:sz w:val="24"/>
                <w:szCs w:val="24"/>
              </w:rPr>
              <w:t>关系、服务意识、量化管理及标准运作等；</w:t>
            </w:r>
          </w:p>
          <w:p w14:paraId="2C3EE07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5C75248E">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16A077F9">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6C54009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b/>
                <w:bCs/>
                <w:spacing w:val="-3"/>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724F34B5">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670C9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4" w:type="dxa"/>
            <w:vMerge w:val="continue"/>
            <w:tcBorders>
              <w:tl2br w:val="nil"/>
              <w:tr2bl w:val="nil"/>
            </w:tcBorders>
            <w:vAlign w:val="center"/>
          </w:tcPr>
          <w:p w14:paraId="4F5BBC00">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4E59BAA5">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6"/>
                <w:sz w:val="24"/>
                <w:szCs w:val="24"/>
              </w:rPr>
              <w:t>管理制度</w:t>
            </w:r>
          </w:p>
        </w:tc>
        <w:tc>
          <w:tcPr>
            <w:tcW w:w="6075" w:type="dxa"/>
            <w:tcBorders>
              <w:tl2br w:val="nil"/>
              <w:tr2bl w:val="nil"/>
            </w:tcBorders>
            <w:vAlign w:val="top"/>
          </w:tcPr>
          <w:p w14:paraId="53BF1EF8">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
              <w:textAlignment w:val="auto"/>
              <w:rPr>
                <w:rFonts w:hint="eastAsia" w:ascii="宋体" w:hAnsi="宋体" w:eastAsia="宋体" w:cs="宋体"/>
                <w:sz w:val="24"/>
                <w:szCs w:val="24"/>
              </w:rPr>
            </w:pPr>
            <w:r>
              <w:rPr>
                <w:rFonts w:hint="eastAsia" w:ascii="宋体" w:hAnsi="宋体" w:eastAsia="宋体" w:cs="宋体"/>
                <w:spacing w:val="11"/>
                <w:sz w:val="24"/>
                <w:szCs w:val="24"/>
              </w:rPr>
              <w:t>供应商提供针对本项目的</w:t>
            </w:r>
            <w:r>
              <w:rPr>
                <w:rFonts w:hint="eastAsia" w:ascii="宋体" w:hAnsi="宋体" w:eastAsia="宋体" w:cs="宋体"/>
                <w:b/>
                <w:bCs/>
                <w:spacing w:val="11"/>
                <w:sz w:val="24"/>
                <w:szCs w:val="24"/>
              </w:rPr>
              <w:t>管理制度</w:t>
            </w:r>
            <w:r>
              <w:rPr>
                <w:rFonts w:hint="eastAsia" w:ascii="宋体" w:hAnsi="宋体" w:eastAsia="宋体" w:cs="宋体"/>
                <w:spacing w:val="11"/>
                <w:sz w:val="24"/>
                <w:szCs w:val="24"/>
              </w:rPr>
              <w:t>，主要内容包括</w:t>
            </w:r>
            <w:r>
              <w:rPr>
                <w:rFonts w:hint="eastAsia" w:ascii="宋体" w:hAnsi="宋体" w:eastAsia="宋体" w:cs="宋体"/>
                <w:spacing w:val="4"/>
                <w:sz w:val="24"/>
                <w:szCs w:val="24"/>
              </w:rPr>
              <w:t>但不限于：</w:t>
            </w:r>
          </w:p>
          <w:p w14:paraId="0BB95A62">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spacing w:val="12"/>
                <w:sz w:val="24"/>
                <w:szCs w:val="24"/>
              </w:rPr>
              <w:t>①工作制度、企业内部岗位责任制、管理维护运作</w:t>
            </w:r>
            <w:r>
              <w:rPr>
                <w:rFonts w:hint="eastAsia" w:ascii="宋体" w:hAnsi="宋体" w:eastAsia="宋体" w:cs="宋体"/>
                <w:spacing w:val="7"/>
                <w:sz w:val="24"/>
                <w:szCs w:val="24"/>
              </w:rPr>
              <w:t>制度及标准描述清晰且合理可行；</w:t>
            </w:r>
          </w:p>
          <w:p w14:paraId="1AE290D9">
            <w:pPr>
              <w:pStyle w:val="26"/>
              <w:keepNext w:val="0"/>
              <w:keepLines w:val="0"/>
              <w:pageBreakBefore w:val="0"/>
              <w:kinsoku/>
              <w:wordWrap/>
              <w:overflowPunct/>
              <w:topLinePunct w:val="0"/>
              <w:autoSpaceDE/>
              <w:autoSpaceDN/>
              <w:bidi w:val="0"/>
              <w:adjustRightInd/>
              <w:snapToGrid/>
              <w:spacing w:line="480" w:lineRule="exact"/>
              <w:ind w:left="62" w:leftChars="25" w:right="60" w:rightChars="25" w:hanging="2"/>
              <w:textAlignment w:val="auto"/>
              <w:rPr>
                <w:rFonts w:hint="eastAsia" w:ascii="宋体" w:hAnsi="宋体" w:eastAsia="宋体" w:cs="宋体"/>
                <w:sz w:val="24"/>
                <w:szCs w:val="24"/>
              </w:rPr>
            </w:pPr>
            <w:r>
              <w:rPr>
                <w:rFonts w:hint="eastAsia" w:ascii="宋体" w:hAnsi="宋体" w:eastAsia="宋体" w:cs="宋体"/>
                <w:spacing w:val="12"/>
                <w:sz w:val="24"/>
                <w:szCs w:val="24"/>
              </w:rPr>
              <w:t>②档案的建立与管理制度，要求符合规范，体现高</w:t>
            </w:r>
            <w:r>
              <w:rPr>
                <w:rFonts w:hint="eastAsia" w:ascii="宋体" w:hAnsi="宋体" w:eastAsia="宋体" w:cs="宋体"/>
                <w:spacing w:val="7"/>
                <w:sz w:val="24"/>
                <w:szCs w:val="24"/>
              </w:rPr>
              <w:t>标准、科学合理、详细完整等；</w:t>
            </w:r>
          </w:p>
          <w:p w14:paraId="7ABF991B">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7E43EE7E">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1513370D">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4449DEAC">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25123743">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7C43B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8" w:hRule="atLeast"/>
          <w:jc w:val="center"/>
        </w:trPr>
        <w:tc>
          <w:tcPr>
            <w:tcW w:w="994" w:type="dxa"/>
            <w:vMerge w:val="continue"/>
            <w:tcBorders>
              <w:tl2br w:val="nil"/>
              <w:tr2bl w:val="nil"/>
            </w:tcBorders>
            <w:vAlign w:val="center"/>
          </w:tcPr>
          <w:p w14:paraId="4ABC2A79">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0FEA4E3E">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应急预案</w:t>
            </w:r>
          </w:p>
        </w:tc>
        <w:tc>
          <w:tcPr>
            <w:tcW w:w="6075" w:type="dxa"/>
            <w:tcBorders>
              <w:tl2br w:val="nil"/>
              <w:tr2bl w:val="nil"/>
            </w:tcBorders>
            <w:vAlign w:val="top"/>
          </w:tcPr>
          <w:p w14:paraId="5BE1C8C9">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
              <w:textAlignment w:val="auto"/>
              <w:rPr>
                <w:rFonts w:hint="eastAsia" w:ascii="宋体" w:hAnsi="宋体" w:eastAsia="宋体" w:cs="宋体"/>
                <w:sz w:val="24"/>
                <w:szCs w:val="24"/>
              </w:rPr>
            </w:pPr>
            <w:r>
              <w:rPr>
                <w:rFonts w:hint="eastAsia" w:ascii="宋体" w:hAnsi="宋体" w:eastAsia="宋体" w:cs="宋体"/>
                <w:spacing w:val="11"/>
                <w:sz w:val="24"/>
                <w:szCs w:val="24"/>
              </w:rPr>
              <w:t>供应商提供针对本项目的</w:t>
            </w:r>
            <w:r>
              <w:rPr>
                <w:rFonts w:hint="eastAsia" w:ascii="宋体" w:hAnsi="宋体" w:eastAsia="宋体" w:cs="宋体"/>
                <w:b/>
                <w:bCs/>
                <w:spacing w:val="11"/>
                <w:sz w:val="24"/>
                <w:szCs w:val="24"/>
              </w:rPr>
              <w:t>应急预案</w:t>
            </w:r>
            <w:r>
              <w:rPr>
                <w:rFonts w:hint="eastAsia" w:ascii="宋体" w:hAnsi="宋体" w:eastAsia="宋体" w:cs="宋体"/>
                <w:spacing w:val="11"/>
                <w:sz w:val="24"/>
                <w:szCs w:val="24"/>
              </w:rPr>
              <w:t>，主要内容包括</w:t>
            </w:r>
            <w:r>
              <w:rPr>
                <w:rFonts w:hint="eastAsia" w:ascii="宋体" w:hAnsi="宋体" w:eastAsia="宋体" w:cs="宋体"/>
                <w:spacing w:val="4"/>
                <w:sz w:val="24"/>
                <w:szCs w:val="24"/>
              </w:rPr>
              <w:t>但不限于：</w:t>
            </w:r>
          </w:p>
          <w:p w14:paraId="172BAF45">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6"/>
                <w:sz w:val="24"/>
                <w:szCs w:val="24"/>
              </w:rPr>
              <w:t>①紧急事件剖析；</w:t>
            </w:r>
          </w:p>
          <w:p w14:paraId="1A5C685B">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6"/>
                <w:sz w:val="24"/>
                <w:szCs w:val="24"/>
              </w:rPr>
              <w:t>②应对措施方案；</w:t>
            </w:r>
          </w:p>
          <w:p w14:paraId="6B4438E8">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7"/>
                <w:sz w:val="24"/>
                <w:szCs w:val="24"/>
              </w:rPr>
              <w:t>③安全事故应急预案等；</w:t>
            </w:r>
          </w:p>
          <w:p w14:paraId="00B2B1C9">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49F8BA6D">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0A8CC690">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142CE6C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14813A28">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78B2D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4" w:type="dxa"/>
            <w:vMerge w:val="continue"/>
            <w:tcBorders>
              <w:tl2br w:val="nil"/>
              <w:tr2bl w:val="nil"/>
            </w:tcBorders>
            <w:vAlign w:val="center"/>
          </w:tcPr>
          <w:p w14:paraId="4E4D86EF">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1951AF0B">
            <w:pPr>
              <w:pStyle w:val="26"/>
              <w:keepNext w:val="0"/>
              <w:keepLines w:val="0"/>
              <w:pageBreakBefore w:val="0"/>
              <w:kinsoku/>
              <w:wordWrap/>
              <w:overflowPunct/>
              <w:topLinePunct w:val="0"/>
              <w:autoSpaceDE/>
              <w:autoSpaceDN/>
              <w:bidi w:val="0"/>
              <w:adjustRightInd/>
              <w:snapToGrid/>
              <w:spacing w:line="480" w:lineRule="exact"/>
              <w:ind w:left="0" w:leftChars="0" w:right="0" w:firstLine="35"/>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15"/>
                <w:sz w:val="24"/>
                <w:szCs w:val="24"/>
                <w:lang w:val="en-US" w:eastAsia="zh-CN"/>
              </w:rPr>
              <w:t>环境清洁</w:t>
            </w:r>
            <w:r>
              <w:rPr>
                <w:rFonts w:hint="eastAsia" w:ascii="宋体" w:hAnsi="宋体" w:eastAsia="宋体" w:cs="宋体"/>
                <w:b w:val="0"/>
                <w:bCs w:val="0"/>
                <w:spacing w:val="-6"/>
                <w:sz w:val="24"/>
                <w:szCs w:val="24"/>
              </w:rPr>
              <w:t>方案</w:t>
            </w:r>
          </w:p>
        </w:tc>
        <w:tc>
          <w:tcPr>
            <w:tcW w:w="6075" w:type="dxa"/>
            <w:tcBorders>
              <w:tl2br w:val="nil"/>
              <w:tr2bl w:val="nil"/>
            </w:tcBorders>
            <w:vAlign w:val="top"/>
          </w:tcPr>
          <w:p w14:paraId="6117C65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lang w:eastAsia="zh-CN"/>
              </w:rPr>
            </w:pPr>
            <w:r>
              <w:rPr>
                <w:rFonts w:hint="eastAsia" w:ascii="宋体" w:hAnsi="宋体" w:eastAsia="宋体" w:cs="宋体"/>
                <w:spacing w:val="11"/>
                <w:sz w:val="24"/>
                <w:szCs w:val="24"/>
              </w:rPr>
              <w:t>供应商提供针对本项目的</w:t>
            </w:r>
            <w:r>
              <w:rPr>
                <w:rFonts w:hint="eastAsia" w:ascii="宋体" w:hAnsi="宋体" w:eastAsia="宋体" w:cs="宋体"/>
                <w:b/>
                <w:bCs/>
                <w:spacing w:val="11"/>
                <w:sz w:val="24"/>
                <w:szCs w:val="24"/>
                <w:lang w:val="en-US" w:eastAsia="zh-CN"/>
              </w:rPr>
              <w:t>环境清洁</w:t>
            </w:r>
            <w:r>
              <w:rPr>
                <w:rFonts w:hint="eastAsia" w:ascii="宋体" w:hAnsi="宋体" w:eastAsia="宋体" w:cs="宋体"/>
                <w:b/>
                <w:bCs/>
                <w:spacing w:val="11"/>
                <w:sz w:val="24"/>
                <w:szCs w:val="24"/>
              </w:rPr>
              <w:t>方案</w:t>
            </w:r>
            <w:r>
              <w:rPr>
                <w:rFonts w:hint="eastAsia" w:ascii="宋体" w:hAnsi="宋体" w:eastAsia="宋体" w:cs="宋体"/>
                <w:b/>
                <w:bCs/>
                <w:spacing w:val="11"/>
                <w:sz w:val="24"/>
                <w:szCs w:val="24"/>
                <w:lang w:eastAsia="zh-CN"/>
              </w:rPr>
              <w:t>，</w:t>
            </w:r>
          </w:p>
          <w:p w14:paraId="5181306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03E90624">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ascii="宋体" w:hAnsi="宋体" w:eastAsia="宋体" w:cs="宋体"/>
                <w:b/>
                <w:bCs/>
                <w:spacing w:val="-3"/>
                <w:sz w:val="24"/>
                <w:szCs w:val="24"/>
                <w:lang w:val="en-US" w:eastAsia="zh-CN"/>
              </w:rPr>
              <w:t>5</w:t>
            </w:r>
            <w:r>
              <w:rPr>
                <w:rFonts w:hint="eastAsia" w:ascii="宋体" w:hAnsi="宋体" w:eastAsia="宋体" w:cs="宋体"/>
                <w:b/>
                <w:bCs/>
                <w:spacing w:val="-3"/>
                <w:sz w:val="24"/>
                <w:szCs w:val="24"/>
              </w:rPr>
              <w:t>≤F≤</w:t>
            </w:r>
            <w:r>
              <w:rPr>
                <w:rFonts w:hint="eastAsia" w:ascii="宋体" w:hAnsi="宋体" w:eastAsia="宋体" w:cs="宋体"/>
                <w:b/>
                <w:bCs/>
                <w:spacing w:val="-3"/>
                <w:sz w:val="24"/>
                <w:szCs w:val="24"/>
                <w:lang w:val="en-US" w:eastAsia="zh-CN"/>
              </w:rPr>
              <w:t>6</w:t>
            </w:r>
            <w:r>
              <w:rPr>
                <w:rFonts w:hint="eastAsia" w:ascii="宋体" w:hAnsi="宋体" w:eastAsia="宋体" w:cs="宋体"/>
                <w:b/>
                <w:bCs/>
                <w:spacing w:val="-9"/>
                <w:sz w:val="24"/>
                <w:szCs w:val="24"/>
              </w:rPr>
              <w:t>分；</w:t>
            </w:r>
          </w:p>
          <w:p w14:paraId="2C02AFCD">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5"/>
                <w:sz w:val="24"/>
                <w:szCs w:val="24"/>
              </w:rPr>
              <w:t>方案基本符合实际，具有一定实用性的，</w:t>
            </w:r>
            <w:r>
              <w:rPr>
                <w:rFonts w:hint="eastAsia" w:ascii="宋体" w:hAnsi="宋体" w:eastAsia="宋体" w:cs="宋体"/>
                <w:b/>
                <w:bCs/>
                <w:spacing w:val="-5"/>
                <w:sz w:val="24"/>
                <w:szCs w:val="24"/>
                <w:lang w:val="en-US" w:eastAsia="zh-CN"/>
              </w:rPr>
              <w:t>3</w:t>
            </w:r>
            <w:r>
              <w:rPr>
                <w:rFonts w:hint="eastAsia" w:ascii="宋体" w:hAnsi="宋体" w:eastAsia="宋体" w:cs="宋体"/>
                <w:b/>
                <w:bCs/>
                <w:spacing w:val="-5"/>
                <w:sz w:val="24"/>
                <w:szCs w:val="24"/>
              </w:rPr>
              <w:t>≤F＜</w:t>
            </w:r>
            <w:r>
              <w:rPr>
                <w:rFonts w:hint="eastAsia" w:ascii="宋体" w:hAnsi="宋体" w:eastAsia="宋体" w:cs="宋体"/>
                <w:b/>
                <w:bCs/>
                <w:spacing w:val="-5"/>
                <w:sz w:val="24"/>
                <w:szCs w:val="24"/>
                <w:lang w:val="en-US" w:eastAsia="zh-CN"/>
              </w:rPr>
              <w:t>5</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ascii="宋体" w:hAnsi="宋体" w:eastAsia="宋体" w:cs="宋体"/>
                <w:b/>
                <w:bCs/>
                <w:spacing w:val="-3"/>
                <w:sz w:val="24"/>
                <w:szCs w:val="24"/>
                <w:lang w:val="en-US" w:eastAsia="zh-CN"/>
              </w:rPr>
              <w:t>3</w:t>
            </w:r>
            <w:r>
              <w:rPr>
                <w:rFonts w:hint="eastAsia" w:ascii="宋体" w:hAnsi="宋体" w:eastAsia="宋体" w:cs="宋体"/>
                <w:b/>
                <w:bCs/>
                <w:spacing w:val="-3"/>
                <w:sz w:val="24"/>
                <w:szCs w:val="24"/>
              </w:rPr>
              <w:t>分。</w:t>
            </w:r>
          </w:p>
          <w:p w14:paraId="7A80209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26C975F2">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6</w:t>
            </w:r>
            <w:r>
              <w:rPr>
                <w:rFonts w:hint="eastAsia" w:ascii="宋体" w:hAnsi="宋体" w:eastAsia="宋体" w:cs="宋体"/>
                <w:b w:val="0"/>
                <w:bCs w:val="0"/>
                <w:spacing w:val="-5"/>
                <w:sz w:val="24"/>
                <w:szCs w:val="24"/>
              </w:rPr>
              <w:t>分</w:t>
            </w:r>
          </w:p>
        </w:tc>
      </w:tr>
      <w:tr w14:paraId="18F5B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jc w:val="center"/>
        </w:trPr>
        <w:tc>
          <w:tcPr>
            <w:tcW w:w="994" w:type="dxa"/>
            <w:vMerge w:val="continue"/>
            <w:tcBorders>
              <w:tl2br w:val="nil"/>
              <w:tr2bl w:val="nil"/>
            </w:tcBorders>
            <w:vAlign w:val="center"/>
          </w:tcPr>
          <w:p w14:paraId="2193C62F">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2E61E3F9">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保障方案</w:t>
            </w:r>
          </w:p>
        </w:tc>
        <w:tc>
          <w:tcPr>
            <w:tcW w:w="6075" w:type="dxa"/>
            <w:tcBorders>
              <w:tl2br w:val="nil"/>
              <w:tr2bl w:val="nil"/>
            </w:tcBorders>
            <w:vAlign w:val="top"/>
          </w:tcPr>
          <w:p w14:paraId="3F1C3F1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
              <w:textAlignment w:val="auto"/>
              <w:rPr>
                <w:rFonts w:hint="eastAsia" w:ascii="宋体" w:hAnsi="宋体" w:eastAsia="宋体" w:cs="宋体"/>
                <w:sz w:val="24"/>
                <w:szCs w:val="24"/>
              </w:rPr>
            </w:pPr>
            <w:r>
              <w:rPr>
                <w:rFonts w:hint="eastAsia" w:ascii="宋体" w:hAnsi="宋体" w:eastAsia="宋体" w:cs="宋体"/>
                <w:spacing w:val="11"/>
                <w:sz w:val="24"/>
                <w:szCs w:val="24"/>
              </w:rPr>
              <w:t>供应商提供针对本项目的</w:t>
            </w:r>
            <w:r>
              <w:rPr>
                <w:rFonts w:hint="eastAsia" w:ascii="宋体" w:hAnsi="宋体" w:eastAsia="宋体" w:cs="宋体"/>
                <w:b/>
                <w:bCs/>
                <w:spacing w:val="11"/>
                <w:sz w:val="24"/>
                <w:szCs w:val="24"/>
              </w:rPr>
              <w:t>保障方案</w:t>
            </w:r>
            <w:r>
              <w:rPr>
                <w:rFonts w:hint="eastAsia" w:ascii="宋体" w:hAnsi="宋体" w:eastAsia="宋体" w:cs="宋体"/>
                <w:spacing w:val="11"/>
                <w:sz w:val="24"/>
                <w:szCs w:val="24"/>
              </w:rPr>
              <w:t>，主要内容包括</w:t>
            </w:r>
            <w:r>
              <w:rPr>
                <w:rFonts w:hint="eastAsia" w:ascii="宋体" w:hAnsi="宋体" w:eastAsia="宋体" w:cs="宋体"/>
                <w:spacing w:val="4"/>
                <w:sz w:val="24"/>
                <w:szCs w:val="24"/>
              </w:rPr>
              <w:t>但不限于：</w:t>
            </w:r>
          </w:p>
          <w:p w14:paraId="665FDE2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12"/>
                <w:sz w:val="24"/>
                <w:szCs w:val="24"/>
              </w:rPr>
              <w:t>①重要接待及活动保障方案，应能反映不同等级的</w:t>
            </w:r>
            <w:r>
              <w:rPr>
                <w:rFonts w:hint="eastAsia" w:ascii="宋体" w:hAnsi="宋体" w:eastAsia="宋体" w:cs="宋体"/>
                <w:spacing w:val="4"/>
                <w:sz w:val="24"/>
                <w:szCs w:val="24"/>
              </w:rPr>
              <w:t>接待保障；</w:t>
            </w:r>
          </w:p>
          <w:p w14:paraId="7F8C281C">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7"/>
                <w:sz w:val="24"/>
                <w:szCs w:val="24"/>
              </w:rPr>
              <w:t>②各类应急保障预案等；</w:t>
            </w:r>
          </w:p>
          <w:p w14:paraId="5AF8ECFE">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6"/>
                <w:sz w:val="24"/>
                <w:szCs w:val="24"/>
              </w:rPr>
              <w:t>由磋商小组根据响应文件进行综合评审：</w:t>
            </w:r>
          </w:p>
          <w:p w14:paraId="44A94C25">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rPr>
            </w:pPr>
            <w:r>
              <w:rPr>
                <w:rFonts w:hint="eastAsia" w:ascii="宋体" w:hAnsi="宋体" w:eastAsia="宋体" w:cs="宋体"/>
                <w:b/>
                <w:bCs/>
                <w:spacing w:val="-3"/>
                <w:sz w:val="24"/>
                <w:szCs w:val="24"/>
              </w:rPr>
              <w:t>方案全面详尽、定位准确，服务内容针对性强</w:t>
            </w:r>
            <w:r>
              <w:rPr>
                <w:rFonts w:hint="eastAsia" w:cs="宋体"/>
                <w:b/>
                <w:bCs/>
                <w:spacing w:val="-3"/>
                <w:sz w:val="24"/>
                <w:szCs w:val="24"/>
                <w:lang w:val="en-US" w:eastAsia="zh-CN"/>
              </w:rPr>
              <w:t>4</w:t>
            </w:r>
            <w:r>
              <w:rPr>
                <w:rFonts w:hint="eastAsia" w:ascii="宋体" w:hAnsi="宋体" w:eastAsia="宋体" w:cs="宋体"/>
                <w:b/>
                <w:bCs/>
                <w:spacing w:val="-3"/>
                <w:sz w:val="24"/>
                <w:szCs w:val="24"/>
              </w:rPr>
              <w:t>≤F≤</w:t>
            </w:r>
            <w:r>
              <w:rPr>
                <w:rFonts w:hint="eastAsia" w:cs="宋体"/>
                <w:b/>
                <w:bCs/>
                <w:spacing w:val="-3"/>
                <w:sz w:val="24"/>
                <w:szCs w:val="24"/>
                <w:lang w:val="en-US" w:eastAsia="zh-CN"/>
              </w:rPr>
              <w:t>5</w:t>
            </w:r>
            <w:r>
              <w:rPr>
                <w:rFonts w:hint="eastAsia" w:ascii="宋体" w:hAnsi="宋体" w:eastAsia="宋体" w:cs="宋体"/>
                <w:b/>
                <w:bCs/>
                <w:spacing w:val="-9"/>
                <w:sz w:val="24"/>
                <w:szCs w:val="24"/>
              </w:rPr>
              <w:t>分；</w:t>
            </w:r>
          </w:p>
          <w:p w14:paraId="63374CF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3"/>
                <w:sz w:val="24"/>
                <w:szCs w:val="24"/>
              </w:rPr>
            </w:pPr>
            <w:r>
              <w:rPr>
                <w:rFonts w:hint="eastAsia" w:ascii="宋体" w:hAnsi="宋体" w:eastAsia="宋体" w:cs="宋体"/>
                <w:b/>
                <w:bCs/>
                <w:spacing w:val="-5"/>
                <w:sz w:val="24"/>
                <w:szCs w:val="24"/>
              </w:rPr>
              <w:t>方案基本符合实际，具有一定实用性的，</w:t>
            </w:r>
            <w:r>
              <w:rPr>
                <w:rFonts w:hint="eastAsia" w:cs="宋体"/>
                <w:b/>
                <w:bCs/>
                <w:spacing w:val="-5"/>
                <w:sz w:val="24"/>
                <w:szCs w:val="24"/>
                <w:lang w:val="en-US" w:eastAsia="zh-CN"/>
              </w:rPr>
              <w:t>2</w:t>
            </w:r>
            <w:r>
              <w:rPr>
                <w:rFonts w:hint="eastAsia" w:ascii="宋体" w:hAnsi="宋体" w:eastAsia="宋体" w:cs="宋体"/>
                <w:b/>
                <w:bCs/>
                <w:spacing w:val="-5"/>
                <w:sz w:val="24"/>
                <w:szCs w:val="24"/>
              </w:rPr>
              <w:t>≤F＜</w:t>
            </w:r>
            <w:r>
              <w:rPr>
                <w:rFonts w:hint="eastAsia" w:cs="宋体"/>
                <w:b/>
                <w:bCs/>
                <w:spacing w:val="-5"/>
                <w:sz w:val="24"/>
                <w:szCs w:val="24"/>
                <w:lang w:val="en-US" w:eastAsia="zh-CN"/>
              </w:rPr>
              <w:t>4</w:t>
            </w:r>
            <w:r>
              <w:rPr>
                <w:rFonts w:hint="eastAsia" w:ascii="宋体" w:hAnsi="宋体" w:eastAsia="宋体" w:cs="宋体"/>
                <w:b/>
                <w:bCs/>
                <w:spacing w:val="-5"/>
                <w:sz w:val="24"/>
                <w:szCs w:val="24"/>
              </w:rPr>
              <w:t>分；</w:t>
            </w:r>
            <w:r>
              <w:rPr>
                <w:rFonts w:hint="eastAsia" w:ascii="宋体" w:hAnsi="宋体" w:eastAsia="宋体" w:cs="宋体"/>
                <w:b/>
                <w:bCs/>
                <w:spacing w:val="-3"/>
                <w:sz w:val="24"/>
                <w:szCs w:val="24"/>
              </w:rPr>
              <w:t>方案待完整0≤F＜</w:t>
            </w:r>
            <w:r>
              <w:rPr>
                <w:rFonts w:hint="eastAsia" w:cs="宋体"/>
                <w:b/>
                <w:bCs/>
                <w:spacing w:val="-3"/>
                <w:sz w:val="24"/>
                <w:szCs w:val="24"/>
                <w:lang w:val="en-US" w:eastAsia="zh-CN"/>
              </w:rPr>
              <w:t>2</w:t>
            </w:r>
            <w:r>
              <w:rPr>
                <w:rFonts w:hint="eastAsia" w:ascii="宋体" w:hAnsi="宋体" w:eastAsia="宋体" w:cs="宋体"/>
                <w:b/>
                <w:bCs/>
                <w:spacing w:val="-3"/>
                <w:sz w:val="24"/>
                <w:szCs w:val="24"/>
              </w:rPr>
              <w:t>分。</w:t>
            </w:r>
          </w:p>
          <w:p w14:paraId="1631A666">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3"/>
                <w:sz w:val="24"/>
                <w:szCs w:val="24"/>
              </w:rPr>
              <w:t>注：F为本项得分。</w:t>
            </w:r>
          </w:p>
        </w:tc>
        <w:tc>
          <w:tcPr>
            <w:tcW w:w="1249" w:type="dxa"/>
            <w:tcBorders>
              <w:tl2br w:val="nil"/>
              <w:tr2bl w:val="nil"/>
            </w:tcBorders>
            <w:vAlign w:val="center"/>
          </w:tcPr>
          <w:p w14:paraId="58B520A2">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5</w:t>
            </w:r>
            <w:r>
              <w:rPr>
                <w:rFonts w:hint="eastAsia" w:ascii="宋体" w:hAnsi="宋体" w:eastAsia="宋体" w:cs="宋体"/>
                <w:b w:val="0"/>
                <w:bCs w:val="0"/>
                <w:spacing w:val="-5"/>
                <w:sz w:val="24"/>
                <w:szCs w:val="24"/>
              </w:rPr>
              <w:t>分</w:t>
            </w:r>
          </w:p>
        </w:tc>
      </w:tr>
      <w:tr w14:paraId="0EADF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994" w:type="dxa"/>
            <w:vMerge w:val="continue"/>
            <w:tcBorders>
              <w:tl2br w:val="nil"/>
              <w:tr2bl w:val="nil"/>
            </w:tcBorders>
            <w:vAlign w:val="center"/>
          </w:tcPr>
          <w:p w14:paraId="7F27EE2B">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5C8C910D">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lang w:val="en-US" w:eastAsia="zh-CN"/>
              </w:rPr>
              <w:t>管理</w:t>
            </w:r>
            <w:r>
              <w:rPr>
                <w:rFonts w:hint="eastAsia" w:ascii="宋体" w:hAnsi="宋体" w:eastAsia="宋体" w:cs="宋体"/>
                <w:b w:val="0"/>
                <w:bCs w:val="0"/>
                <w:spacing w:val="-5"/>
                <w:sz w:val="24"/>
                <w:szCs w:val="24"/>
              </w:rPr>
              <w:t>体系</w:t>
            </w:r>
            <w:bookmarkStart w:id="45" w:name="_GoBack"/>
            <w:bookmarkEnd w:id="45"/>
            <w:r>
              <w:rPr>
                <w:rFonts w:hint="eastAsia" w:ascii="宋体" w:hAnsi="宋体" w:eastAsia="宋体" w:cs="宋体"/>
                <w:b w:val="0"/>
                <w:bCs w:val="0"/>
                <w:spacing w:val="-5"/>
                <w:sz w:val="24"/>
                <w:szCs w:val="24"/>
              </w:rPr>
              <w:t>认证</w:t>
            </w:r>
          </w:p>
        </w:tc>
        <w:tc>
          <w:tcPr>
            <w:tcW w:w="6075" w:type="dxa"/>
            <w:tcBorders>
              <w:tl2br w:val="nil"/>
              <w:tr2bl w:val="nil"/>
            </w:tcBorders>
            <w:vAlign w:val="top"/>
          </w:tcPr>
          <w:p w14:paraId="2C368AB0">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1"/>
                <w:sz w:val="24"/>
                <w:szCs w:val="24"/>
              </w:rPr>
              <w:t>供应商具有经中国国家认证认可监督管理委员会认可的认证机构颁发的且在有效期内的下列证</w:t>
            </w:r>
          </w:p>
          <w:p w14:paraId="7936A2DC">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8"/>
                <w:sz w:val="24"/>
                <w:szCs w:val="24"/>
              </w:rPr>
              <w:t>书：</w:t>
            </w:r>
          </w:p>
          <w:p w14:paraId="2BE7E47E">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spacing w:val="-3"/>
                <w:sz w:val="24"/>
                <w:szCs w:val="24"/>
              </w:rPr>
              <w:t>1</w:t>
            </w:r>
            <w:r>
              <w:rPr>
                <w:rFonts w:hint="eastAsia" w:ascii="宋体" w:hAnsi="宋体" w:eastAsia="宋体" w:cs="宋体"/>
                <w:spacing w:val="-3"/>
                <w:sz w:val="24"/>
                <w:szCs w:val="24"/>
                <w:lang w:val="en-US" w:eastAsia="zh-CN"/>
              </w:rPr>
              <w:t>.</w:t>
            </w:r>
            <w:r>
              <w:rPr>
                <w:rFonts w:hint="eastAsia" w:ascii="宋体" w:hAnsi="宋体" w:eastAsia="宋体" w:cs="宋体"/>
                <w:spacing w:val="-3"/>
                <w:sz w:val="24"/>
                <w:szCs w:val="24"/>
              </w:rPr>
              <w:t>质量管理体系认证证书；</w:t>
            </w:r>
          </w:p>
          <w:p w14:paraId="4B3D52F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w:t>
            </w:r>
            <w:r>
              <w:rPr>
                <w:rFonts w:hint="eastAsia" w:ascii="宋体" w:hAnsi="宋体" w:eastAsia="宋体" w:cs="宋体"/>
                <w:spacing w:val="-1"/>
                <w:sz w:val="24"/>
                <w:szCs w:val="24"/>
                <w:lang w:val="en-US" w:eastAsia="zh-CN"/>
              </w:rPr>
              <w:t>.环境管理体系认证证书</w:t>
            </w:r>
            <w:r>
              <w:rPr>
                <w:rFonts w:hint="eastAsia" w:ascii="宋体" w:hAnsi="宋体" w:eastAsia="宋体" w:cs="宋体"/>
                <w:spacing w:val="-1"/>
                <w:sz w:val="24"/>
                <w:szCs w:val="24"/>
              </w:rPr>
              <w:t>；</w:t>
            </w:r>
          </w:p>
          <w:p w14:paraId="20C1F5B0">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rPr>
              <w:t>职业健康安全管理体系认证证书</w:t>
            </w:r>
            <w:r>
              <w:rPr>
                <w:rFonts w:hint="eastAsia" w:ascii="宋体" w:hAnsi="宋体" w:eastAsia="宋体" w:cs="宋体"/>
                <w:spacing w:val="-1"/>
                <w:sz w:val="24"/>
                <w:szCs w:val="24"/>
                <w:lang w:val="en-US" w:eastAsia="zh-CN"/>
              </w:rPr>
              <w:t>；</w:t>
            </w:r>
          </w:p>
          <w:p w14:paraId="10A6AB19">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4.诚信管理体系认证证书；</w:t>
            </w:r>
          </w:p>
          <w:p w14:paraId="637978B9">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5.能源管理体系认证证书。</w:t>
            </w:r>
          </w:p>
          <w:p w14:paraId="2DFDA43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5"/>
                <w:sz w:val="24"/>
                <w:szCs w:val="24"/>
              </w:rPr>
              <w:t>每提供一类得2分，最高得10分。</w:t>
            </w:r>
          </w:p>
          <w:p w14:paraId="1A30672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61"/>
                <w:sz w:val="24"/>
                <w:szCs w:val="24"/>
              </w:rPr>
            </w:pPr>
            <w:r>
              <w:rPr>
                <w:rFonts w:hint="eastAsia" w:ascii="宋体" w:hAnsi="宋体" w:eastAsia="宋体" w:cs="宋体"/>
                <w:b/>
                <w:bCs/>
                <w:spacing w:val="-1"/>
                <w:sz w:val="24"/>
                <w:szCs w:val="24"/>
              </w:rPr>
              <w:t>注</w:t>
            </w:r>
            <w:r>
              <w:rPr>
                <w:rFonts w:hint="eastAsia" w:ascii="宋体" w:hAnsi="宋体" w:eastAsia="宋体" w:cs="宋体"/>
                <w:b/>
                <w:bCs/>
                <w:spacing w:val="-61"/>
                <w:sz w:val="24"/>
                <w:szCs w:val="24"/>
              </w:rPr>
              <w:t>：</w:t>
            </w:r>
          </w:p>
          <w:p w14:paraId="5943FFE3">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1）</w:t>
            </w:r>
            <w:r>
              <w:rPr>
                <w:rFonts w:hint="eastAsia" w:ascii="宋体" w:hAnsi="宋体" w:eastAsia="宋体" w:cs="宋体"/>
                <w:b/>
                <w:bCs/>
                <w:spacing w:val="-1"/>
                <w:sz w:val="24"/>
                <w:szCs w:val="24"/>
              </w:rPr>
              <w:t>响应文件中同时提供证书扫描件及全国认证认可信息公共服务平台官网证书信息查询截图。证书</w:t>
            </w:r>
            <w:r>
              <w:rPr>
                <w:rFonts w:hint="eastAsia" w:ascii="宋体" w:hAnsi="宋体" w:eastAsia="宋体" w:cs="宋体"/>
                <w:b/>
                <w:bCs/>
                <w:spacing w:val="-4"/>
                <w:sz w:val="24"/>
                <w:szCs w:val="24"/>
              </w:rPr>
              <w:t>状态为“有效”。</w:t>
            </w:r>
          </w:p>
          <w:p w14:paraId="50F16455">
            <w:pPr>
              <w:pStyle w:val="26"/>
              <w:keepNext w:val="0"/>
              <w:keepLines w:val="0"/>
              <w:pageBreakBefore w:val="0"/>
              <w:kinsoku/>
              <w:wordWrap/>
              <w:overflowPunct/>
              <w:topLinePunct w:val="0"/>
              <w:autoSpaceDE/>
              <w:autoSpaceDN/>
              <w:bidi w:val="0"/>
              <w:adjustRightInd/>
              <w:snapToGrid/>
              <w:spacing w:line="480" w:lineRule="exact"/>
              <w:ind w:left="63" w:leftChars="25" w:right="60" w:rightChars="25" w:hanging="3"/>
              <w:textAlignment w:val="auto"/>
              <w:rPr>
                <w:rFonts w:hint="eastAsia" w:ascii="宋体" w:hAnsi="宋体" w:eastAsia="宋体" w:cs="宋体"/>
                <w:sz w:val="24"/>
                <w:szCs w:val="24"/>
              </w:rPr>
            </w:pPr>
            <w:r>
              <w:rPr>
                <w:rFonts w:hint="eastAsia" w:ascii="宋体" w:hAnsi="宋体" w:eastAsia="宋体" w:cs="宋体"/>
                <w:b/>
                <w:bCs/>
                <w:spacing w:val="-3"/>
                <w:sz w:val="24"/>
                <w:szCs w:val="24"/>
              </w:rPr>
              <w:t>（2）同类认证证书，仅计取一次，不累计得分。</w:t>
            </w:r>
          </w:p>
        </w:tc>
        <w:tc>
          <w:tcPr>
            <w:tcW w:w="1249" w:type="dxa"/>
            <w:tcBorders>
              <w:tl2br w:val="nil"/>
              <w:tr2bl w:val="nil"/>
            </w:tcBorders>
            <w:vAlign w:val="center"/>
          </w:tcPr>
          <w:p w14:paraId="1C6E8EE6">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10</w:t>
            </w:r>
            <w:r>
              <w:rPr>
                <w:rFonts w:hint="eastAsia" w:ascii="宋体" w:hAnsi="宋体" w:eastAsia="宋体" w:cs="宋体"/>
                <w:b w:val="0"/>
                <w:bCs w:val="0"/>
                <w:spacing w:val="-5"/>
                <w:sz w:val="24"/>
                <w:szCs w:val="24"/>
              </w:rPr>
              <w:t>分</w:t>
            </w:r>
          </w:p>
        </w:tc>
      </w:tr>
      <w:tr w14:paraId="6A466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4" w:type="dxa"/>
            <w:vMerge w:val="continue"/>
            <w:tcBorders>
              <w:tl2br w:val="nil"/>
              <w:tr2bl w:val="nil"/>
            </w:tcBorders>
            <w:vAlign w:val="center"/>
          </w:tcPr>
          <w:p w14:paraId="05D1969B">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5C4A0178">
            <w:pPr>
              <w:pStyle w:val="26"/>
              <w:keepNext w:val="0"/>
              <w:keepLines w:val="0"/>
              <w:pageBreakBefore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人员配备</w:t>
            </w:r>
          </w:p>
        </w:tc>
        <w:tc>
          <w:tcPr>
            <w:tcW w:w="6075" w:type="dxa"/>
            <w:tcBorders>
              <w:tl2br w:val="nil"/>
              <w:tr2bl w:val="nil"/>
            </w:tcBorders>
            <w:vAlign w:val="top"/>
          </w:tcPr>
          <w:p w14:paraId="00B26BEC">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1"/>
              <w:textAlignment w:val="auto"/>
              <w:rPr>
                <w:rFonts w:hint="eastAsia" w:ascii="宋体" w:hAnsi="宋体" w:eastAsia="宋体" w:cs="宋体"/>
                <w:sz w:val="24"/>
                <w:szCs w:val="24"/>
                <w:lang w:eastAsia="zh-CN"/>
              </w:rPr>
            </w:pPr>
            <w:r>
              <w:rPr>
                <w:rFonts w:hint="eastAsia" w:ascii="宋体" w:hAnsi="宋体" w:eastAsia="宋体" w:cs="宋体"/>
                <w:b/>
                <w:bCs/>
                <w:spacing w:val="-5"/>
                <w:sz w:val="24"/>
                <w:szCs w:val="24"/>
              </w:rPr>
              <w:t>1、供应商为本项目拟配备的项目</w:t>
            </w:r>
            <w:r>
              <w:rPr>
                <w:rFonts w:hint="eastAsia" w:ascii="宋体" w:hAnsi="宋体" w:eastAsia="宋体" w:cs="宋体"/>
                <w:b/>
                <w:bCs/>
                <w:spacing w:val="-5"/>
                <w:sz w:val="24"/>
                <w:szCs w:val="24"/>
                <w:lang w:val="en-US" w:eastAsia="zh-CN"/>
              </w:rPr>
              <w:t>负责人</w:t>
            </w:r>
            <w:r>
              <w:rPr>
                <w:rFonts w:hint="eastAsia" w:ascii="宋体" w:hAnsi="宋体" w:eastAsia="宋体" w:cs="宋体"/>
                <w:b/>
                <w:bCs/>
                <w:spacing w:val="-5"/>
                <w:sz w:val="24"/>
                <w:szCs w:val="24"/>
              </w:rPr>
              <w:t>（1人，</w:t>
            </w:r>
            <w:r>
              <w:rPr>
                <w:rFonts w:hint="eastAsia" w:ascii="宋体" w:hAnsi="宋体" w:eastAsia="宋体" w:cs="宋体"/>
                <w:b/>
                <w:bCs/>
                <w:spacing w:val="-9"/>
                <w:sz w:val="24"/>
                <w:szCs w:val="24"/>
              </w:rPr>
              <w:t>满分</w:t>
            </w:r>
            <w:r>
              <w:rPr>
                <w:rFonts w:hint="eastAsia" w:ascii="宋体" w:hAnsi="宋体" w:eastAsia="宋体" w:cs="宋体"/>
                <w:b/>
                <w:bCs/>
                <w:spacing w:val="-9"/>
                <w:sz w:val="24"/>
                <w:szCs w:val="24"/>
                <w:lang w:val="en-US" w:eastAsia="zh-CN"/>
              </w:rPr>
              <w:t>8</w:t>
            </w:r>
            <w:r>
              <w:rPr>
                <w:rFonts w:hint="eastAsia" w:ascii="宋体" w:hAnsi="宋体" w:eastAsia="宋体" w:cs="宋体"/>
                <w:b/>
                <w:bCs/>
                <w:spacing w:val="-9"/>
                <w:sz w:val="24"/>
                <w:szCs w:val="24"/>
              </w:rPr>
              <w:t>分）</w:t>
            </w:r>
            <w:r>
              <w:rPr>
                <w:rFonts w:hint="eastAsia" w:ascii="宋体" w:hAnsi="宋体" w:eastAsia="宋体" w:cs="宋体"/>
                <w:b/>
                <w:bCs/>
                <w:spacing w:val="-9"/>
                <w:sz w:val="24"/>
                <w:szCs w:val="24"/>
                <w:lang w:eastAsia="zh-CN"/>
              </w:rPr>
              <w:t>：</w:t>
            </w:r>
          </w:p>
          <w:p w14:paraId="60ECFD3F">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b/>
                <w:bCs/>
                <w:spacing w:val="-2"/>
                <w:sz w:val="24"/>
                <w:szCs w:val="24"/>
                <w:highlight w:val="none"/>
                <w:lang w:eastAsia="zh-CN"/>
              </w:rPr>
            </w:pPr>
            <w:r>
              <w:rPr>
                <w:rFonts w:hint="eastAsia" w:ascii="宋体" w:hAnsi="宋体" w:eastAsia="宋体" w:cs="宋体"/>
                <w:spacing w:val="-3"/>
                <w:sz w:val="24"/>
                <w:szCs w:val="24"/>
                <w:highlight w:val="none"/>
                <w:lang w:val="en-US" w:eastAsia="zh-CN"/>
              </w:rPr>
              <w:t>（1）</w:t>
            </w:r>
            <w:r>
              <w:rPr>
                <w:rFonts w:hint="eastAsia" w:ascii="宋体" w:hAnsi="宋体" w:eastAsia="宋体" w:cs="宋体"/>
                <w:spacing w:val="-4"/>
                <w:sz w:val="24"/>
                <w:szCs w:val="24"/>
              </w:rPr>
              <w:t>具有</w:t>
            </w:r>
            <w:r>
              <w:rPr>
                <w:rFonts w:hint="eastAsia" w:ascii="宋体" w:hAnsi="宋体" w:eastAsia="宋体" w:cs="宋体"/>
                <w:spacing w:val="-4"/>
                <w:sz w:val="24"/>
                <w:szCs w:val="24"/>
                <w:lang w:val="en-US" w:eastAsia="zh-CN"/>
              </w:rPr>
              <w:t>高级</w:t>
            </w:r>
            <w:r>
              <w:rPr>
                <w:rFonts w:hint="eastAsia" w:ascii="宋体" w:hAnsi="宋体" w:eastAsia="宋体" w:cs="宋体"/>
                <w:spacing w:val="-4"/>
                <w:sz w:val="24"/>
                <w:szCs w:val="24"/>
              </w:rPr>
              <w:t>及以上职称证书得</w:t>
            </w:r>
            <w:r>
              <w:rPr>
                <w:rFonts w:hint="eastAsia" w:ascii="宋体" w:hAnsi="宋体" w:eastAsia="宋体" w:cs="宋体"/>
                <w:spacing w:val="-4"/>
                <w:sz w:val="24"/>
                <w:szCs w:val="24"/>
                <w:lang w:val="en-US" w:eastAsia="zh-CN"/>
              </w:rPr>
              <w:t>2</w:t>
            </w:r>
            <w:r>
              <w:rPr>
                <w:rFonts w:hint="eastAsia" w:ascii="宋体" w:hAnsi="宋体" w:eastAsia="宋体" w:cs="宋体"/>
                <w:spacing w:val="-4"/>
                <w:sz w:val="24"/>
                <w:szCs w:val="24"/>
              </w:rPr>
              <w:t>分，中级得</w:t>
            </w:r>
            <w:r>
              <w:rPr>
                <w:rFonts w:hint="eastAsia" w:ascii="宋体" w:hAnsi="宋体" w:eastAsia="宋体" w:cs="宋体"/>
                <w:spacing w:val="-4"/>
                <w:sz w:val="24"/>
                <w:szCs w:val="24"/>
                <w:lang w:val="en-US" w:eastAsia="zh-CN"/>
              </w:rPr>
              <w:t>1</w:t>
            </w:r>
            <w:r>
              <w:rPr>
                <w:rFonts w:hint="eastAsia" w:ascii="宋体" w:hAnsi="宋体" w:eastAsia="宋体" w:cs="宋体"/>
                <w:spacing w:val="-4"/>
                <w:sz w:val="24"/>
                <w:szCs w:val="24"/>
              </w:rPr>
              <w:t>分，满分</w:t>
            </w:r>
            <w:r>
              <w:rPr>
                <w:rFonts w:hint="eastAsia" w:ascii="宋体" w:hAnsi="宋体" w:eastAsia="宋体" w:cs="宋体"/>
                <w:spacing w:val="-4"/>
                <w:sz w:val="24"/>
                <w:szCs w:val="24"/>
                <w:lang w:val="en-US" w:eastAsia="zh-CN"/>
              </w:rPr>
              <w:t>2</w:t>
            </w:r>
            <w:r>
              <w:rPr>
                <w:rFonts w:hint="eastAsia" w:ascii="宋体" w:hAnsi="宋体" w:eastAsia="宋体" w:cs="宋体"/>
                <w:spacing w:val="-7"/>
                <w:sz w:val="24"/>
                <w:szCs w:val="24"/>
              </w:rPr>
              <w:t>分；</w:t>
            </w:r>
          </w:p>
          <w:p w14:paraId="3888077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60" w:leftChars="25" w:right="60" w:rightChars="25" w:firstLine="0" w:firstLineChars="0"/>
              <w:textAlignment w:val="auto"/>
              <w:rPr>
                <w:rFonts w:hint="eastAsia" w:ascii="宋体" w:hAnsi="宋体" w:eastAsia="宋体" w:cs="宋体"/>
                <w:b w:val="0"/>
                <w:bCs w:val="0"/>
                <w:spacing w:val="-5"/>
                <w:sz w:val="24"/>
                <w:szCs w:val="24"/>
              </w:rPr>
            </w:pPr>
            <w:r>
              <w:rPr>
                <w:rFonts w:hint="eastAsia" w:ascii="宋体" w:hAnsi="宋体" w:eastAsia="宋体" w:cs="宋体"/>
                <w:spacing w:val="-3"/>
                <w:kern w:val="2"/>
                <w:sz w:val="24"/>
                <w:szCs w:val="24"/>
                <w:highlight w:val="none"/>
                <w:lang w:val="en-US" w:eastAsia="zh-CN" w:bidi="ar-SA"/>
              </w:rPr>
              <w:t>（2）</w:t>
            </w:r>
            <w:r>
              <w:rPr>
                <w:rFonts w:hint="eastAsia" w:ascii="宋体" w:hAnsi="宋体" w:eastAsia="宋体" w:cs="宋体"/>
                <w:spacing w:val="-3"/>
                <w:kern w:val="2"/>
                <w:sz w:val="24"/>
                <w:szCs w:val="24"/>
                <w:highlight w:val="none"/>
                <w:lang w:val="en-US" w:eastAsia="en-US" w:bidi="ar-SA"/>
              </w:rPr>
              <w:t>具</w:t>
            </w:r>
            <w:r>
              <w:rPr>
                <w:rFonts w:hint="eastAsia" w:ascii="宋体" w:hAnsi="宋体" w:eastAsia="宋体" w:cs="宋体"/>
                <w:spacing w:val="-1"/>
                <w:sz w:val="24"/>
                <w:szCs w:val="24"/>
              </w:rPr>
              <w:t>有</w:t>
            </w:r>
            <w:r>
              <w:rPr>
                <w:rFonts w:hint="eastAsia" w:ascii="宋体" w:hAnsi="宋体" w:eastAsia="宋体" w:cs="宋体"/>
                <w:spacing w:val="-1"/>
                <w:sz w:val="24"/>
                <w:szCs w:val="24"/>
                <w:lang w:val="en-US" w:eastAsia="zh-CN"/>
              </w:rPr>
              <w:t>三级及以上人力资源管理师或三级及以上</w:t>
            </w:r>
            <w:r>
              <w:rPr>
                <w:rFonts w:hint="eastAsia" w:ascii="宋体" w:hAnsi="宋体" w:eastAsia="宋体" w:cs="宋体"/>
                <w:spacing w:val="-1"/>
                <w:sz w:val="24"/>
                <w:szCs w:val="24"/>
              </w:rPr>
              <w:t>企业人力资源管理师职业资格（或技能</w:t>
            </w:r>
            <w:r>
              <w:rPr>
                <w:rFonts w:hint="eastAsia" w:ascii="宋体" w:hAnsi="宋体" w:eastAsia="宋体" w:cs="宋体"/>
                <w:spacing w:val="-3"/>
                <w:sz w:val="24"/>
                <w:szCs w:val="24"/>
              </w:rPr>
              <w:t>等级）证书</w:t>
            </w:r>
            <w:r>
              <w:rPr>
                <w:rFonts w:hint="eastAsia" w:ascii="宋体" w:hAnsi="宋体" w:eastAsia="宋体" w:cs="宋体"/>
                <w:spacing w:val="-3"/>
                <w:sz w:val="24"/>
                <w:szCs w:val="24"/>
                <w:lang w:eastAsia="zh-CN"/>
              </w:rPr>
              <w:t>，</w:t>
            </w:r>
            <w:r>
              <w:rPr>
                <w:rFonts w:hint="eastAsia" w:ascii="宋体" w:hAnsi="宋体" w:eastAsia="宋体" w:cs="宋体"/>
                <w:b w:val="0"/>
                <w:bCs w:val="0"/>
                <w:spacing w:val="-3"/>
                <w:sz w:val="24"/>
                <w:szCs w:val="24"/>
                <w:highlight w:val="none"/>
                <w:lang w:val="en-US" w:eastAsia="zh-CN"/>
              </w:rPr>
              <w:t>得2分，</w:t>
            </w:r>
            <w:r>
              <w:rPr>
                <w:rFonts w:hint="eastAsia" w:ascii="宋体" w:hAnsi="宋体" w:eastAsia="宋体" w:cs="宋体"/>
                <w:b w:val="0"/>
                <w:bCs w:val="0"/>
                <w:spacing w:val="-5"/>
                <w:sz w:val="24"/>
                <w:szCs w:val="24"/>
              </w:rPr>
              <w:t>满分</w:t>
            </w:r>
            <w:r>
              <w:rPr>
                <w:rFonts w:hint="eastAsia" w:ascii="宋体" w:hAnsi="宋体" w:eastAsia="宋体" w:cs="宋体"/>
                <w:b w:val="0"/>
                <w:bCs w:val="0"/>
                <w:spacing w:val="-5"/>
                <w:sz w:val="24"/>
                <w:szCs w:val="24"/>
                <w:lang w:val="en-US" w:eastAsia="zh-CN"/>
              </w:rPr>
              <w:t>2</w:t>
            </w:r>
            <w:r>
              <w:rPr>
                <w:rFonts w:hint="eastAsia" w:ascii="宋体" w:hAnsi="宋体" w:eastAsia="宋体" w:cs="宋体"/>
                <w:b w:val="0"/>
                <w:bCs w:val="0"/>
                <w:spacing w:val="-5"/>
                <w:sz w:val="24"/>
                <w:szCs w:val="24"/>
              </w:rPr>
              <w:t>分；</w:t>
            </w:r>
          </w:p>
          <w:p w14:paraId="209F96E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b w:val="0"/>
                <w:bCs w:val="0"/>
                <w:spacing w:val="-5"/>
                <w:sz w:val="24"/>
                <w:szCs w:val="24"/>
                <w:lang w:eastAsia="zh-CN"/>
              </w:rPr>
            </w:pPr>
            <w:r>
              <w:rPr>
                <w:rFonts w:hint="eastAsia" w:ascii="宋体" w:hAnsi="宋体" w:eastAsia="宋体" w:cs="宋体"/>
                <w:spacing w:val="-3"/>
                <w:kern w:val="2"/>
                <w:sz w:val="24"/>
                <w:szCs w:val="24"/>
                <w:highlight w:val="none"/>
                <w:lang w:val="en-US" w:eastAsia="zh-CN" w:bidi="ar-SA"/>
              </w:rPr>
              <w:t>（3）自2021年1月1日以来</w:t>
            </w:r>
            <w:r>
              <w:rPr>
                <w:rFonts w:hint="eastAsia" w:ascii="宋体" w:hAnsi="宋体" w:eastAsia="宋体" w:cs="宋体"/>
                <w:b/>
                <w:bCs/>
                <w:spacing w:val="-3"/>
                <w:kern w:val="2"/>
                <w:sz w:val="24"/>
                <w:szCs w:val="24"/>
                <w:highlight w:val="none"/>
                <w:lang w:val="en-US" w:eastAsia="zh-CN" w:bidi="ar-SA"/>
              </w:rPr>
              <w:t>（以获奖时间为准），</w:t>
            </w:r>
            <w:r>
              <w:rPr>
                <w:rFonts w:hint="eastAsia" w:ascii="宋体" w:hAnsi="宋体" w:eastAsia="宋体" w:cs="宋体"/>
                <w:spacing w:val="-3"/>
                <w:kern w:val="2"/>
                <w:sz w:val="24"/>
                <w:szCs w:val="24"/>
                <w:highlight w:val="none"/>
                <w:lang w:val="en-US" w:eastAsia="zh-CN" w:bidi="ar-SA"/>
              </w:rPr>
              <w:t>获得党政机关（或事业单位）或国内依法登记的行业协会（或学会）颁发的优秀项目经理荣誉，得2分，</w:t>
            </w:r>
            <w:r>
              <w:rPr>
                <w:rFonts w:hint="eastAsia" w:ascii="宋体" w:hAnsi="宋体" w:eastAsia="宋体" w:cs="宋体"/>
                <w:spacing w:val="-3"/>
                <w:kern w:val="2"/>
                <w:sz w:val="24"/>
                <w:szCs w:val="24"/>
                <w:highlight w:val="none"/>
                <w:lang w:val="en-US" w:eastAsia="en-US" w:bidi="ar-SA"/>
              </w:rPr>
              <w:t>满分</w:t>
            </w:r>
            <w:r>
              <w:rPr>
                <w:rFonts w:hint="eastAsia" w:ascii="宋体" w:hAnsi="宋体" w:eastAsia="宋体" w:cs="宋体"/>
                <w:spacing w:val="-3"/>
                <w:kern w:val="2"/>
                <w:sz w:val="24"/>
                <w:szCs w:val="24"/>
                <w:highlight w:val="none"/>
                <w:lang w:val="en-US" w:eastAsia="zh-CN" w:bidi="ar-SA"/>
              </w:rPr>
              <w:t>2</w:t>
            </w:r>
            <w:r>
              <w:rPr>
                <w:rFonts w:hint="eastAsia" w:ascii="宋体" w:hAnsi="宋体" w:eastAsia="宋体" w:cs="宋体"/>
                <w:spacing w:val="-3"/>
                <w:kern w:val="2"/>
                <w:sz w:val="24"/>
                <w:szCs w:val="24"/>
                <w:highlight w:val="none"/>
                <w:lang w:val="en-US" w:eastAsia="en-US" w:bidi="ar-SA"/>
              </w:rPr>
              <w:t>分</w:t>
            </w:r>
            <w:r>
              <w:rPr>
                <w:rFonts w:hint="eastAsia" w:ascii="宋体" w:hAnsi="宋体" w:eastAsia="宋体" w:cs="宋体"/>
                <w:spacing w:val="-3"/>
                <w:kern w:val="2"/>
                <w:sz w:val="24"/>
                <w:szCs w:val="24"/>
                <w:highlight w:val="none"/>
                <w:lang w:val="en-US" w:eastAsia="zh-CN" w:bidi="ar-SA"/>
              </w:rPr>
              <w:t>；</w:t>
            </w:r>
          </w:p>
          <w:p w14:paraId="637FCF5D">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（4）</w:t>
            </w:r>
            <w:r>
              <w:rPr>
                <w:rFonts w:hint="eastAsia" w:ascii="宋体" w:hAnsi="宋体" w:eastAsia="宋体" w:cs="宋体"/>
                <w:spacing w:val="-1"/>
                <w:kern w:val="2"/>
                <w:sz w:val="24"/>
                <w:szCs w:val="24"/>
                <w:lang w:val="en-US" w:eastAsia="en-US" w:bidi="ar-SA"/>
              </w:rPr>
              <w:t>自2021年1月1日以来</w:t>
            </w:r>
            <w:r>
              <w:rPr>
                <w:rFonts w:hint="eastAsia" w:ascii="宋体" w:hAnsi="宋体" w:eastAsia="宋体" w:cs="宋体"/>
                <w:b/>
                <w:bCs/>
                <w:spacing w:val="-1"/>
                <w:kern w:val="2"/>
                <w:sz w:val="24"/>
                <w:szCs w:val="24"/>
                <w:lang w:val="en-US" w:eastAsia="en-US" w:bidi="ar-SA"/>
              </w:rPr>
              <w:t>（以合同签订时间为准）</w:t>
            </w:r>
            <w:r>
              <w:rPr>
                <w:rFonts w:hint="eastAsia" w:ascii="宋体" w:hAnsi="宋体" w:eastAsia="宋体" w:cs="宋体"/>
                <w:spacing w:val="-1"/>
                <w:kern w:val="2"/>
                <w:sz w:val="24"/>
                <w:szCs w:val="24"/>
                <w:lang w:val="en-US" w:eastAsia="en-US" w:bidi="ar-SA"/>
              </w:rPr>
              <w:t>，具有党政机关</w:t>
            </w:r>
            <w:r>
              <w:rPr>
                <w:rFonts w:hint="eastAsia" w:ascii="宋体" w:hAnsi="宋体" w:eastAsia="宋体" w:cs="宋体"/>
                <w:spacing w:val="-1"/>
                <w:kern w:val="2"/>
                <w:sz w:val="24"/>
                <w:szCs w:val="24"/>
                <w:lang w:val="en-US" w:eastAsia="zh-CN" w:bidi="ar-SA"/>
              </w:rPr>
              <w:t>（</w:t>
            </w:r>
            <w:r>
              <w:rPr>
                <w:rFonts w:hint="eastAsia" w:ascii="宋体" w:hAnsi="宋体" w:eastAsia="宋体" w:cs="宋体"/>
                <w:spacing w:val="-1"/>
                <w:kern w:val="2"/>
                <w:sz w:val="24"/>
                <w:szCs w:val="24"/>
                <w:lang w:val="en-US" w:eastAsia="en-US" w:bidi="ar-SA"/>
              </w:rPr>
              <w:t>或事业单位</w:t>
            </w:r>
            <w:r>
              <w:rPr>
                <w:rFonts w:hint="eastAsia" w:ascii="宋体" w:hAnsi="宋体" w:eastAsia="宋体" w:cs="宋体"/>
                <w:spacing w:val="-1"/>
                <w:kern w:val="2"/>
                <w:sz w:val="24"/>
                <w:szCs w:val="24"/>
                <w:lang w:val="en-US" w:eastAsia="zh-CN" w:bidi="ar-SA"/>
              </w:rPr>
              <w:t>）</w:t>
            </w:r>
            <w:r>
              <w:rPr>
                <w:rFonts w:hint="eastAsia" w:ascii="宋体" w:hAnsi="宋体" w:eastAsia="宋体" w:cs="宋体"/>
                <w:spacing w:val="-1"/>
                <w:kern w:val="2"/>
                <w:sz w:val="24"/>
                <w:szCs w:val="24"/>
                <w:lang w:val="en-US" w:eastAsia="en-US" w:bidi="ar-SA"/>
              </w:rPr>
              <w:t>委托的物业服务业绩（含在管/已履约完毕），</w:t>
            </w:r>
            <w:r>
              <w:rPr>
                <w:rFonts w:hint="eastAsia" w:ascii="宋体" w:hAnsi="宋体" w:eastAsia="宋体" w:cs="宋体"/>
                <w:spacing w:val="-3"/>
                <w:sz w:val="24"/>
                <w:szCs w:val="24"/>
                <w:highlight w:val="none"/>
                <w:lang w:val="en-US" w:eastAsia="zh-CN"/>
              </w:rPr>
              <w:t>得2分，满分2分。</w:t>
            </w:r>
          </w:p>
          <w:p w14:paraId="0BC1E784">
            <w:pPr>
              <w:pStyle w:val="26"/>
              <w:keepNext w:val="0"/>
              <w:keepLines w:val="0"/>
              <w:pageBreakBefore w:val="0"/>
              <w:kinsoku/>
              <w:wordWrap/>
              <w:overflowPunct/>
              <w:topLinePunct w:val="0"/>
              <w:autoSpaceDE/>
              <w:autoSpaceDN/>
              <w:bidi w:val="0"/>
              <w:adjustRightInd/>
              <w:snapToGrid/>
              <w:spacing w:line="480" w:lineRule="exact"/>
              <w:ind w:left="61" w:leftChars="25" w:right="60" w:rightChars="25" w:hanging="1"/>
              <w:textAlignment w:val="auto"/>
              <w:rPr>
                <w:rFonts w:hint="eastAsia" w:ascii="宋体" w:hAnsi="宋体" w:eastAsia="宋体" w:cs="宋体"/>
                <w:sz w:val="24"/>
                <w:szCs w:val="24"/>
                <w:lang w:eastAsia="zh-CN"/>
              </w:rPr>
            </w:pPr>
            <w:r>
              <w:rPr>
                <w:rFonts w:hint="eastAsia" w:ascii="宋体" w:hAnsi="宋体" w:eastAsia="宋体" w:cs="宋体"/>
                <w:b/>
                <w:bCs/>
                <w:spacing w:val="-3"/>
                <w:sz w:val="24"/>
                <w:szCs w:val="24"/>
                <w:lang w:val="en-US" w:eastAsia="zh-CN"/>
              </w:rPr>
              <w:t>2</w:t>
            </w:r>
            <w:r>
              <w:rPr>
                <w:rFonts w:hint="eastAsia" w:ascii="宋体" w:hAnsi="宋体" w:eastAsia="宋体" w:cs="宋体"/>
                <w:b/>
                <w:bCs/>
                <w:spacing w:val="-3"/>
                <w:sz w:val="24"/>
                <w:szCs w:val="24"/>
              </w:rPr>
              <w:t>、供应商为本项目拟配备的其他人员（除项</w:t>
            </w:r>
            <w:r>
              <w:rPr>
                <w:rFonts w:hint="eastAsia" w:ascii="宋体" w:hAnsi="宋体" w:eastAsia="宋体" w:cs="宋体"/>
                <w:b/>
                <w:bCs/>
                <w:spacing w:val="-4"/>
                <w:sz w:val="24"/>
                <w:szCs w:val="24"/>
              </w:rPr>
              <w:t>目</w:t>
            </w:r>
            <w:r>
              <w:rPr>
                <w:rFonts w:hint="eastAsia" w:ascii="宋体" w:hAnsi="宋体" w:eastAsia="宋体" w:cs="宋体"/>
                <w:b/>
                <w:bCs/>
                <w:spacing w:val="-4"/>
                <w:sz w:val="24"/>
                <w:szCs w:val="24"/>
                <w:lang w:val="en-US" w:eastAsia="zh-CN"/>
              </w:rPr>
              <w:t>负责人以</w:t>
            </w:r>
            <w:r>
              <w:rPr>
                <w:rFonts w:hint="eastAsia" w:ascii="宋体" w:hAnsi="宋体" w:eastAsia="宋体" w:cs="宋体"/>
                <w:b/>
                <w:bCs/>
                <w:spacing w:val="-4"/>
                <w:sz w:val="24"/>
                <w:szCs w:val="24"/>
              </w:rPr>
              <w:t>外，满分</w:t>
            </w:r>
            <w:r>
              <w:rPr>
                <w:rFonts w:hint="eastAsia" w:ascii="宋体" w:hAnsi="宋体" w:eastAsia="宋体" w:cs="宋体"/>
                <w:b/>
                <w:bCs/>
                <w:spacing w:val="-4"/>
                <w:sz w:val="24"/>
                <w:szCs w:val="24"/>
                <w:lang w:val="en-US" w:eastAsia="zh-CN"/>
              </w:rPr>
              <w:t>4</w:t>
            </w:r>
            <w:r>
              <w:rPr>
                <w:rFonts w:hint="eastAsia" w:ascii="宋体" w:hAnsi="宋体" w:eastAsia="宋体" w:cs="宋体"/>
                <w:b/>
                <w:bCs/>
                <w:spacing w:val="-4"/>
                <w:sz w:val="24"/>
                <w:szCs w:val="24"/>
              </w:rPr>
              <w:t>分）</w:t>
            </w:r>
            <w:r>
              <w:rPr>
                <w:rFonts w:hint="eastAsia" w:ascii="宋体" w:hAnsi="宋体" w:eastAsia="宋体" w:cs="宋体"/>
                <w:b/>
                <w:bCs/>
                <w:spacing w:val="-4"/>
                <w:sz w:val="24"/>
                <w:szCs w:val="24"/>
                <w:lang w:eastAsia="zh-CN"/>
              </w:rPr>
              <w:t>：</w:t>
            </w:r>
          </w:p>
          <w:p w14:paraId="6C3819D5">
            <w:pPr>
              <w:keepNext w:val="0"/>
              <w:keepLines w:val="0"/>
              <w:pageBreakBefore w:val="0"/>
              <w:widowControl/>
              <w:suppressLineNumbers w:val="0"/>
              <w:kinsoku/>
              <w:wordWrap/>
              <w:overflowPunct/>
              <w:topLinePunct w:val="0"/>
              <w:autoSpaceDE/>
              <w:autoSpaceDN/>
              <w:bidi w:val="0"/>
              <w:adjustRightInd/>
              <w:snapToGrid/>
              <w:spacing w:line="480" w:lineRule="exact"/>
              <w:ind w:left="0" w:leftChars="0" w:right="60" w:rightChars="25" w:firstLine="0" w:firstLineChars="0"/>
              <w:jc w:val="left"/>
              <w:textAlignment w:val="auto"/>
              <w:rPr>
                <w:rFonts w:hint="eastAsia" w:ascii="宋体" w:hAnsi="宋体" w:eastAsia="宋体" w:cs="宋体"/>
                <w:b w:val="0"/>
                <w:bCs w:val="0"/>
                <w:spacing w:val="-5"/>
                <w:sz w:val="24"/>
                <w:szCs w:val="24"/>
              </w:rPr>
            </w:pPr>
            <w:r>
              <w:rPr>
                <w:rFonts w:hint="eastAsia" w:ascii="宋体" w:hAnsi="宋体" w:eastAsia="宋体" w:cs="宋体"/>
                <w:spacing w:val="-1"/>
                <w:kern w:val="2"/>
                <w:sz w:val="24"/>
                <w:szCs w:val="24"/>
                <w:lang w:val="en-US" w:eastAsia="en-US" w:bidi="ar-SA"/>
              </w:rPr>
              <w:t>（1）</w:t>
            </w:r>
            <w:r>
              <w:rPr>
                <w:rFonts w:hint="eastAsia" w:ascii="宋体" w:hAnsi="宋体" w:eastAsia="宋体" w:cs="宋体"/>
                <w:spacing w:val="-2"/>
                <w:sz w:val="24"/>
                <w:szCs w:val="24"/>
              </w:rPr>
              <w:t>具有四级及以上</w:t>
            </w:r>
            <w:r>
              <w:rPr>
                <w:rFonts w:hint="eastAsia" w:ascii="宋体" w:hAnsi="宋体" w:eastAsia="宋体" w:cs="宋体"/>
                <w:spacing w:val="-2"/>
                <w:sz w:val="24"/>
                <w:szCs w:val="24"/>
                <w:lang w:val="en-US" w:eastAsia="zh-CN"/>
              </w:rPr>
              <w:t>物业管理员（师）</w:t>
            </w:r>
            <w:r>
              <w:rPr>
                <w:rFonts w:hint="eastAsia" w:ascii="宋体" w:hAnsi="宋体" w:eastAsia="宋体" w:cs="宋体"/>
                <w:spacing w:val="-1"/>
                <w:sz w:val="24"/>
                <w:szCs w:val="24"/>
              </w:rPr>
              <w:t>职业技能等级（或职</w:t>
            </w:r>
            <w:r>
              <w:rPr>
                <w:rFonts w:hint="eastAsia" w:ascii="宋体" w:hAnsi="宋体" w:eastAsia="宋体" w:cs="宋体"/>
                <w:spacing w:val="-3"/>
                <w:sz w:val="24"/>
                <w:szCs w:val="24"/>
              </w:rPr>
              <w:t>业资格）证书</w:t>
            </w:r>
            <w:r>
              <w:rPr>
                <w:rFonts w:hint="eastAsia" w:ascii="宋体" w:hAnsi="宋体" w:eastAsia="宋体" w:cs="宋体"/>
                <w:b w:val="0"/>
                <w:bCs w:val="0"/>
                <w:spacing w:val="-4"/>
                <w:sz w:val="24"/>
                <w:szCs w:val="24"/>
              </w:rPr>
              <w:t>，</w:t>
            </w:r>
            <w:r>
              <w:rPr>
                <w:rFonts w:hint="eastAsia" w:ascii="宋体" w:hAnsi="宋体" w:eastAsia="宋体" w:cs="宋体"/>
                <w:b w:val="0"/>
                <w:bCs w:val="0"/>
                <w:spacing w:val="-1"/>
                <w:sz w:val="24"/>
                <w:szCs w:val="24"/>
              </w:rPr>
              <w:t>每提供</w:t>
            </w:r>
            <w:r>
              <w:rPr>
                <w:rFonts w:hint="eastAsia" w:ascii="宋体" w:hAnsi="宋体" w:eastAsia="宋体" w:cs="宋体"/>
                <w:b w:val="0"/>
                <w:bCs w:val="0"/>
                <w:spacing w:val="-1"/>
                <w:sz w:val="24"/>
                <w:szCs w:val="24"/>
                <w:lang w:val="en-US" w:eastAsia="zh-CN"/>
              </w:rPr>
              <w:t>1</w:t>
            </w:r>
            <w:r>
              <w:rPr>
                <w:rFonts w:hint="eastAsia" w:ascii="宋体" w:hAnsi="宋体" w:eastAsia="宋体" w:cs="宋体"/>
                <w:b w:val="0"/>
                <w:bCs w:val="0"/>
                <w:spacing w:val="-3"/>
                <w:sz w:val="24"/>
                <w:szCs w:val="24"/>
              </w:rPr>
              <w:t>人</w:t>
            </w:r>
            <w:r>
              <w:rPr>
                <w:rFonts w:hint="eastAsia" w:ascii="宋体" w:hAnsi="宋体" w:eastAsia="宋体" w:cs="宋体"/>
                <w:b w:val="0"/>
                <w:bCs w:val="0"/>
                <w:spacing w:val="-3"/>
                <w:sz w:val="24"/>
                <w:szCs w:val="24"/>
                <w:highlight w:val="none"/>
                <w:lang w:val="en-US" w:eastAsia="zh-CN"/>
              </w:rPr>
              <w:t>得2分，</w:t>
            </w:r>
            <w:r>
              <w:rPr>
                <w:rFonts w:hint="eastAsia" w:ascii="宋体" w:hAnsi="宋体" w:eastAsia="宋体" w:cs="宋体"/>
                <w:b w:val="0"/>
                <w:bCs w:val="0"/>
                <w:spacing w:val="-5"/>
                <w:sz w:val="24"/>
                <w:szCs w:val="24"/>
              </w:rPr>
              <w:t>满分</w:t>
            </w:r>
            <w:r>
              <w:rPr>
                <w:rFonts w:hint="eastAsia" w:ascii="宋体" w:hAnsi="宋体" w:eastAsia="宋体" w:cs="宋体"/>
                <w:b w:val="0"/>
                <w:bCs w:val="0"/>
                <w:spacing w:val="-5"/>
                <w:sz w:val="24"/>
                <w:szCs w:val="24"/>
                <w:lang w:val="en-US" w:eastAsia="zh-CN"/>
              </w:rPr>
              <w:t>2</w:t>
            </w:r>
            <w:r>
              <w:rPr>
                <w:rFonts w:hint="eastAsia" w:ascii="宋体" w:hAnsi="宋体" w:eastAsia="宋体" w:cs="宋体"/>
                <w:b w:val="0"/>
                <w:bCs w:val="0"/>
                <w:spacing w:val="-5"/>
                <w:sz w:val="24"/>
                <w:szCs w:val="24"/>
              </w:rPr>
              <w:t>分；</w:t>
            </w:r>
          </w:p>
          <w:p w14:paraId="5B470BC4">
            <w:pPr>
              <w:keepNext w:val="0"/>
              <w:keepLines w:val="0"/>
              <w:pageBreakBefore w:val="0"/>
              <w:widowControl/>
              <w:suppressLineNumbers w:val="0"/>
              <w:kinsoku/>
              <w:wordWrap/>
              <w:overflowPunct/>
              <w:topLinePunct w:val="0"/>
              <w:autoSpaceDE/>
              <w:autoSpaceDN/>
              <w:bidi w:val="0"/>
              <w:adjustRightInd/>
              <w:snapToGrid/>
              <w:spacing w:line="480" w:lineRule="exact"/>
              <w:ind w:left="0" w:leftChars="0" w:right="60" w:rightChars="25" w:firstLine="0" w:firstLineChars="0"/>
              <w:jc w:val="left"/>
              <w:textAlignment w:val="auto"/>
              <w:rPr>
                <w:rFonts w:hint="eastAsia" w:ascii="宋体" w:hAnsi="宋体" w:eastAsia="宋体" w:cs="宋体"/>
                <w:sz w:val="24"/>
                <w:szCs w:val="24"/>
              </w:rPr>
            </w:pPr>
            <w:r>
              <w:rPr>
                <w:rFonts w:hint="eastAsia" w:ascii="宋体" w:hAnsi="宋体" w:eastAsia="宋体" w:cs="宋体"/>
                <w:b w:val="0"/>
                <w:bCs w:val="0"/>
                <w:spacing w:val="-5"/>
                <w:sz w:val="24"/>
                <w:szCs w:val="24"/>
                <w:lang w:eastAsia="zh-CN"/>
              </w:rPr>
              <w:t>（</w:t>
            </w:r>
            <w:r>
              <w:rPr>
                <w:rFonts w:hint="eastAsia" w:ascii="宋体" w:hAnsi="宋体" w:eastAsia="宋体" w:cs="宋体"/>
                <w:b w:val="0"/>
                <w:bCs w:val="0"/>
                <w:spacing w:val="-5"/>
                <w:sz w:val="24"/>
                <w:szCs w:val="24"/>
                <w:lang w:val="en-US" w:eastAsia="zh-CN"/>
              </w:rPr>
              <w:t>2）</w:t>
            </w:r>
            <w:r>
              <w:rPr>
                <w:rFonts w:hint="eastAsia" w:ascii="宋体" w:hAnsi="宋体" w:eastAsia="宋体" w:cs="宋体"/>
                <w:spacing w:val="-1"/>
                <w:kern w:val="2"/>
                <w:sz w:val="24"/>
                <w:szCs w:val="24"/>
                <w:lang w:val="en-US" w:eastAsia="en-US" w:bidi="ar-SA"/>
              </w:rPr>
              <w:t>具有</w:t>
            </w:r>
            <w:r>
              <w:rPr>
                <w:rFonts w:hint="eastAsia" w:ascii="宋体" w:hAnsi="宋体" w:eastAsia="宋体" w:cs="宋体"/>
                <w:spacing w:val="-1"/>
                <w:kern w:val="2"/>
                <w:sz w:val="24"/>
                <w:szCs w:val="24"/>
                <w:lang w:val="en-US" w:eastAsia="zh-CN" w:bidi="ar-SA"/>
              </w:rPr>
              <w:t>四级及以上保洁员</w:t>
            </w:r>
            <w:r>
              <w:rPr>
                <w:rFonts w:hint="eastAsia" w:ascii="宋体" w:hAnsi="宋体" w:eastAsia="宋体" w:cs="宋体"/>
                <w:spacing w:val="-1"/>
                <w:kern w:val="2"/>
                <w:sz w:val="24"/>
                <w:szCs w:val="24"/>
                <w:lang w:val="en-US" w:eastAsia="en-US" w:bidi="ar-SA"/>
              </w:rPr>
              <w:t>职业资</w:t>
            </w:r>
            <w:r>
              <w:rPr>
                <w:rFonts w:hint="eastAsia" w:ascii="宋体" w:hAnsi="宋体" w:eastAsia="宋体" w:cs="宋体"/>
                <w:spacing w:val="-1"/>
                <w:sz w:val="24"/>
                <w:szCs w:val="24"/>
              </w:rPr>
              <w:t>格</w:t>
            </w:r>
            <w:r>
              <w:rPr>
                <w:rFonts w:hint="eastAsia" w:ascii="宋体" w:hAnsi="宋体" w:eastAsia="宋体" w:cs="宋体"/>
                <w:spacing w:val="-2"/>
                <w:sz w:val="24"/>
                <w:szCs w:val="24"/>
              </w:rPr>
              <w:t>（或技能等级）证书的</w:t>
            </w:r>
            <w:r>
              <w:rPr>
                <w:rFonts w:hint="eastAsia" w:ascii="宋体" w:hAnsi="宋体" w:eastAsia="宋体" w:cs="宋体"/>
                <w:b w:val="0"/>
                <w:bCs w:val="0"/>
                <w:spacing w:val="-2"/>
                <w:sz w:val="24"/>
                <w:szCs w:val="24"/>
              </w:rPr>
              <w:t>，</w:t>
            </w:r>
            <w:r>
              <w:rPr>
                <w:rFonts w:hint="eastAsia" w:ascii="宋体" w:hAnsi="宋体" w:eastAsia="宋体" w:cs="宋体"/>
                <w:b w:val="0"/>
                <w:bCs w:val="0"/>
                <w:spacing w:val="-1"/>
                <w:sz w:val="24"/>
                <w:szCs w:val="24"/>
              </w:rPr>
              <w:t>每提供</w:t>
            </w:r>
            <w:r>
              <w:rPr>
                <w:rFonts w:hint="eastAsia" w:ascii="宋体" w:hAnsi="宋体" w:eastAsia="宋体" w:cs="宋体"/>
                <w:b w:val="0"/>
                <w:bCs w:val="0"/>
                <w:spacing w:val="-1"/>
                <w:sz w:val="24"/>
                <w:szCs w:val="24"/>
                <w:lang w:val="en-US" w:eastAsia="zh-CN"/>
              </w:rPr>
              <w:t>1</w:t>
            </w:r>
            <w:r>
              <w:rPr>
                <w:rFonts w:hint="eastAsia" w:ascii="宋体" w:hAnsi="宋体" w:eastAsia="宋体" w:cs="宋体"/>
                <w:b w:val="0"/>
                <w:bCs w:val="0"/>
                <w:spacing w:val="-3"/>
                <w:sz w:val="24"/>
                <w:szCs w:val="24"/>
              </w:rPr>
              <w:t>人得</w:t>
            </w:r>
            <w:r>
              <w:rPr>
                <w:rFonts w:hint="eastAsia" w:ascii="宋体" w:hAnsi="宋体" w:eastAsia="宋体" w:cs="宋体"/>
                <w:b w:val="0"/>
                <w:bCs w:val="0"/>
                <w:spacing w:val="-3"/>
                <w:sz w:val="24"/>
                <w:szCs w:val="24"/>
                <w:lang w:val="en-US" w:eastAsia="zh-CN"/>
              </w:rPr>
              <w:t>2</w:t>
            </w:r>
            <w:r>
              <w:rPr>
                <w:rFonts w:hint="eastAsia" w:ascii="宋体" w:hAnsi="宋体" w:eastAsia="宋体" w:cs="宋体"/>
                <w:b w:val="0"/>
                <w:bCs w:val="0"/>
                <w:spacing w:val="-3"/>
                <w:sz w:val="24"/>
                <w:szCs w:val="24"/>
              </w:rPr>
              <w:t>分，满分</w:t>
            </w:r>
            <w:r>
              <w:rPr>
                <w:rFonts w:hint="eastAsia" w:ascii="宋体" w:hAnsi="宋体" w:eastAsia="宋体" w:cs="宋体"/>
                <w:b w:val="0"/>
                <w:bCs w:val="0"/>
                <w:spacing w:val="-3"/>
                <w:sz w:val="24"/>
                <w:szCs w:val="24"/>
                <w:lang w:val="en-US" w:eastAsia="zh-CN"/>
              </w:rPr>
              <w:t>2</w:t>
            </w:r>
            <w:r>
              <w:rPr>
                <w:rFonts w:hint="eastAsia" w:ascii="宋体" w:hAnsi="宋体" w:eastAsia="宋体" w:cs="宋体"/>
                <w:b w:val="0"/>
                <w:bCs w:val="0"/>
                <w:spacing w:val="-3"/>
                <w:sz w:val="24"/>
                <w:szCs w:val="24"/>
              </w:rPr>
              <w:t>分</w:t>
            </w:r>
            <w:r>
              <w:rPr>
                <w:rFonts w:hint="eastAsia" w:ascii="宋体" w:hAnsi="宋体" w:eastAsia="宋体" w:cs="宋体"/>
                <w:b w:val="0"/>
                <w:bCs w:val="0"/>
                <w:spacing w:val="-2"/>
                <w:sz w:val="24"/>
                <w:szCs w:val="24"/>
              </w:rPr>
              <w:t>。</w:t>
            </w:r>
          </w:p>
          <w:p w14:paraId="12900084">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en-US" w:bidi="ar-SA"/>
              </w:rPr>
              <w:t>注：响应文件中提供以下证明材料：</w:t>
            </w:r>
          </w:p>
          <w:p w14:paraId="4D4153BB">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en-US" w:bidi="ar-SA"/>
              </w:rPr>
              <w:t>（1）人员名单；</w:t>
            </w:r>
          </w:p>
          <w:p w14:paraId="7B275A5D">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en-US" w:bidi="ar-SA"/>
              </w:rPr>
              <w:t>（2）上述人员证书扫描件；</w:t>
            </w:r>
          </w:p>
          <w:p w14:paraId="548501BE">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10"/>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en-US" w:bidi="ar-SA"/>
              </w:rPr>
              <w:t xml:space="preserve">（3）供应商为上述人员缴纳的近 </w:t>
            </w:r>
            <w:r>
              <w:rPr>
                <w:rFonts w:hint="eastAsia" w:ascii="宋体" w:hAnsi="宋体" w:eastAsia="宋体" w:cs="宋体"/>
                <w:b/>
                <w:bCs/>
                <w:snapToGrid/>
                <w:color w:val="auto"/>
                <w:spacing w:val="-1"/>
                <w:kern w:val="2"/>
                <w:sz w:val="24"/>
                <w:szCs w:val="24"/>
                <w:lang w:val="en-US" w:eastAsia="zh-CN" w:bidi="ar-SA"/>
              </w:rPr>
              <w:t>6</w:t>
            </w:r>
            <w:r>
              <w:rPr>
                <w:rFonts w:hint="eastAsia" w:ascii="宋体" w:hAnsi="宋体" w:eastAsia="宋体" w:cs="宋体"/>
                <w:b/>
                <w:bCs/>
                <w:snapToGrid/>
                <w:color w:val="auto"/>
                <w:spacing w:val="-1"/>
                <w:kern w:val="2"/>
                <w:sz w:val="24"/>
                <w:szCs w:val="24"/>
                <w:lang w:val="en-US" w:eastAsia="en-US" w:bidi="ar-SA"/>
              </w:rPr>
              <w:t>个月内（任意1个月即可）社保证明材料扫描件或影印件，具体详见供应商须知前附表，未提供或提供不全的不得分。（注：社保证明材料至少含养老保险。）</w:t>
            </w:r>
          </w:p>
          <w:p w14:paraId="4196C507">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en-US" w:bidi="ar-SA"/>
              </w:rPr>
              <w:t>（4）上述涉及职业技能等级证书须另外同时提供技能人才评价证书全国联网查询截图，否则该证书不得分。</w:t>
            </w:r>
          </w:p>
          <w:p w14:paraId="171D9ECA">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zh-CN" w:bidi="ar-SA"/>
              </w:rPr>
              <w:t>（5）</w:t>
            </w:r>
            <w:r>
              <w:rPr>
                <w:rFonts w:hint="eastAsia" w:ascii="宋体" w:hAnsi="宋体" w:eastAsia="宋体" w:cs="宋体"/>
                <w:b/>
                <w:bCs/>
                <w:snapToGrid/>
                <w:color w:val="auto"/>
                <w:spacing w:val="-1"/>
                <w:kern w:val="2"/>
                <w:sz w:val="24"/>
                <w:szCs w:val="24"/>
                <w:lang w:val="en-US" w:eastAsia="en-US" w:bidi="ar-SA"/>
              </w:rPr>
              <w:t>响应文件中提供获奖证书、批复、颁奖单位颁奖文件、网上公示截图（具有其中之一即可）等证明材料。</w:t>
            </w:r>
          </w:p>
          <w:p w14:paraId="23C82AB3">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zh-CN" w:bidi="ar-SA"/>
              </w:rPr>
            </w:pPr>
            <w:r>
              <w:rPr>
                <w:rFonts w:hint="eastAsia" w:ascii="宋体" w:hAnsi="宋体" w:eastAsia="宋体" w:cs="宋体"/>
                <w:b/>
                <w:bCs/>
                <w:snapToGrid/>
                <w:color w:val="auto"/>
                <w:spacing w:val="-1"/>
                <w:kern w:val="2"/>
                <w:sz w:val="24"/>
                <w:szCs w:val="24"/>
                <w:lang w:val="en-US" w:eastAsia="zh-CN" w:bidi="ar-SA"/>
              </w:rPr>
              <w:t>（6）党政机关包括党的机关、人大机关、行政机关、政协机关、审判机关、检察机关，及各级党政机关派出机构、直属事业单位及工会、共青团、妇联等；</w:t>
            </w:r>
          </w:p>
          <w:p w14:paraId="2CFE29FE">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kern w:val="2"/>
                <w:sz w:val="24"/>
                <w:szCs w:val="24"/>
                <w:lang w:val="en-US" w:eastAsia="en-US" w:bidi="ar-SA"/>
              </w:rPr>
            </w:pPr>
            <w:r>
              <w:rPr>
                <w:rFonts w:hint="eastAsia" w:ascii="宋体" w:hAnsi="宋体" w:eastAsia="宋体" w:cs="宋体"/>
                <w:b/>
                <w:bCs/>
                <w:snapToGrid/>
                <w:color w:val="auto"/>
                <w:spacing w:val="-1"/>
                <w:kern w:val="2"/>
                <w:sz w:val="24"/>
                <w:szCs w:val="24"/>
                <w:lang w:val="en-US" w:eastAsia="zh-CN" w:bidi="ar-SA"/>
              </w:rPr>
              <w:t>（7）国内依法登记注</w:t>
            </w:r>
            <w:r>
              <w:rPr>
                <w:rFonts w:hint="eastAsia" w:ascii="宋体" w:hAnsi="宋体" w:eastAsia="宋体" w:cs="宋体"/>
                <w:b/>
                <w:bCs/>
                <w:snapToGrid/>
                <w:color w:val="auto"/>
                <w:spacing w:val="-1"/>
                <w:kern w:val="2"/>
                <w:sz w:val="24"/>
                <w:szCs w:val="24"/>
                <w:lang w:val="en-US" w:eastAsia="en-US" w:bidi="ar-SA"/>
              </w:rPr>
              <w:t>册”以中国社会组织政务服务平台中“全国社会组织信用信息公示平台”查询结果为准。</w:t>
            </w:r>
            <w:r>
              <w:rPr>
                <w:rFonts w:hint="eastAsia" w:ascii="宋体" w:hAnsi="宋体" w:eastAsia="宋体" w:cs="宋体"/>
                <w:b/>
                <w:bCs/>
                <w:snapToGrid/>
                <w:color w:val="auto"/>
                <w:spacing w:val="-1"/>
                <w:kern w:val="2"/>
                <w:sz w:val="24"/>
                <w:szCs w:val="24"/>
                <w:lang w:val="en-US" w:eastAsia="zh-CN" w:bidi="ar-SA"/>
              </w:rPr>
              <w:t>响应</w:t>
            </w:r>
            <w:r>
              <w:rPr>
                <w:rFonts w:hint="eastAsia" w:ascii="宋体" w:hAnsi="宋体" w:eastAsia="宋体" w:cs="宋体"/>
                <w:b/>
                <w:bCs/>
                <w:snapToGrid/>
                <w:color w:val="auto"/>
                <w:spacing w:val="-1"/>
                <w:kern w:val="2"/>
                <w:sz w:val="24"/>
                <w:szCs w:val="24"/>
                <w:lang w:val="en-US" w:eastAsia="en-US" w:bidi="ar-SA"/>
              </w:rPr>
              <w:t>文件中须提供该协会在中国社会组织政务服务平台中“全国社会组织信用信息公示平台 ”查询结果截图。民政部公布的“离岸社团”、“山寨社团”或中国社会组织政务服务平台中“全国社会组织信用信息公示平台”公示的“涉嫌非法社会组织”颁发的荣誉、奖励均无效”。</w:t>
            </w:r>
          </w:p>
          <w:p w14:paraId="0097E6FE">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b/>
                <w:bCs/>
                <w:spacing w:val="-3"/>
                <w:sz w:val="24"/>
                <w:szCs w:val="24"/>
                <w:lang w:eastAsia="zh-CN"/>
              </w:rPr>
            </w:pPr>
            <w:r>
              <w:rPr>
                <w:rFonts w:hint="eastAsia" w:ascii="宋体" w:hAnsi="宋体" w:eastAsia="宋体" w:cs="宋体"/>
                <w:b/>
                <w:bCs/>
                <w:snapToGrid/>
                <w:color w:val="auto"/>
                <w:spacing w:val="-1"/>
                <w:kern w:val="2"/>
                <w:sz w:val="24"/>
                <w:szCs w:val="24"/>
                <w:lang w:val="en-US" w:eastAsia="zh-CN" w:bidi="ar-SA"/>
              </w:rPr>
              <w:t>（8）</w:t>
            </w:r>
            <w:r>
              <w:rPr>
                <w:rFonts w:hint="eastAsia" w:ascii="宋体" w:hAnsi="宋体" w:eastAsia="宋体" w:cs="宋体"/>
                <w:b/>
                <w:bCs/>
                <w:snapToGrid/>
                <w:color w:val="auto"/>
                <w:spacing w:val="-1"/>
                <w:kern w:val="2"/>
                <w:sz w:val="24"/>
                <w:szCs w:val="24"/>
                <w:lang w:val="en-US" w:eastAsia="en-US" w:bidi="ar-SA"/>
              </w:rPr>
              <w:t>响应文件中提供业绩合同扫描件（或影印件），若合同中无法体现</w:t>
            </w:r>
            <w:r>
              <w:rPr>
                <w:rFonts w:hint="eastAsia" w:ascii="宋体" w:hAnsi="宋体" w:eastAsia="宋体" w:cs="宋体"/>
                <w:b/>
                <w:bCs/>
                <w:snapToGrid/>
                <w:color w:val="auto"/>
                <w:spacing w:val="-1"/>
                <w:kern w:val="2"/>
                <w:sz w:val="24"/>
                <w:szCs w:val="24"/>
                <w:lang w:val="en-US" w:eastAsia="zh-CN" w:bidi="ar-SA"/>
              </w:rPr>
              <w:t>项目负责人</w:t>
            </w:r>
            <w:r>
              <w:rPr>
                <w:rFonts w:hint="eastAsia" w:ascii="宋体" w:hAnsi="宋体" w:eastAsia="宋体" w:cs="宋体"/>
                <w:b/>
                <w:bCs/>
                <w:snapToGrid/>
                <w:color w:val="auto"/>
                <w:spacing w:val="-1"/>
                <w:kern w:val="2"/>
                <w:sz w:val="24"/>
                <w:szCs w:val="24"/>
                <w:lang w:val="en-US" w:eastAsia="en-US" w:bidi="ar-SA"/>
              </w:rPr>
              <w:t>等关键评审内容的，须同时提供业主单位（合同甲方）出具的证明材料</w:t>
            </w:r>
            <w:r>
              <w:rPr>
                <w:rFonts w:hint="eastAsia" w:ascii="宋体" w:hAnsi="宋体" w:eastAsia="宋体" w:cs="宋体"/>
                <w:b/>
                <w:bCs/>
                <w:snapToGrid/>
                <w:color w:val="auto"/>
                <w:spacing w:val="-1"/>
                <w:kern w:val="2"/>
                <w:sz w:val="24"/>
                <w:szCs w:val="24"/>
                <w:lang w:val="en-US" w:eastAsia="zh-CN" w:bidi="ar-SA"/>
              </w:rPr>
              <w:t>（或</w:t>
            </w:r>
            <w:r>
              <w:rPr>
                <w:rFonts w:hint="eastAsia" w:ascii="宋体" w:hAnsi="宋体" w:eastAsia="宋体" w:cs="宋体"/>
                <w:b/>
                <w:bCs/>
                <w:snapToGrid/>
                <w:color w:val="auto"/>
                <w:spacing w:val="-1"/>
                <w:kern w:val="2"/>
                <w:sz w:val="24"/>
                <w:szCs w:val="24"/>
                <w:lang w:val="en-US" w:eastAsia="en-US" w:bidi="ar-SA"/>
              </w:rPr>
              <w:t>业绩履约反馈评价为正向评价</w:t>
            </w:r>
            <w:r>
              <w:rPr>
                <w:rFonts w:hint="eastAsia" w:ascii="宋体" w:hAnsi="宋体" w:eastAsia="宋体" w:cs="宋体"/>
                <w:b/>
                <w:bCs/>
                <w:snapToGrid/>
                <w:color w:val="auto"/>
                <w:spacing w:val="-1"/>
                <w:kern w:val="2"/>
                <w:sz w:val="24"/>
                <w:szCs w:val="24"/>
                <w:lang w:val="en-US" w:eastAsia="zh-CN" w:bidi="ar-SA"/>
              </w:rPr>
              <w:t>）</w:t>
            </w:r>
            <w:r>
              <w:rPr>
                <w:rFonts w:hint="eastAsia" w:ascii="宋体" w:hAnsi="宋体" w:eastAsia="宋体" w:cs="宋体"/>
                <w:b/>
                <w:bCs/>
                <w:snapToGrid/>
                <w:color w:val="auto"/>
                <w:spacing w:val="-1"/>
                <w:kern w:val="2"/>
                <w:sz w:val="24"/>
                <w:szCs w:val="24"/>
                <w:lang w:val="en-US" w:eastAsia="en-US" w:bidi="ar-SA"/>
              </w:rPr>
              <w:t>加以明确说明</w:t>
            </w:r>
            <w:r>
              <w:rPr>
                <w:rFonts w:hint="eastAsia" w:ascii="宋体" w:hAnsi="宋体" w:eastAsia="宋体" w:cs="宋体"/>
                <w:b/>
                <w:bCs/>
                <w:snapToGrid/>
                <w:color w:val="auto"/>
                <w:spacing w:val="-1"/>
                <w:kern w:val="2"/>
                <w:sz w:val="24"/>
                <w:szCs w:val="24"/>
                <w:lang w:val="en-US" w:eastAsia="zh-CN" w:bidi="ar-SA"/>
              </w:rPr>
              <w:t>。</w:t>
            </w:r>
          </w:p>
        </w:tc>
        <w:tc>
          <w:tcPr>
            <w:tcW w:w="1249" w:type="dxa"/>
            <w:tcBorders>
              <w:tl2br w:val="nil"/>
              <w:tr2bl w:val="nil"/>
            </w:tcBorders>
            <w:vAlign w:val="center"/>
          </w:tcPr>
          <w:p w14:paraId="23E7131C">
            <w:pPr>
              <w:pStyle w:val="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4"/>
                <w:sz w:val="24"/>
                <w:szCs w:val="24"/>
              </w:rPr>
              <w:t>0-</w:t>
            </w:r>
            <w:r>
              <w:rPr>
                <w:rFonts w:hint="eastAsia" w:ascii="宋体" w:hAnsi="宋体" w:eastAsia="宋体" w:cs="宋体"/>
                <w:b w:val="0"/>
                <w:bCs w:val="0"/>
                <w:spacing w:val="-4"/>
                <w:sz w:val="24"/>
                <w:szCs w:val="24"/>
                <w:lang w:val="en-US" w:eastAsia="zh-CN"/>
              </w:rPr>
              <w:t>12</w:t>
            </w:r>
            <w:r>
              <w:rPr>
                <w:rFonts w:hint="eastAsia" w:ascii="宋体" w:hAnsi="宋体" w:eastAsia="宋体" w:cs="宋体"/>
                <w:b w:val="0"/>
                <w:bCs w:val="0"/>
                <w:spacing w:val="-4"/>
                <w:sz w:val="24"/>
                <w:szCs w:val="24"/>
              </w:rPr>
              <w:t>分</w:t>
            </w:r>
          </w:p>
        </w:tc>
      </w:tr>
      <w:tr w14:paraId="3CCC4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jc w:val="center"/>
        </w:trPr>
        <w:tc>
          <w:tcPr>
            <w:tcW w:w="994" w:type="dxa"/>
            <w:vMerge w:val="continue"/>
            <w:tcBorders>
              <w:tl2br w:val="nil"/>
              <w:tr2bl w:val="nil"/>
            </w:tcBorders>
            <w:vAlign w:val="center"/>
          </w:tcPr>
          <w:p w14:paraId="745ED279">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719ACF55">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供应商荣誉</w:t>
            </w:r>
          </w:p>
        </w:tc>
        <w:tc>
          <w:tcPr>
            <w:tcW w:w="6075" w:type="dxa"/>
            <w:tcBorders>
              <w:tl2br w:val="nil"/>
              <w:tr2bl w:val="nil"/>
            </w:tcBorders>
            <w:vAlign w:val="top"/>
          </w:tcPr>
          <w:p w14:paraId="7F729D93">
            <w:pPr>
              <w:keepNext w:val="0"/>
              <w:keepLines w:val="0"/>
              <w:pageBreakBefore w:val="0"/>
              <w:widowControl/>
              <w:suppressLineNumbers w:val="0"/>
              <w:kinsoku/>
              <w:wordWrap/>
              <w:overflowPunct/>
              <w:topLinePunct w:val="0"/>
              <w:autoSpaceDE/>
              <w:autoSpaceDN/>
              <w:bidi w:val="0"/>
              <w:adjustRightInd/>
              <w:snapToGrid/>
              <w:spacing w:line="480" w:lineRule="exact"/>
              <w:ind w:left="0" w:leftChars="0" w:right="60" w:rightChars="25" w:firstLine="0" w:firstLineChars="0"/>
              <w:jc w:val="left"/>
              <w:textAlignment w:val="auto"/>
              <w:rPr>
                <w:rFonts w:hint="eastAsia" w:ascii="宋体" w:hAnsi="宋体" w:eastAsia="宋体" w:cs="宋体"/>
                <w:sz w:val="24"/>
                <w:szCs w:val="24"/>
              </w:rPr>
            </w:pPr>
            <w:r>
              <w:rPr>
                <w:rFonts w:hint="eastAsia" w:ascii="宋体" w:hAnsi="宋体" w:eastAsia="宋体" w:cs="宋体"/>
                <w:spacing w:val="-1"/>
                <w:kern w:val="2"/>
                <w:sz w:val="24"/>
                <w:szCs w:val="24"/>
                <w:lang w:val="en-US" w:eastAsia="en-US" w:bidi="ar-SA"/>
              </w:rPr>
              <w:t>自2021年1月1日以来</w:t>
            </w:r>
            <w:r>
              <w:rPr>
                <w:rFonts w:hint="eastAsia" w:ascii="宋体" w:hAnsi="宋体" w:eastAsia="宋体" w:cs="宋体"/>
                <w:b/>
                <w:bCs/>
                <w:spacing w:val="-1"/>
                <w:kern w:val="2"/>
                <w:sz w:val="24"/>
                <w:szCs w:val="24"/>
                <w:lang w:val="en-US" w:eastAsia="en-US" w:bidi="ar-SA"/>
              </w:rPr>
              <w:t>（以获奖时间为准）</w:t>
            </w:r>
            <w:r>
              <w:rPr>
                <w:rFonts w:hint="eastAsia" w:ascii="宋体" w:hAnsi="宋体" w:eastAsia="宋体" w:cs="宋体"/>
                <w:spacing w:val="-1"/>
                <w:kern w:val="2"/>
                <w:sz w:val="24"/>
                <w:szCs w:val="24"/>
                <w:lang w:val="en-US" w:eastAsia="zh-CN" w:bidi="ar-SA"/>
              </w:rPr>
              <w:t>，</w:t>
            </w:r>
            <w:r>
              <w:rPr>
                <w:rFonts w:hint="eastAsia" w:ascii="宋体" w:hAnsi="宋体" w:eastAsia="宋体" w:cs="宋体"/>
                <w:spacing w:val="-1"/>
                <w:kern w:val="2"/>
                <w:sz w:val="24"/>
                <w:szCs w:val="24"/>
                <w:lang w:val="en-US" w:eastAsia="en-US" w:bidi="ar-SA"/>
              </w:rPr>
              <w:t>供应商获得党政机关（或事业单位）颁发的物业</w:t>
            </w:r>
            <w:r>
              <w:rPr>
                <w:rFonts w:hint="eastAsia" w:ascii="宋体" w:hAnsi="宋体" w:eastAsia="宋体" w:cs="宋体"/>
                <w:spacing w:val="-1"/>
                <w:kern w:val="2"/>
                <w:sz w:val="24"/>
                <w:szCs w:val="24"/>
                <w:lang w:val="en-US" w:eastAsia="zh-CN" w:bidi="ar-SA"/>
              </w:rPr>
              <w:t>类</w:t>
            </w:r>
            <w:r>
              <w:rPr>
                <w:rFonts w:hint="eastAsia" w:ascii="宋体" w:hAnsi="宋体" w:eastAsia="宋体" w:cs="宋体"/>
                <w:spacing w:val="-1"/>
                <w:kern w:val="2"/>
                <w:sz w:val="24"/>
                <w:szCs w:val="24"/>
                <w:lang w:val="en-US" w:eastAsia="en-US" w:bidi="ar-SA"/>
              </w:rPr>
              <w:t>荣誉或表彰的，每个得</w:t>
            </w:r>
            <w:r>
              <w:rPr>
                <w:rFonts w:hint="eastAsia" w:ascii="宋体" w:hAnsi="宋体" w:eastAsia="宋体" w:cs="宋体"/>
                <w:spacing w:val="-1"/>
                <w:kern w:val="2"/>
                <w:sz w:val="24"/>
                <w:szCs w:val="24"/>
                <w:lang w:val="en-US" w:eastAsia="zh-CN" w:bidi="ar-SA"/>
              </w:rPr>
              <w:t>3</w:t>
            </w:r>
            <w:r>
              <w:rPr>
                <w:rFonts w:hint="eastAsia" w:ascii="宋体" w:hAnsi="宋体" w:eastAsia="宋体" w:cs="宋体"/>
                <w:spacing w:val="-1"/>
                <w:kern w:val="2"/>
                <w:sz w:val="24"/>
                <w:szCs w:val="24"/>
                <w:lang w:val="en-US" w:eastAsia="en-US" w:bidi="ar-SA"/>
              </w:rPr>
              <w:t>分，满分</w:t>
            </w:r>
            <w:r>
              <w:rPr>
                <w:rFonts w:hint="eastAsia" w:ascii="宋体" w:hAnsi="宋体" w:eastAsia="宋体" w:cs="宋体"/>
                <w:spacing w:val="-1"/>
                <w:kern w:val="2"/>
                <w:sz w:val="24"/>
                <w:szCs w:val="24"/>
                <w:lang w:val="en-US" w:eastAsia="zh-CN" w:bidi="ar-SA"/>
              </w:rPr>
              <w:t>9</w:t>
            </w:r>
            <w:r>
              <w:rPr>
                <w:rFonts w:hint="eastAsia" w:ascii="宋体" w:hAnsi="宋体" w:eastAsia="宋体" w:cs="宋体"/>
                <w:spacing w:val="-1"/>
                <w:kern w:val="2"/>
                <w:sz w:val="24"/>
                <w:szCs w:val="24"/>
                <w:lang w:val="en-US" w:eastAsia="en-US" w:bidi="ar-SA"/>
              </w:rPr>
              <w:t>分。</w:t>
            </w:r>
          </w:p>
          <w:p w14:paraId="44FDABD2">
            <w:pPr>
              <w:pStyle w:val="26"/>
              <w:keepNext w:val="0"/>
              <w:keepLines w:val="0"/>
              <w:pageBreakBefore w:val="0"/>
              <w:kinsoku/>
              <w:wordWrap/>
              <w:overflowPunct/>
              <w:topLinePunct w:val="0"/>
              <w:autoSpaceDE/>
              <w:autoSpaceDN/>
              <w:bidi w:val="0"/>
              <w:adjustRightInd/>
              <w:snapToGrid/>
              <w:spacing w:line="480" w:lineRule="exact"/>
              <w:ind w:left="60" w:leftChars="25" w:right="60" w:rightChars="25" w:firstLine="17"/>
              <w:textAlignment w:val="auto"/>
              <w:rPr>
                <w:rFonts w:hint="eastAsia" w:ascii="宋体" w:hAnsi="宋体" w:eastAsia="宋体" w:cs="宋体"/>
                <w:b/>
                <w:bCs/>
                <w:spacing w:val="-28"/>
                <w:sz w:val="24"/>
                <w:szCs w:val="24"/>
              </w:rPr>
            </w:pPr>
            <w:r>
              <w:rPr>
                <w:rFonts w:hint="eastAsia" w:ascii="宋体" w:hAnsi="宋体" w:eastAsia="宋体" w:cs="宋体"/>
                <w:b/>
                <w:bCs/>
                <w:spacing w:val="7"/>
                <w:sz w:val="24"/>
                <w:szCs w:val="24"/>
              </w:rPr>
              <w:t>注</w:t>
            </w:r>
            <w:r>
              <w:rPr>
                <w:rFonts w:hint="eastAsia" w:ascii="宋体" w:hAnsi="宋体" w:eastAsia="宋体" w:cs="宋体"/>
                <w:b/>
                <w:bCs/>
                <w:spacing w:val="-28"/>
                <w:sz w:val="24"/>
                <w:szCs w:val="24"/>
              </w:rPr>
              <w:t>：</w:t>
            </w:r>
          </w:p>
          <w:p w14:paraId="03B52F64">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7"/>
                <w:sz w:val="24"/>
                <w:szCs w:val="24"/>
                <w:lang w:eastAsia="zh-CN"/>
              </w:rPr>
              <w:t>（</w:t>
            </w:r>
            <w:r>
              <w:rPr>
                <w:rFonts w:hint="eastAsia" w:ascii="宋体" w:hAnsi="宋体" w:eastAsia="宋体" w:cs="宋体"/>
                <w:b/>
                <w:bCs/>
                <w:spacing w:val="-1"/>
                <w:sz w:val="24"/>
                <w:szCs w:val="24"/>
                <w:lang w:val="en-US" w:eastAsia="zh-CN"/>
              </w:rPr>
              <w:t>1）</w:t>
            </w:r>
            <w:r>
              <w:rPr>
                <w:rFonts w:hint="eastAsia" w:ascii="宋体" w:hAnsi="宋体" w:eastAsia="宋体" w:cs="宋体"/>
                <w:b/>
                <w:bCs/>
                <w:spacing w:val="-1"/>
                <w:sz w:val="24"/>
                <w:szCs w:val="24"/>
                <w:lang w:eastAsia="zh-CN"/>
              </w:rPr>
              <w:t>响应文件中提供获奖证书、批复、颁奖单位颁奖文件、网上公示截图（具有其中之一即可）等证明材料。以上材料提供扫描件或影印件，须能体现供应商名称，如无法体现，须另附颁奖单位的相关证明材料，未提供或提供不全的不得分。</w:t>
            </w:r>
          </w:p>
          <w:p w14:paraId="07A82A85">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2）</w:t>
            </w:r>
            <w:r>
              <w:rPr>
                <w:rFonts w:hint="eastAsia" w:ascii="宋体" w:hAnsi="宋体" w:eastAsia="宋体" w:cs="宋体"/>
                <w:b/>
                <w:bCs/>
                <w:spacing w:val="-1"/>
                <w:sz w:val="24"/>
                <w:szCs w:val="24"/>
                <w:lang w:eastAsia="zh-CN"/>
              </w:rPr>
              <w:t>如为所管项目获奖，响应文件中同时提供业绩合同扫描件或影印件。</w:t>
            </w:r>
          </w:p>
          <w:p w14:paraId="59FD40E0">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0" w:firstLineChars="0"/>
              <w:textAlignment w:val="auto"/>
              <w:rPr>
                <w:rFonts w:hint="eastAsia" w:ascii="宋体" w:hAnsi="宋体" w:eastAsia="宋体" w:cs="宋体"/>
                <w:b/>
                <w:bCs/>
                <w:spacing w:val="-9"/>
                <w:sz w:val="24"/>
                <w:szCs w:val="24"/>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3）</w:t>
            </w:r>
            <w:r>
              <w:rPr>
                <w:rFonts w:hint="eastAsia" w:ascii="宋体" w:hAnsi="宋体" w:eastAsia="宋体" w:cs="宋体"/>
                <w:b/>
                <w:bCs/>
                <w:spacing w:val="-1"/>
                <w:sz w:val="24"/>
                <w:szCs w:val="24"/>
                <w:lang w:eastAsia="zh-CN"/>
              </w:rPr>
              <w:t>党政机关：包括党的机关、人大机关、行政机关、政协机关、审判机关、检察</w:t>
            </w:r>
            <w:r>
              <w:rPr>
                <w:rFonts w:hint="eastAsia" w:ascii="宋体" w:hAnsi="宋体" w:eastAsia="宋体" w:cs="宋体"/>
                <w:b/>
                <w:bCs/>
                <w:spacing w:val="-16"/>
                <w:sz w:val="24"/>
                <w:szCs w:val="24"/>
              </w:rPr>
              <w:t>机关，及各级党政机</w:t>
            </w:r>
            <w:r>
              <w:rPr>
                <w:rFonts w:hint="eastAsia" w:ascii="宋体" w:hAnsi="宋体" w:eastAsia="宋体" w:cs="宋体"/>
                <w:b/>
                <w:bCs/>
                <w:spacing w:val="-17"/>
                <w:sz w:val="24"/>
                <w:szCs w:val="24"/>
              </w:rPr>
              <w:t>关派出机构、</w:t>
            </w:r>
            <w:r>
              <w:rPr>
                <w:rFonts w:hint="eastAsia" w:ascii="宋体" w:hAnsi="宋体" w:eastAsia="宋体" w:cs="宋体"/>
                <w:b/>
                <w:bCs/>
                <w:spacing w:val="-19"/>
                <w:sz w:val="24"/>
                <w:szCs w:val="24"/>
              </w:rPr>
              <w:t>直属事业单位及工会、共青团、妇联等。</w:t>
            </w:r>
          </w:p>
        </w:tc>
        <w:tc>
          <w:tcPr>
            <w:tcW w:w="1249" w:type="dxa"/>
            <w:tcBorders>
              <w:tl2br w:val="nil"/>
              <w:tr2bl w:val="nil"/>
            </w:tcBorders>
            <w:vAlign w:val="center"/>
          </w:tcPr>
          <w:p w14:paraId="327BD050">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9</w:t>
            </w:r>
            <w:r>
              <w:rPr>
                <w:rFonts w:hint="eastAsia" w:ascii="宋体" w:hAnsi="宋体" w:eastAsia="宋体" w:cs="宋体"/>
                <w:b w:val="0"/>
                <w:bCs w:val="0"/>
                <w:spacing w:val="-5"/>
                <w:sz w:val="24"/>
                <w:szCs w:val="24"/>
              </w:rPr>
              <w:t>分</w:t>
            </w:r>
          </w:p>
        </w:tc>
      </w:tr>
      <w:tr w14:paraId="544CD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994" w:type="dxa"/>
            <w:vMerge w:val="continue"/>
            <w:tcBorders>
              <w:tl2br w:val="nil"/>
              <w:tr2bl w:val="nil"/>
            </w:tcBorders>
            <w:vAlign w:val="center"/>
          </w:tcPr>
          <w:p w14:paraId="5B79BF46">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7AF19A07">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firstLine="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供应商业</w:t>
            </w:r>
            <w:r>
              <w:rPr>
                <w:rFonts w:hint="eastAsia" w:ascii="宋体" w:hAnsi="宋体" w:eastAsia="宋体" w:cs="宋体"/>
                <w:b w:val="0"/>
                <w:bCs w:val="0"/>
                <w:spacing w:val="-3"/>
                <w:sz w:val="24"/>
                <w:szCs w:val="24"/>
              </w:rPr>
              <w:t>绩</w:t>
            </w:r>
          </w:p>
        </w:tc>
        <w:tc>
          <w:tcPr>
            <w:tcW w:w="6075" w:type="dxa"/>
            <w:tcBorders>
              <w:tl2br w:val="nil"/>
              <w:tr2bl w:val="nil"/>
            </w:tcBorders>
            <w:vAlign w:val="top"/>
          </w:tcPr>
          <w:p w14:paraId="38A3D599">
            <w:pPr>
              <w:keepNext w:val="0"/>
              <w:keepLines w:val="0"/>
              <w:pageBreakBefore w:val="0"/>
              <w:widowControl/>
              <w:suppressLineNumbers w:val="0"/>
              <w:kinsoku/>
              <w:wordWrap/>
              <w:overflowPunct/>
              <w:topLinePunct w:val="0"/>
              <w:autoSpaceDE/>
              <w:autoSpaceDN/>
              <w:bidi w:val="0"/>
              <w:adjustRightInd/>
              <w:snapToGrid/>
              <w:spacing w:line="480" w:lineRule="exact"/>
              <w:ind w:left="0" w:leftChars="0" w:right="60" w:rightChars="25" w:firstLine="0" w:firstLineChars="0"/>
              <w:jc w:val="left"/>
              <w:textAlignment w:val="auto"/>
              <w:rPr>
                <w:rFonts w:hint="eastAsia" w:ascii="宋体" w:hAnsi="宋体" w:eastAsia="宋体" w:cs="宋体"/>
                <w:spacing w:val="-1"/>
                <w:kern w:val="2"/>
                <w:sz w:val="24"/>
                <w:szCs w:val="24"/>
                <w:lang w:val="en-US" w:eastAsia="en-US" w:bidi="ar-SA"/>
              </w:rPr>
            </w:pPr>
            <w:r>
              <w:rPr>
                <w:rFonts w:hint="eastAsia" w:ascii="宋体" w:hAnsi="宋体" w:eastAsia="宋体" w:cs="宋体"/>
                <w:spacing w:val="-1"/>
                <w:kern w:val="2"/>
                <w:sz w:val="24"/>
                <w:szCs w:val="24"/>
                <w:lang w:val="en-US" w:eastAsia="en-US" w:bidi="ar-SA"/>
              </w:rPr>
              <w:t>自2021年1月1日以来</w:t>
            </w:r>
            <w:r>
              <w:rPr>
                <w:rFonts w:hint="eastAsia" w:ascii="宋体" w:hAnsi="宋体" w:eastAsia="宋体" w:cs="宋体"/>
                <w:b/>
                <w:bCs/>
                <w:spacing w:val="-1"/>
                <w:kern w:val="2"/>
                <w:sz w:val="24"/>
                <w:szCs w:val="24"/>
                <w:lang w:val="en-US" w:eastAsia="en-US" w:bidi="ar-SA"/>
              </w:rPr>
              <w:t>（以合同签订时间为准）</w:t>
            </w:r>
            <w:r>
              <w:rPr>
                <w:rFonts w:hint="eastAsia" w:ascii="宋体" w:hAnsi="宋体" w:eastAsia="宋体" w:cs="宋体"/>
                <w:spacing w:val="-1"/>
                <w:kern w:val="2"/>
                <w:sz w:val="24"/>
                <w:szCs w:val="24"/>
                <w:lang w:val="en-US" w:eastAsia="en-US" w:bidi="ar-SA"/>
              </w:rPr>
              <w:t>，供应商具有党政机关</w:t>
            </w:r>
            <w:r>
              <w:rPr>
                <w:rFonts w:hint="eastAsia" w:ascii="宋体" w:hAnsi="宋体" w:eastAsia="宋体" w:cs="宋体"/>
                <w:spacing w:val="-1"/>
                <w:kern w:val="2"/>
                <w:sz w:val="24"/>
                <w:szCs w:val="24"/>
                <w:lang w:val="en-US" w:eastAsia="zh-CN" w:bidi="ar-SA"/>
              </w:rPr>
              <w:t>（</w:t>
            </w:r>
            <w:r>
              <w:rPr>
                <w:rFonts w:hint="eastAsia" w:ascii="宋体" w:hAnsi="宋体" w:eastAsia="宋体" w:cs="宋体"/>
                <w:spacing w:val="-1"/>
                <w:kern w:val="2"/>
                <w:sz w:val="24"/>
                <w:szCs w:val="24"/>
                <w:lang w:val="en-US" w:eastAsia="en-US" w:bidi="ar-SA"/>
              </w:rPr>
              <w:t>或事业单位</w:t>
            </w:r>
            <w:r>
              <w:rPr>
                <w:rFonts w:hint="eastAsia" w:ascii="宋体" w:hAnsi="宋体" w:eastAsia="宋体" w:cs="宋体"/>
                <w:spacing w:val="-1"/>
                <w:kern w:val="2"/>
                <w:sz w:val="24"/>
                <w:szCs w:val="24"/>
                <w:lang w:val="en-US" w:eastAsia="zh-CN" w:bidi="ar-SA"/>
              </w:rPr>
              <w:t>）</w:t>
            </w:r>
            <w:r>
              <w:rPr>
                <w:rFonts w:hint="eastAsia" w:ascii="宋体" w:hAnsi="宋体" w:eastAsia="宋体" w:cs="宋体"/>
                <w:spacing w:val="-1"/>
                <w:kern w:val="2"/>
                <w:sz w:val="24"/>
                <w:szCs w:val="24"/>
                <w:lang w:val="en-US" w:eastAsia="en-US" w:bidi="ar-SA"/>
              </w:rPr>
              <w:t>委托的物业服务业绩（含在管/已履约完毕），每提供一个业绩得</w:t>
            </w:r>
            <w:r>
              <w:rPr>
                <w:rFonts w:hint="eastAsia" w:ascii="宋体" w:hAnsi="宋体" w:eastAsia="宋体" w:cs="宋体"/>
                <w:spacing w:val="-1"/>
                <w:kern w:val="2"/>
                <w:sz w:val="24"/>
                <w:szCs w:val="24"/>
                <w:lang w:val="en-US" w:eastAsia="zh-CN" w:bidi="ar-SA"/>
              </w:rPr>
              <w:t>3</w:t>
            </w:r>
            <w:r>
              <w:rPr>
                <w:rFonts w:hint="eastAsia" w:ascii="宋体" w:hAnsi="宋体" w:eastAsia="宋体" w:cs="宋体"/>
                <w:spacing w:val="-1"/>
                <w:kern w:val="2"/>
                <w:sz w:val="24"/>
                <w:szCs w:val="24"/>
                <w:lang w:val="en-US" w:eastAsia="en-US" w:bidi="ar-SA"/>
              </w:rPr>
              <w:t>分，本项满分15分。</w:t>
            </w:r>
          </w:p>
          <w:p w14:paraId="690CCFD5">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注：</w:t>
            </w:r>
          </w:p>
          <w:p w14:paraId="3DB5BB61">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1）</w:t>
            </w:r>
            <w:r>
              <w:rPr>
                <w:rFonts w:hint="eastAsia" w:ascii="宋体" w:hAnsi="宋体" w:eastAsia="宋体" w:cs="宋体"/>
                <w:b/>
                <w:bCs/>
                <w:spacing w:val="-1"/>
                <w:sz w:val="24"/>
                <w:szCs w:val="24"/>
                <w:lang w:eastAsia="zh-CN"/>
              </w:rPr>
              <w:t>同一业绩的续签合同不累计得分；</w:t>
            </w:r>
          </w:p>
          <w:p w14:paraId="63B60C56">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napToGrid/>
                <w:color w:val="auto"/>
                <w:spacing w:val="-1"/>
                <w:sz w:val="24"/>
                <w:szCs w:val="24"/>
                <w:lang w:val="en-US" w:eastAsia="zh-CN" w:bidi="ar-SA"/>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2）</w:t>
            </w:r>
            <w:r>
              <w:rPr>
                <w:rFonts w:hint="eastAsia" w:ascii="宋体" w:hAnsi="宋体" w:eastAsia="宋体" w:cs="宋体"/>
                <w:b/>
                <w:bCs/>
                <w:spacing w:val="-1"/>
                <w:sz w:val="24"/>
                <w:szCs w:val="24"/>
                <w:lang w:eastAsia="zh-CN"/>
              </w:rPr>
              <w:t>响应文件中提供业绩合同扫描件（或影印件），若合同中无法体现签订时间、服务内容等关键评审内容的，须同时提供业主单位（合同甲方）出具的证明材料加以明确说明。</w:t>
            </w:r>
          </w:p>
        </w:tc>
        <w:tc>
          <w:tcPr>
            <w:tcW w:w="1249" w:type="dxa"/>
            <w:tcBorders>
              <w:tl2br w:val="nil"/>
              <w:tr2bl w:val="nil"/>
            </w:tcBorders>
            <w:vAlign w:val="center"/>
          </w:tcPr>
          <w:p w14:paraId="4E4211BC">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15</w:t>
            </w:r>
            <w:r>
              <w:rPr>
                <w:rFonts w:hint="eastAsia" w:ascii="宋体" w:hAnsi="宋体" w:eastAsia="宋体" w:cs="宋体"/>
                <w:b w:val="0"/>
                <w:bCs w:val="0"/>
                <w:spacing w:val="-5"/>
                <w:sz w:val="24"/>
                <w:szCs w:val="24"/>
              </w:rPr>
              <w:t>分</w:t>
            </w:r>
          </w:p>
        </w:tc>
      </w:tr>
      <w:tr w14:paraId="5180F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9" w:hRule="atLeast"/>
          <w:jc w:val="center"/>
        </w:trPr>
        <w:tc>
          <w:tcPr>
            <w:tcW w:w="994" w:type="dxa"/>
            <w:vMerge w:val="continue"/>
            <w:tcBorders>
              <w:tl2br w:val="nil"/>
              <w:tr2bl w:val="nil"/>
            </w:tcBorders>
            <w:vAlign w:val="center"/>
          </w:tcPr>
          <w:p w14:paraId="0A9C5F5E">
            <w:pPr>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sz w:val="24"/>
                <w:szCs w:val="24"/>
              </w:rPr>
            </w:pPr>
          </w:p>
        </w:tc>
        <w:tc>
          <w:tcPr>
            <w:tcW w:w="1320" w:type="dxa"/>
            <w:tcBorders>
              <w:tl2br w:val="nil"/>
              <w:tr2bl w:val="nil"/>
            </w:tcBorders>
            <w:vAlign w:val="center"/>
          </w:tcPr>
          <w:p w14:paraId="76D362F0">
            <w:pPr>
              <w:pStyle w:val="26"/>
              <w:keepNext w:val="0"/>
              <w:keepLines w:val="0"/>
              <w:pageBreakBefore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业绩评价</w:t>
            </w:r>
          </w:p>
        </w:tc>
        <w:tc>
          <w:tcPr>
            <w:tcW w:w="6075" w:type="dxa"/>
            <w:tcBorders>
              <w:tl2br w:val="nil"/>
              <w:tr2bl w:val="nil"/>
            </w:tcBorders>
            <w:vAlign w:val="top"/>
          </w:tcPr>
          <w:p w14:paraId="230EA8B0">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0"/>
              <w:jc w:val="both"/>
              <w:textAlignment w:val="auto"/>
              <w:rPr>
                <w:rFonts w:hint="eastAsia" w:ascii="宋体" w:hAnsi="宋体" w:eastAsia="宋体" w:cs="宋体"/>
                <w:sz w:val="24"/>
                <w:szCs w:val="24"/>
              </w:rPr>
            </w:pPr>
            <w:r>
              <w:rPr>
                <w:rFonts w:hint="eastAsia" w:ascii="宋体" w:hAnsi="宋体" w:eastAsia="宋体" w:cs="宋体"/>
                <w:spacing w:val="-1"/>
                <w:kern w:val="2"/>
                <w:sz w:val="24"/>
                <w:szCs w:val="24"/>
                <w:lang w:val="en-US" w:eastAsia="zh-CN" w:bidi="ar-SA"/>
              </w:rPr>
              <w:t>上述经磋商小组认可的供应商业绩中，获得业主单位（或合同甲方）业绩履约反馈评价为正向评价（优秀或满意或先进或良好等）的，</w:t>
            </w:r>
            <w:r>
              <w:rPr>
                <w:rFonts w:hint="eastAsia" w:ascii="宋体" w:hAnsi="宋体" w:eastAsia="宋体" w:cs="宋体"/>
                <w:b/>
                <w:bCs/>
                <w:spacing w:val="4"/>
                <w:sz w:val="24"/>
                <w:szCs w:val="24"/>
              </w:rPr>
              <w:t>每提供一</w:t>
            </w:r>
            <w:r>
              <w:rPr>
                <w:rFonts w:hint="eastAsia" w:ascii="宋体" w:hAnsi="宋体" w:eastAsia="宋体" w:cs="宋体"/>
                <w:b/>
                <w:bCs/>
                <w:spacing w:val="-9"/>
                <w:sz w:val="24"/>
                <w:szCs w:val="24"/>
              </w:rPr>
              <w:t>个得1分，满分</w:t>
            </w:r>
            <w:r>
              <w:rPr>
                <w:rFonts w:hint="eastAsia" w:ascii="宋体" w:hAnsi="宋体" w:eastAsia="宋体" w:cs="宋体"/>
                <w:b/>
                <w:bCs/>
                <w:spacing w:val="-9"/>
                <w:sz w:val="24"/>
                <w:szCs w:val="24"/>
                <w:lang w:val="en-US" w:eastAsia="zh-CN"/>
              </w:rPr>
              <w:t>3</w:t>
            </w:r>
            <w:r>
              <w:rPr>
                <w:rFonts w:hint="eastAsia" w:ascii="宋体" w:hAnsi="宋体" w:eastAsia="宋体" w:cs="宋体"/>
                <w:b/>
                <w:bCs/>
                <w:spacing w:val="-9"/>
                <w:sz w:val="24"/>
                <w:szCs w:val="24"/>
              </w:rPr>
              <w:t>分</w:t>
            </w:r>
            <w:r>
              <w:rPr>
                <w:rFonts w:hint="eastAsia" w:ascii="宋体" w:hAnsi="宋体" w:eastAsia="宋体" w:cs="宋体"/>
                <w:spacing w:val="-9"/>
                <w:sz w:val="24"/>
                <w:szCs w:val="24"/>
              </w:rPr>
              <w:t>。</w:t>
            </w:r>
          </w:p>
          <w:p w14:paraId="77BD214B">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注：</w:t>
            </w:r>
          </w:p>
          <w:p w14:paraId="50CF2E7E">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1）</w:t>
            </w:r>
            <w:r>
              <w:rPr>
                <w:rFonts w:hint="eastAsia" w:ascii="宋体" w:hAnsi="宋体" w:eastAsia="宋体" w:cs="宋体"/>
                <w:b/>
                <w:bCs/>
                <w:spacing w:val="-1"/>
                <w:sz w:val="24"/>
                <w:szCs w:val="24"/>
                <w:lang w:eastAsia="zh-CN"/>
              </w:rPr>
              <w:t>响应文件中提供加盖业主单位（或合同甲方）公章的履约反馈等相关证明材料扫描件（或影印件）；</w:t>
            </w:r>
          </w:p>
          <w:p w14:paraId="7D2A25B4">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textAlignment w:val="auto"/>
              <w:rPr>
                <w:rFonts w:hint="eastAsia" w:ascii="宋体" w:hAnsi="宋体" w:eastAsia="宋体" w:cs="宋体"/>
                <w:sz w:val="24"/>
                <w:szCs w:val="24"/>
              </w:rPr>
            </w:pPr>
            <w:r>
              <w:rPr>
                <w:rFonts w:hint="eastAsia" w:ascii="宋体" w:hAnsi="宋体" w:eastAsia="宋体" w:cs="宋体"/>
                <w:b/>
                <w:bCs/>
                <w:spacing w:val="-1"/>
                <w:sz w:val="24"/>
                <w:szCs w:val="24"/>
                <w:lang w:eastAsia="zh-CN"/>
              </w:rPr>
              <w:t>（</w:t>
            </w:r>
            <w:r>
              <w:rPr>
                <w:rFonts w:hint="eastAsia" w:ascii="宋体" w:hAnsi="宋体" w:eastAsia="宋体" w:cs="宋体"/>
                <w:b/>
                <w:bCs/>
                <w:spacing w:val="-1"/>
                <w:sz w:val="24"/>
                <w:szCs w:val="24"/>
                <w:lang w:val="en-US" w:eastAsia="zh-CN"/>
              </w:rPr>
              <w:t>2）</w:t>
            </w:r>
            <w:r>
              <w:rPr>
                <w:rFonts w:hint="eastAsia" w:ascii="宋体" w:hAnsi="宋体" w:eastAsia="宋体" w:cs="宋体"/>
                <w:b/>
                <w:bCs/>
                <w:spacing w:val="-1"/>
                <w:sz w:val="24"/>
                <w:szCs w:val="24"/>
                <w:lang w:eastAsia="zh-CN"/>
              </w:rPr>
              <w:t>同一业绩获得多个正向评价的，仅计取一次，不累计得分。</w:t>
            </w:r>
          </w:p>
        </w:tc>
        <w:tc>
          <w:tcPr>
            <w:tcW w:w="1249" w:type="dxa"/>
            <w:tcBorders>
              <w:tl2br w:val="nil"/>
              <w:tr2bl w:val="nil"/>
            </w:tcBorders>
            <w:vAlign w:val="center"/>
          </w:tcPr>
          <w:p w14:paraId="3B0FD8D4">
            <w:pPr>
              <w:pStyle w:val="26"/>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0-</w:t>
            </w:r>
            <w:r>
              <w:rPr>
                <w:rFonts w:hint="eastAsia" w:ascii="宋体" w:hAnsi="宋体" w:eastAsia="宋体" w:cs="宋体"/>
                <w:b w:val="0"/>
                <w:bCs w:val="0"/>
                <w:spacing w:val="-5"/>
                <w:sz w:val="24"/>
                <w:szCs w:val="24"/>
                <w:lang w:val="en-US" w:eastAsia="zh-CN"/>
              </w:rPr>
              <w:t>3</w:t>
            </w:r>
            <w:r>
              <w:rPr>
                <w:rFonts w:hint="eastAsia" w:ascii="宋体" w:hAnsi="宋体" w:eastAsia="宋体" w:cs="宋体"/>
                <w:b w:val="0"/>
                <w:bCs w:val="0"/>
                <w:spacing w:val="-5"/>
                <w:sz w:val="24"/>
                <w:szCs w:val="24"/>
              </w:rPr>
              <w:t>分</w:t>
            </w:r>
          </w:p>
        </w:tc>
      </w:tr>
      <w:tr w14:paraId="6D7EA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jc w:val="center"/>
        </w:trPr>
        <w:tc>
          <w:tcPr>
            <w:tcW w:w="994" w:type="dxa"/>
            <w:tcBorders>
              <w:tl2br w:val="nil"/>
              <w:tr2bl w:val="nil"/>
            </w:tcBorders>
            <w:vAlign w:val="center"/>
          </w:tcPr>
          <w:p w14:paraId="617D627A">
            <w:pPr>
              <w:pStyle w:val="26"/>
              <w:keepNext w:val="0"/>
              <w:keepLines w:val="0"/>
              <w:pageBreakBefore w:val="0"/>
              <w:kinsoku/>
              <w:wordWrap/>
              <w:overflowPunct/>
              <w:topLinePunct w:val="0"/>
              <w:autoSpaceDE/>
              <w:autoSpaceDN/>
              <w:bidi w:val="0"/>
              <w:adjustRightInd/>
              <w:snapToGrid/>
              <w:spacing w:line="480" w:lineRule="exact"/>
              <w:ind w:left="0" w:leftChars="0" w:right="0"/>
              <w:jc w:val="center"/>
              <w:textAlignment w:val="auto"/>
              <w:rPr>
                <w:rFonts w:hint="eastAsia" w:ascii="宋体" w:hAnsi="宋体" w:eastAsia="宋体" w:cs="宋体"/>
                <w:b w:val="0"/>
                <w:bCs w:val="0"/>
                <w:spacing w:val="-5"/>
                <w:sz w:val="24"/>
                <w:szCs w:val="24"/>
              </w:rPr>
            </w:pPr>
            <w:r>
              <w:rPr>
                <w:rFonts w:hint="eastAsia" w:ascii="宋体" w:hAnsi="宋体" w:eastAsia="宋体" w:cs="宋体"/>
                <w:b w:val="0"/>
                <w:bCs w:val="0"/>
                <w:spacing w:val="-5"/>
                <w:sz w:val="24"/>
                <w:szCs w:val="24"/>
              </w:rPr>
              <w:t>价格分（</w:t>
            </w:r>
            <w:r>
              <w:rPr>
                <w:rFonts w:hint="eastAsia" w:ascii="宋体" w:hAnsi="宋体" w:eastAsia="宋体" w:cs="宋体"/>
                <w:b w:val="0"/>
                <w:bCs w:val="0"/>
                <w:spacing w:val="-5"/>
                <w:sz w:val="24"/>
                <w:szCs w:val="24"/>
                <w:lang w:val="en-US" w:eastAsia="zh-CN"/>
              </w:rPr>
              <w:t>10</w:t>
            </w:r>
            <w:r>
              <w:rPr>
                <w:rFonts w:hint="eastAsia" w:ascii="宋体" w:hAnsi="宋体" w:eastAsia="宋体" w:cs="宋体"/>
                <w:b w:val="0"/>
                <w:bCs w:val="0"/>
                <w:spacing w:val="-5"/>
                <w:sz w:val="24"/>
                <w:szCs w:val="24"/>
              </w:rPr>
              <w:t>分）</w:t>
            </w:r>
          </w:p>
        </w:tc>
        <w:tc>
          <w:tcPr>
            <w:tcW w:w="8644" w:type="dxa"/>
            <w:gridSpan w:val="3"/>
            <w:tcBorders>
              <w:tl2br w:val="nil"/>
              <w:tr2bl w:val="nil"/>
            </w:tcBorders>
            <w:vAlign w:val="top"/>
          </w:tcPr>
          <w:p w14:paraId="52335F1A">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0"/>
              <w:jc w:val="both"/>
              <w:textAlignment w:val="auto"/>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价格分统一采用低价优先法，即满足磋商文件要求且最后报价最低的供应商的价格为磋商基准价，其价格分为满分10分。其他供应商的价格分统一按照下列公式计算：</w:t>
            </w:r>
          </w:p>
          <w:p w14:paraId="1A97D462">
            <w:pPr>
              <w:pStyle w:val="26"/>
              <w:keepNext w:val="0"/>
              <w:keepLines w:val="0"/>
              <w:pageBreakBefore w:val="0"/>
              <w:widowControl w:val="0"/>
              <w:kinsoku/>
              <w:wordWrap/>
              <w:overflowPunct/>
              <w:topLinePunct w:val="0"/>
              <w:autoSpaceDE/>
              <w:autoSpaceDN/>
              <w:bidi w:val="0"/>
              <w:adjustRightInd/>
              <w:snapToGrid/>
              <w:spacing w:line="480" w:lineRule="exact"/>
              <w:ind w:left="60" w:leftChars="25" w:right="60" w:rightChars="25" w:firstLine="0" w:firstLineChars="0"/>
              <w:jc w:val="both"/>
              <w:textAlignment w:val="auto"/>
              <w:rPr>
                <w:rFonts w:hint="eastAsia" w:ascii="宋体" w:hAnsi="宋体" w:eastAsia="宋体" w:cs="宋体"/>
                <w:b w:val="0"/>
                <w:bCs w:val="0"/>
                <w:spacing w:val="-5"/>
                <w:sz w:val="24"/>
                <w:szCs w:val="24"/>
              </w:rPr>
            </w:pPr>
            <w:r>
              <w:rPr>
                <w:rFonts w:hint="eastAsia" w:ascii="宋体" w:hAnsi="宋体" w:eastAsia="宋体" w:cs="宋体"/>
                <w:spacing w:val="-1"/>
                <w:kern w:val="2"/>
                <w:sz w:val="24"/>
                <w:szCs w:val="24"/>
                <w:lang w:val="en-US" w:eastAsia="zh-CN" w:bidi="ar-SA"/>
              </w:rPr>
              <w:t>磋商报价得分＝（磋商基准价/最后磋商报价）×10%×100</w:t>
            </w:r>
          </w:p>
        </w:tc>
      </w:tr>
    </w:tbl>
    <w:p w14:paraId="2E616A82">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asciiTheme="minorEastAsia" w:hAnsiTheme="minorEastAsia" w:eastAsiaTheme="minorEastAsia"/>
          <w:highlight w:val="none"/>
        </w:rPr>
        <w:t>.</w:t>
      </w:r>
      <w:r>
        <w:rPr>
          <w:rFonts w:hint="eastAsia" w:asciiTheme="minorEastAsia" w:hAnsiTheme="minorEastAsia" w:eastAsiaTheme="minorEastAsia"/>
          <w:highlight w:val="none"/>
        </w:rPr>
        <w:t>2</w:t>
      </w:r>
      <w:r>
        <w:rPr>
          <w:rFonts w:asciiTheme="minorEastAsia" w:hAnsiTheme="minorEastAsia" w:eastAsiaTheme="minorEastAsia"/>
          <w:highlight w:val="none"/>
        </w:rPr>
        <w:t>.3</w:t>
      </w:r>
      <w:r>
        <w:rPr>
          <w:rFonts w:hint="eastAsia" w:asciiTheme="minorEastAsia" w:hAnsiTheme="minorEastAsia" w:eastAsiaTheme="minorEastAsia"/>
          <w:highlight w:val="none"/>
        </w:rPr>
        <w:t>分值汇总</w:t>
      </w:r>
    </w:p>
    <w:p w14:paraId="35114715">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asciiTheme="minorEastAsia" w:hAnsiTheme="minorEastAsia" w:eastAsiaTheme="minorEastAsia"/>
          <w:highlight w:val="none"/>
        </w:rPr>
        <w:t>1）</w:t>
      </w:r>
      <w:r>
        <w:rPr>
          <w:rFonts w:hint="eastAsia" w:asciiTheme="minorEastAsia" w:hAnsiTheme="minorEastAsia" w:eastAsiaTheme="minorEastAsia"/>
          <w:highlight w:val="none"/>
        </w:rPr>
        <w:t>评审委员会</w:t>
      </w:r>
      <w:r>
        <w:rPr>
          <w:rFonts w:asciiTheme="minorEastAsia" w:hAnsiTheme="minorEastAsia" w:eastAsiaTheme="minorEastAsia"/>
          <w:highlight w:val="none"/>
        </w:rPr>
        <w:t>各成员应当独立对每个有效响应的文件进行评价、打分，然后汇总每个</w:t>
      </w:r>
      <w:r>
        <w:rPr>
          <w:rFonts w:hint="eastAsia" w:asciiTheme="minorEastAsia" w:hAnsiTheme="minorEastAsia" w:eastAsiaTheme="minorEastAsia"/>
          <w:highlight w:val="none"/>
        </w:rPr>
        <w:t>供应商</w:t>
      </w:r>
      <w:r>
        <w:rPr>
          <w:rFonts w:asciiTheme="minorEastAsia" w:hAnsiTheme="minorEastAsia" w:eastAsiaTheme="minorEastAsia"/>
          <w:highlight w:val="none"/>
        </w:rPr>
        <w:t>每项评分因素的得分，再取各位评委评分之平均值，四舍五入保留至小数点后两位数，得到该</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的技术资信分。</w:t>
      </w:r>
    </w:p>
    <w:p w14:paraId="5890FB2F">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asciiTheme="minorEastAsia" w:hAnsiTheme="minorEastAsia" w:eastAsiaTheme="minorEastAsia"/>
          <w:highlight w:val="none"/>
        </w:rPr>
        <w:t>2）将每个</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的技术资信分加上根据上述标准计算出的价格分，即为该</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的综合总得分。</w:t>
      </w:r>
    </w:p>
    <w:p w14:paraId="0CEB9764">
      <w:pPr>
        <w:widowControl/>
        <w:ind w:left="0" w:leftChars="0" w:firstLine="0" w:firstLineChars="0"/>
        <w:jc w:val="center"/>
        <w:rPr>
          <w:rFonts w:hint="eastAsia" w:asciiTheme="minorEastAsia" w:hAnsiTheme="minorEastAsia" w:eastAsiaTheme="minorEastAsia"/>
          <w:b/>
          <w:sz w:val="28"/>
          <w:highlight w:val="none"/>
        </w:rPr>
      </w:pPr>
      <w:r>
        <w:rPr>
          <w:rFonts w:asciiTheme="minorEastAsia" w:hAnsiTheme="minorEastAsia" w:eastAsiaTheme="minorEastAsia"/>
          <w:highlight w:val="none"/>
        </w:rPr>
        <w:br w:type="page"/>
      </w:r>
      <w:bookmarkStart w:id="30" w:name="_Toc11803"/>
      <w:r>
        <w:rPr>
          <w:rFonts w:hint="eastAsia" w:asciiTheme="minorEastAsia" w:hAnsiTheme="minorEastAsia" w:eastAsiaTheme="minorEastAsia"/>
          <w:b/>
          <w:sz w:val="28"/>
          <w:highlight w:val="none"/>
        </w:rPr>
        <w:t>第五章  合同</w:t>
      </w:r>
      <w:bookmarkEnd w:id="30"/>
    </w:p>
    <w:p w14:paraId="7B2BE464">
      <w:pPr>
        <w:widowControl/>
        <w:spacing w:line="240" w:lineRule="auto"/>
        <w:ind w:firstLine="0" w:firstLineChars="0"/>
        <w:jc w:val="center"/>
        <w:rPr>
          <w:rFonts w:cs="宋体"/>
          <w:b/>
          <w:bCs/>
          <w:kern w:val="2"/>
          <w:sz w:val="28"/>
          <w:szCs w:val="28"/>
          <w:highlight w:val="none"/>
        </w:rPr>
      </w:pPr>
      <w:bookmarkStart w:id="31" w:name="OLE_LINK3"/>
      <w:r>
        <w:rPr>
          <w:rFonts w:hint="eastAsia" w:cs="宋体"/>
          <w:b/>
          <w:bCs/>
          <w:kern w:val="2"/>
          <w:sz w:val="28"/>
          <w:szCs w:val="28"/>
          <w:highlight w:val="none"/>
        </w:rPr>
        <w:t>（双方依法签订）</w:t>
      </w:r>
    </w:p>
    <w:p w14:paraId="60C9FDAD">
      <w:pPr>
        <w:widowControl/>
        <w:spacing w:line="240" w:lineRule="auto"/>
        <w:ind w:firstLine="0" w:firstLineChars="0"/>
        <w:jc w:val="left"/>
        <w:rPr>
          <w:rFonts w:cs="宋体"/>
          <w:b/>
          <w:bCs/>
          <w:kern w:val="2"/>
          <w:sz w:val="32"/>
          <w:szCs w:val="40"/>
          <w:highlight w:val="none"/>
        </w:rPr>
      </w:pPr>
    </w:p>
    <w:p w14:paraId="380351C5">
      <w:pPr>
        <w:widowControl/>
        <w:spacing w:line="240" w:lineRule="auto"/>
        <w:ind w:firstLine="0" w:firstLineChars="0"/>
        <w:jc w:val="left"/>
        <w:rPr>
          <w:rFonts w:cs="宋体"/>
          <w:b/>
          <w:bCs/>
          <w:kern w:val="2"/>
          <w:sz w:val="32"/>
          <w:szCs w:val="40"/>
          <w:highlight w:val="none"/>
        </w:rPr>
      </w:pPr>
      <w:r>
        <w:rPr>
          <w:rFonts w:hint="eastAsia" w:cs="宋体"/>
          <w:b/>
          <w:bCs/>
          <w:kern w:val="2"/>
          <w:sz w:val="32"/>
          <w:szCs w:val="40"/>
          <w:highlight w:val="none"/>
        </w:rPr>
        <w:br w:type="page"/>
      </w:r>
    </w:p>
    <w:bookmarkEnd w:id="31"/>
    <w:p w14:paraId="4472CD8B">
      <w:pPr>
        <w:spacing w:before="312" w:beforeLines="100"/>
        <w:ind w:left="0" w:leftChars="0" w:firstLine="0" w:firstLineChars="0"/>
        <w:jc w:val="center"/>
        <w:outlineLvl w:val="1"/>
        <w:rPr>
          <w:rFonts w:hint="eastAsia" w:asciiTheme="minorEastAsia" w:hAnsiTheme="minorEastAsia" w:eastAsiaTheme="minorEastAsia"/>
          <w:b/>
          <w:sz w:val="28"/>
          <w:highlight w:val="none"/>
        </w:rPr>
      </w:pPr>
      <w:bookmarkStart w:id="32" w:name="_Toc13101"/>
      <w:r>
        <w:rPr>
          <w:rFonts w:hint="eastAsia" w:asciiTheme="minorEastAsia" w:hAnsiTheme="minorEastAsia" w:eastAsiaTheme="minorEastAsia"/>
          <w:b/>
          <w:sz w:val="28"/>
          <w:highlight w:val="none"/>
        </w:rPr>
        <w:t>第六章  响应文件格式</w:t>
      </w:r>
      <w:bookmarkEnd w:id="32"/>
    </w:p>
    <w:p w14:paraId="1AC528CD">
      <w:pPr>
        <w:spacing w:line="900" w:lineRule="exact"/>
        <w:ind w:firstLine="723"/>
        <w:jc w:val="center"/>
        <w:rPr>
          <w:rFonts w:hint="eastAsia" w:asciiTheme="minorEastAsia" w:hAnsiTheme="minorEastAsia" w:eastAsiaTheme="minorEastAsia"/>
          <w:b/>
          <w:sz w:val="36"/>
          <w:szCs w:val="21"/>
          <w:highlight w:val="none"/>
          <w:lang w:eastAsia="zh-CN"/>
        </w:rPr>
      </w:pPr>
      <w:r>
        <w:rPr>
          <w:rFonts w:hint="eastAsia" w:asciiTheme="minorEastAsia" w:hAnsiTheme="minorEastAsia" w:eastAsiaTheme="minorEastAsia"/>
          <w:b/>
          <w:sz w:val="36"/>
          <w:szCs w:val="21"/>
          <w:highlight w:val="none"/>
          <w:lang w:eastAsia="zh-CN"/>
        </w:rPr>
        <w:t>肥西县公安局局机关及看守所、拘留所办公执法场所保洁服务采购项目</w:t>
      </w:r>
    </w:p>
    <w:p w14:paraId="0CDF1DFD">
      <w:pPr>
        <w:spacing w:line="900" w:lineRule="exact"/>
        <w:ind w:firstLine="1446"/>
        <w:jc w:val="center"/>
        <w:rPr>
          <w:rFonts w:asciiTheme="minorEastAsia" w:hAnsiTheme="minorEastAsia" w:eastAsiaTheme="minorEastAsia"/>
          <w:b/>
          <w:sz w:val="72"/>
          <w:highlight w:val="none"/>
        </w:rPr>
      </w:pPr>
    </w:p>
    <w:p w14:paraId="43B8E365">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响</w:t>
      </w:r>
    </w:p>
    <w:p w14:paraId="43F40BDA">
      <w:pPr>
        <w:spacing w:line="900" w:lineRule="exact"/>
        <w:ind w:firstLine="1446"/>
        <w:jc w:val="center"/>
        <w:rPr>
          <w:rFonts w:asciiTheme="minorEastAsia" w:hAnsiTheme="minorEastAsia" w:eastAsiaTheme="minorEastAsia"/>
          <w:b/>
          <w:sz w:val="72"/>
          <w:highlight w:val="none"/>
        </w:rPr>
      </w:pPr>
    </w:p>
    <w:p w14:paraId="00369794">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应</w:t>
      </w:r>
    </w:p>
    <w:p w14:paraId="59D3A843">
      <w:pPr>
        <w:spacing w:line="900" w:lineRule="exact"/>
        <w:ind w:firstLine="1446"/>
        <w:jc w:val="center"/>
        <w:rPr>
          <w:rFonts w:asciiTheme="minorEastAsia" w:hAnsiTheme="minorEastAsia" w:eastAsiaTheme="minorEastAsia"/>
          <w:b/>
          <w:sz w:val="72"/>
          <w:highlight w:val="none"/>
        </w:rPr>
      </w:pPr>
    </w:p>
    <w:p w14:paraId="0FD908DC">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文</w:t>
      </w:r>
    </w:p>
    <w:p w14:paraId="1D3B1FFE">
      <w:pPr>
        <w:spacing w:line="900" w:lineRule="exact"/>
        <w:ind w:firstLine="1446"/>
        <w:jc w:val="center"/>
        <w:rPr>
          <w:rFonts w:asciiTheme="minorEastAsia" w:hAnsiTheme="minorEastAsia" w:eastAsiaTheme="minorEastAsia"/>
          <w:b/>
          <w:sz w:val="72"/>
          <w:highlight w:val="none"/>
        </w:rPr>
      </w:pPr>
    </w:p>
    <w:p w14:paraId="54428A8B">
      <w:pPr>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件</w:t>
      </w:r>
    </w:p>
    <w:p w14:paraId="3BC401CB">
      <w:pPr>
        <w:spacing w:after="156" w:afterLines="50"/>
        <w:ind w:firstLine="1446"/>
        <w:jc w:val="center"/>
        <w:rPr>
          <w:rFonts w:asciiTheme="minorEastAsia" w:hAnsiTheme="minorEastAsia" w:eastAsiaTheme="minorEastAsia"/>
          <w:b/>
          <w:sz w:val="72"/>
          <w:highlight w:val="none"/>
        </w:rPr>
      </w:pPr>
    </w:p>
    <w:p w14:paraId="43C98AFF">
      <w:pPr>
        <w:spacing w:after="156" w:afterLines="50" w:line="500" w:lineRule="exact"/>
        <w:ind w:firstLine="562"/>
        <w:jc w:val="center"/>
        <w:rPr>
          <w:rFonts w:asciiTheme="minorEastAsia" w:hAnsiTheme="minorEastAsia" w:eastAsiaTheme="minorEastAsia"/>
          <w:b/>
          <w:sz w:val="28"/>
          <w:szCs w:val="28"/>
          <w:highlight w:val="none"/>
        </w:rPr>
      </w:pPr>
    </w:p>
    <w:p w14:paraId="7242629F">
      <w:pPr>
        <w:spacing w:after="156" w:afterLines="50" w:line="500" w:lineRule="exact"/>
        <w:ind w:firstLine="1446"/>
        <w:jc w:val="center"/>
        <w:rPr>
          <w:rFonts w:asciiTheme="minorEastAsia" w:hAnsiTheme="minorEastAsia" w:eastAsiaTheme="minorEastAsia"/>
          <w:b/>
          <w:sz w:val="72"/>
          <w:highlight w:val="none"/>
        </w:rPr>
      </w:pPr>
    </w:p>
    <w:p w14:paraId="5A112991">
      <w:pPr>
        <w:spacing w:after="156" w:afterLines="50" w:line="500" w:lineRule="exact"/>
        <w:ind w:firstLine="2522" w:firstLineChars="785"/>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供应商：</w:t>
      </w:r>
      <w:r>
        <w:rPr>
          <w:rFonts w:hint="eastAsia" w:asciiTheme="minorEastAsia" w:hAnsiTheme="minorEastAsia" w:eastAsiaTheme="minorEastAsia"/>
          <w:b/>
          <w:sz w:val="32"/>
          <w:highlight w:val="none"/>
          <w:u w:val="single"/>
        </w:rPr>
        <w:t xml:space="preserve">               </w:t>
      </w:r>
    </w:p>
    <w:p w14:paraId="2176F3E8">
      <w:pPr>
        <w:spacing w:after="156" w:afterLines="50" w:line="500" w:lineRule="exact"/>
        <w:ind w:firstLine="643"/>
        <w:jc w:val="center"/>
        <w:rPr>
          <w:rFonts w:asciiTheme="minorEastAsia" w:hAnsiTheme="minorEastAsia" w:eastAsiaTheme="minorEastAsia"/>
          <w:b/>
          <w:sz w:val="32"/>
          <w:highlight w:val="none"/>
        </w:rPr>
      </w:pP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年</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月</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日</w:t>
      </w:r>
    </w:p>
    <w:p w14:paraId="6D3AC81E">
      <w:pPr>
        <w:widowControl/>
        <w:ind w:firstLine="562"/>
        <w:jc w:val="left"/>
        <w:rPr>
          <w:rFonts w:asciiTheme="minorEastAsia" w:hAnsiTheme="minorEastAsia" w:eastAsiaTheme="minorEastAsia"/>
          <w:b/>
          <w:sz w:val="28"/>
          <w:highlight w:val="none"/>
        </w:rPr>
      </w:pPr>
      <w:r>
        <w:rPr>
          <w:rFonts w:asciiTheme="minorEastAsia" w:hAnsiTheme="minorEastAsia" w:eastAsiaTheme="minorEastAsia"/>
          <w:b/>
          <w:sz w:val="28"/>
          <w:highlight w:val="none"/>
        </w:rPr>
        <w:br w:type="page"/>
      </w:r>
    </w:p>
    <w:p w14:paraId="65B5E86A">
      <w:pPr>
        <w:ind w:firstLine="482"/>
        <w:jc w:val="center"/>
        <w:outlineLvl w:val="2"/>
        <w:rPr>
          <w:rFonts w:asciiTheme="minorEastAsia" w:hAnsiTheme="minorEastAsia" w:eastAsiaTheme="minorEastAsia"/>
          <w:b/>
          <w:highlight w:val="none"/>
        </w:rPr>
      </w:pPr>
      <w:bookmarkStart w:id="33" w:name="_Toc461053086"/>
      <w:bookmarkStart w:id="34" w:name="_Toc461056631"/>
      <w:bookmarkStart w:id="35" w:name="_Toc520983587"/>
      <w:r>
        <w:rPr>
          <w:rFonts w:hint="eastAsia" w:asciiTheme="minorEastAsia" w:hAnsiTheme="minorEastAsia" w:eastAsiaTheme="minorEastAsia"/>
          <w:b/>
          <w:highlight w:val="none"/>
        </w:rPr>
        <w:t>一</w:t>
      </w:r>
      <w:bookmarkEnd w:id="33"/>
      <w:bookmarkEnd w:id="34"/>
      <w:r>
        <w:rPr>
          <w:rFonts w:hint="eastAsia" w:asciiTheme="minorEastAsia" w:hAnsiTheme="minorEastAsia" w:eastAsiaTheme="minorEastAsia"/>
          <w:b/>
          <w:highlight w:val="none"/>
        </w:rPr>
        <w:t>、报价表格式</w:t>
      </w:r>
      <w:bookmarkEnd w:id="35"/>
    </w:p>
    <w:p w14:paraId="205C2EBD">
      <w:pPr>
        <w:spacing w:before="156" w:beforeLines="50" w:after="156" w:afterLines="50"/>
        <w:ind w:firstLine="482"/>
        <w:jc w:val="left"/>
        <w:rPr>
          <w:rFonts w:cs="@仿宋_GB2312" w:asciiTheme="minorEastAsia" w:hAnsiTheme="minorEastAsia" w:eastAsiaTheme="minorEastAsia"/>
          <w:b/>
          <w:kern w:val="2"/>
          <w:szCs w:val="24"/>
          <w:highlight w:val="none"/>
        </w:rPr>
      </w:pPr>
      <w:r>
        <w:rPr>
          <w:rFonts w:hint="eastAsia" w:cs="@仿宋_GB2312" w:asciiTheme="minorEastAsia" w:hAnsiTheme="minorEastAsia" w:eastAsiaTheme="minorEastAsia"/>
          <w:b/>
          <w:kern w:val="2"/>
          <w:szCs w:val="24"/>
          <w:highlight w:val="none"/>
        </w:rPr>
        <w:t>1-1 报价表</w:t>
      </w:r>
    </w:p>
    <w:p w14:paraId="481D8C6E">
      <w:pPr>
        <w:snapToGrid w:val="0"/>
        <w:ind w:firstLine="482"/>
        <w:jc w:val="left"/>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项目名称：</w:t>
      </w:r>
      <w:r>
        <w:rPr>
          <w:rFonts w:hint="eastAsia" w:cs="宋体" w:asciiTheme="minorEastAsia" w:hAnsiTheme="minorEastAsia" w:eastAsiaTheme="minorEastAsia"/>
          <w:b/>
          <w:kern w:val="2"/>
          <w:szCs w:val="24"/>
          <w:highlight w:val="none"/>
          <w:u w:val="single"/>
        </w:rPr>
        <w:t xml:space="preserve"> </w:t>
      </w:r>
      <w:r>
        <w:rPr>
          <w:rFonts w:hint="eastAsia" w:cs="宋体" w:asciiTheme="minorEastAsia" w:hAnsiTheme="minorEastAsia" w:eastAsiaTheme="minorEastAsia"/>
          <w:b/>
          <w:kern w:val="2"/>
          <w:szCs w:val="24"/>
          <w:highlight w:val="none"/>
          <w:u w:val="single"/>
          <w:lang w:eastAsia="zh-CN"/>
        </w:rPr>
        <w:t>肥西县公安局局机关及看守所、拘留所办公执法场所保洁服务采购项目</w:t>
      </w:r>
      <w:r>
        <w:rPr>
          <w:rFonts w:hint="eastAsia" w:cs="宋体" w:asciiTheme="minorEastAsia" w:hAnsiTheme="minorEastAsia" w:eastAsiaTheme="minorEastAsia"/>
          <w:b/>
          <w:kern w:val="2"/>
          <w:szCs w:val="24"/>
          <w:highlight w:val="none"/>
          <w:u w:val="single"/>
        </w:rPr>
        <w:t xml:space="preserve">    </w:t>
      </w:r>
    </w:p>
    <w:p w14:paraId="05C3E39F">
      <w:pPr>
        <w:snapToGrid w:val="0"/>
        <w:spacing w:after="156" w:afterLines="50"/>
        <w:ind w:firstLine="482"/>
        <w:jc w:val="left"/>
        <w:rPr>
          <w:rFonts w:cs="宋体" w:asciiTheme="minorEastAsia" w:hAnsiTheme="minorEastAsia" w:eastAsiaTheme="minorEastAsia"/>
          <w:b/>
          <w:bCs/>
          <w:kern w:val="2"/>
          <w:szCs w:val="24"/>
          <w:highlight w:val="none"/>
          <w:u w:val="single"/>
        </w:rPr>
      </w:pPr>
      <w:r>
        <w:rPr>
          <w:rFonts w:hint="eastAsia" w:cs="宋体" w:asciiTheme="minorEastAsia" w:hAnsiTheme="minorEastAsia" w:eastAsiaTheme="minorEastAsia"/>
          <w:b/>
          <w:kern w:val="2"/>
          <w:szCs w:val="24"/>
          <w:highlight w:val="none"/>
        </w:rPr>
        <w:t>项目编号：</w:t>
      </w:r>
      <w:r>
        <w:rPr>
          <w:rFonts w:hint="eastAsia" w:cs="宋体" w:asciiTheme="minorEastAsia" w:hAnsiTheme="minorEastAsia" w:eastAsiaTheme="minorEastAsia"/>
          <w:b/>
          <w:kern w:val="2"/>
          <w:szCs w:val="24"/>
          <w:highlight w:val="none"/>
          <w:u w:val="single"/>
        </w:rPr>
        <w:t xml:space="preserve"> </w:t>
      </w:r>
      <w:r>
        <w:rPr>
          <w:rFonts w:hint="eastAsia" w:cs="宋体" w:asciiTheme="minorEastAsia" w:hAnsiTheme="minorEastAsia" w:eastAsiaTheme="minorEastAsia"/>
          <w:b/>
          <w:kern w:val="2"/>
          <w:szCs w:val="24"/>
          <w:highlight w:val="none"/>
          <w:u w:val="single"/>
          <w:lang w:eastAsia="zh-CN"/>
        </w:rPr>
        <w:t>2026GSFN0012</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6064"/>
      </w:tblGrid>
      <w:tr w14:paraId="09DB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0293F3C6">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供应商名称</w:t>
            </w:r>
          </w:p>
        </w:tc>
        <w:tc>
          <w:tcPr>
            <w:tcW w:w="3558" w:type="pct"/>
            <w:tcBorders>
              <w:left w:val="single" w:color="auto" w:sz="4" w:space="0"/>
            </w:tcBorders>
          </w:tcPr>
          <w:p w14:paraId="1169C9BD">
            <w:pPr>
              <w:ind w:left="0" w:leftChars="0" w:firstLine="0" w:firstLineChars="0"/>
              <w:rPr>
                <w:rFonts w:cs="宋体" w:asciiTheme="minorEastAsia" w:hAnsiTheme="minorEastAsia" w:eastAsiaTheme="minorEastAsia"/>
                <w:b/>
                <w:kern w:val="2"/>
                <w:szCs w:val="24"/>
                <w:highlight w:val="none"/>
              </w:rPr>
            </w:pPr>
          </w:p>
        </w:tc>
      </w:tr>
      <w:tr w14:paraId="7E7B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4FCC9F0">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bCs/>
                <w:kern w:val="2"/>
                <w:szCs w:val="24"/>
                <w:highlight w:val="none"/>
              </w:rPr>
              <w:t>磋商</w:t>
            </w:r>
            <w:r>
              <w:rPr>
                <w:rFonts w:hint="eastAsia" w:cs="宋体" w:asciiTheme="minorEastAsia" w:hAnsiTheme="minorEastAsia" w:eastAsiaTheme="minorEastAsia"/>
                <w:b/>
                <w:kern w:val="2"/>
                <w:szCs w:val="24"/>
                <w:highlight w:val="none"/>
              </w:rPr>
              <w:t>范围</w:t>
            </w:r>
          </w:p>
        </w:tc>
        <w:tc>
          <w:tcPr>
            <w:tcW w:w="3558" w:type="pct"/>
            <w:tcBorders>
              <w:left w:val="single" w:color="auto" w:sz="4" w:space="0"/>
            </w:tcBorders>
            <w:vAlign w:val="center"/>
          </w:tcPr>
          <w:p w14:paraId="57BB24F2">
            <w:pPr>
              <w:widowControl/>
              <w:ind w:left="0" w:leftChars="0" w:firstLine="0" w:firstLineChars="0"/>
              <w:rPr>
                <w:rFonts w:cs="宋体" w:asciiTheme="minorEastAsia" w:hAnsiTheme="minorEastAsia" w:eastAsiaTheme="minorEastAsia"/>
                <w:b/>
                <w:kern w:val="2"/>
                <w:szCs w:val="24"/>
                <w:highlight w:val="none"/>
              </w:rPr>
            </w:pPr>
            <w:r>
              <w:rPr>
                <w:rFonts w:hint="eastAsia" w:cs="@仿宋_GB2312" w:asciiTheme="minorEastAsia" w:hAnsiTheme="minorEastAsia" w:eastAsiaTheme="minorEastAsia"/>
                <w:kern w:val="2"/>
                <w:szCs w:val="28"/>
                <w:highlight w:val="none"/>
              </w:rPr>
              <w:t>全部</w:t>
            </w:r>
          </w:p>
        </w:tc>
      </w:tr>
      <w:tr w14:paraId="67E7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2" w:type="pct"/>
            <w:tcBorders>
              <w:top w:val="single" w:color="auto" w:sz="4" w:space="0"/>
            </w:tcBorders>
            <w:vAlign w:val="center"/>
          </w:tcPr>
          <w:p w14:paraId="5A424AD2">
            <w:pPr>
              <w:ind w:left="0" w:leftChars="0" w:firstLine="0" w:firstLineChars="0"/>
              <w:jc w:val="center"/>
              <w:rPr>
                <w:rFonts w:cs="宋体" w:asciiTheme="minorEastAsia" w:hAnsiTheme="minorEastAsia" w:eastAsiaTheme="minorEastAsia"/>
                <w:b/>
                <w:kern w:val="2"/>
                <w:szCs w:val="24"/>
                <w:highlight w:val="none"/>
              </w:rPr>
            </w:pPr>
            <w:r>
              <w:rPr>
                <w:rFonts w:hint="eastAsia" w:cs="@仿宋_GB2312"/>
                <w:b/>
                <w:kern w:val="2"/>
                <w:highlight w:val="none"/>
              </w:rPr>
              <w:t>报价</w:t>
            </w:r>
          </w:p>
        </w:tc>
        <w:tc>
          <w:tcPr>
            <w:tcW w:w="3558" w:type="pct"/>
            <w:vAlign w:val="center"/>
          </w:tcPr>
          <w:p w14:paraId="0CAA2DD4">
            <w:pPr>
              <w:snapToGrid w:val="0"/>
              <w:ind w:firstLine="0" w:firstLineChars="0"/>
              <w:rPr>
                <w:rFonts w:hint="default" w:eastAsia="宋体" w:cs="宋体"/>
                <w:kern w:val="2"/>
                <w:szCs w:val="24"/>
                <w:highlight w:val="none"/>
                <w:u w:val="single"/>
                <w:lang w:val="en-US" w:eastAsia="zh-CN"/>
              </w:rPr>
            </w:pPr>
            <w:r>
              <w:rPr>
                <w:rFonts w:hint="eastAsia" w:cs="宋体"/>
                <w:kern w:val="2"/>
                <w:szCs w:val="24"/>
                <w:highlight w:val="none"/>
              </w:rPr>
              <w:t>人民币大写：</w:t>
            </w:r>
            <w:r>
              <w:rPr>
                <w:rFonts w:hint="eastAsia" w:cs="宋体"/>
                <w:kern w:val="2"/>
                <w:szCs w:val="24"/>
                <w:highlight w:val="none"/>
                <w:u w:val="single"/>
                <w:lang w:val="en-US" w:eastAsia="zh-CN"/>
              </w:rPr>
              <w:t xml:space="preserve">                 </w:t>
            </w:r>
          </w:p>
          <w:p w14:paraId="6F80CDB6">
            <w:pPr>
              <w:pStyle w:val="28"/>
              <w:spacing w:line="360" w:lineRule="auto"/>
              <w:ind w:left="0" w:leftChars="0" w:firstLine="0" w:firstLineChars="0"/>
              <w:rPr>
                <w:rFonts w:hint="default" w:cs="宋体" w:asciiTheme="minorEastAsia" w:hAnsiTheme="minorEastAsia"/>
                <w:b/>
                <w:kern w:val="2"/>
                <w:highlight w:val="none"/>
                <w:u w:val="none"/>
                <w:lang w:val="en-US" w:eastAsia="zh-CN"/>
              </w:rPr>
            </w:pPr>
            <w:r>
              <w:rPr>
                <w:rFonts w:hint="eastAsia"/>
                <w:highlight w:val="none"/>
                <w:lang w:val="en-US" w:eastAsia="zh-CN"/>
              </w:rPr>
              <w:t>人民币</w:t>
            </w:r>
            <w:r>
              <w:rPr>
                <w:rFonts w:hint="eastAsia"/>
                <w:highlight w:val="none"/>
                <w:lang w:val="en-US"/>
              </w:rPr>
              <w:t>小写：</w:t>
            </w:r>
            <w:r>
              <w:rPr>
                <w:rFonts w:hint="eastAsia"/>
                <w:highlight w:val="none"/>
                <w:u w:val="single"/>
                <w:lang w:val="en-US" w:eastAsia="zh-CN"/>
              </w:rPr>
              <w:t xml:space="preserve">                 </w:t>
            </w:r>
          </w:p>
        </w:tc>
      </w:tr>
      <w:tr w14:paraId="5D0C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442" w:type="pct"/>
            <w:tcBorders>
              <w:top w:val="single" w:color="auto" w:sz="4" w:space="0"/>
            </w:tcBorders>
            <w:vAlign w:val="center"/>
          </w:tcPr>
          <w:p w14:paraId="7C4A496C">
            <w:pPr>
              <w:snapToGrid w:val="0"/>
              <w:ind w:left="0" w:leftChars="0" w:firstLine="0" w:firstLineChars="0"/>
              <w:jc w:val="center"/>
              <w:rPr>
                <w:rFonts w:cs="宋体" w:asciiTheme="minorEastAsia" w:hAnsiTheme="minorEastAsia" w:eastAsiaTheme="minorEastAsia"/>
                <w:b/>
                <w:strike/>
                <w:kern w:val="2"/>
                <w:szCs w:val="24"/>
                <w:highlight w:val="none"/>
              </w:rPr>
            </w:pPr>
            <w:r>
              <w:rPr>
                <w:rFonts w:hint="eastAsia" w:cs="宋体" w:asciiTheme="minorEastAsia" w:hAnsiTheme="minorEastAsia" w:eastAsiaTheme="minorEastAsia"/>
                <w:b/>
                <w:kern w:val="2"/>
                <w:szCs w:val="24"/>
                <w:highlight w:val="none"/>
              </w:rPr>
              <w:t>服务期限</w:t>
            </w:r>
          </w:p>
        </w:tc>
        <w:tc>
          <w:tcPr>
            <w:tcW w:w="3558" w:type="pct"/>
            <w:vAlign w:val="center"/>
          </w:tcPr>
          <w:p w14:paraId="7661CFF4">
            <w:pPr>
              <w:snapToGrid w:val="0"/>
              <w:ind w:left="0" w:leftChars="0" w:firstLine="0" w:firstLineChars="0"/>
              <w:rPr>
                <w:rFonts w:cs="宋体" w:asciiTheme="minorEastAsia" w:hAnsiTheme="minorEastAsia" w:eastAsiaTheme="minorEastAsia"/>
                <w:b/>
                <w:strike/>
                <w:kern w:val="2"/>
                <w:szCs w:val="24"/>
                <w:highlight w:val="none"/>
              </w:rPr>
            </w:pPr>
          </w:p>
        </w:tc>
      </w:tr>
      <w:tr w14:paraId="2558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442" w:type="pct"/>
            <w:vAlign w:val="center"/>
          </w:tcPr>
          <w:p w14:paraId="2C24D704">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备注说明</w:t>
            </w:r>
          </w:p>
        </w:tc>
        <w:tc>
          <w:tcPr>
            <w:tcW w:w="3558" w:type="pct"/>
          </w:tcPr>
          <w:p w14:paraId="26B854A2">
            <w:pPr>
              <w:ind w:left="0" w:leftChars="0" w:firstLine="0" w:firstLineChars="0"/>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本项目无二次报价</w:t>
            </w:r>
          </w:p>
        </w:tc>
      </w:tr>
    </w:tbl>
    <w:p w14:paraId="09C8597B">
      <w:pPr>
        <w:spacing w:line="440" w:lineRule="exact"/>
        <w:ind w:firstLine="4800" w:firstLineChars="2000"/>
        <w:rPr>
          <w:rFonts w:cs="@仿宋_GB2312"/>
          <w:kern w:val="2"/>
          <w:szCs w:val="24"/>
          <w:highlight w:val="none"/>
          <w:u w:val="single"/>
        </w:rPr>
      </w:pPr>
      <w:r>
        <w:rPr>
          <w:rFonts w:hint="eastAsia" w:cs="@仿宋_GB2312"/>
          <w:kern w:val="2"/>
          <w:szCs w:val="24"/>
          <w:highlight w:val="none"/>
        </w:rPr>
        <w:t>供应商电子签章或公章：</w:t>
      </w:r>
      <w:r>
        <w:rPr>
          <w:rFonts w:hint="eastAsia" w:cs="@仿宋_GB2312"/>
          <w:kern w:val="2"/>
          <w:szCs w:val="24"/>
          <w:highlight w:val="none"/>
          <w:u w:val="single"/>
        </w:rPr>
        <w:t xml:space="preserve">     </w:t>
      </w:r>
      <w:r>
        <w:rPr>
          <w:rFonts w:cs="@仿宋_GB2312"/>
          <w:kern w:val="2"/>
          <w:szCs w:val="24"/>
          <w:highlight w:val="none"/>
          <w:u w:val="single"/>
        </w:rPr>
        <w:t xml:space="preserve">    </w:t>
      </w:r>
      <w:r>
        <w:rPr>
          <w:rFonts w:hint="eastAsia" w:cs="@仿宋_GB2312"/>
          <w:kern w:val="2"/>
          <w:szCs w:val="24"/>
          <w:highlight w:val="none"/>
          <w:u w:val="single"/>
        </w:rPr>
        <w:t xml:space="preserve">    </w:t>
      </w:r>
    </w:p>
    <w:p w14:paraId="293C8411">
      <w:pPr>
        <w:spacing w:line="440" w:lineRule="exact"/>
        <w:ind w:firstLine="4800" w:firstLineChars="2000"/>
        <w:rPr>
          <w:rFonts w:cs="@仿宋_GB2312"/>
          <w:kern w:val="2"/>
          <w:szCs w:val="24"/>
          <w:highlight w:val="none"/>
          <w:u w:val="single"/>
        </w:rPr>
      </w:pPr>
      <w:r>
        <w:rPr>
          <w:rFonts w:hint="eastAsia" w:cs="@仿宋_GB2312"/>
          <w:kern w:val="2"/>
          <w:szCs w:val="24"/>
          <w:highlight w:val="none"/>
        </w:rPr>
        <w:t xml:space="preserve">日     </w:t>
      </w:r>
      <w:r>
        <w:rPr>
          <w:rFonts w:cs="@仿宋_GB2312"/>
          <w:kern w:val="2"/>
          <w:szCs w:val="24"/>
          <w:highlight w:val="none"/>
        </w:rPr>
        <w:t xml:space="preserve">    </w:t>
      </w:r>
      <w:r>
        <w:rPr>
          <w:rFonts w:hint="eastAsia" w:cs="@仿宋_GB2312"/>
          <w:kern w:val="2"/>
          <w:szCs w:val="24"/>
          <w:highlight w:val="none"/>
        </w:rPr>
        <w:t xml:space="preserve"> 期：</w:t>
      </w:r>
      <w:r>
        <w:rPr>
          <w:rFonts w:hint="eastAsia" w:cs="@仿宋_GB2312"/>
          <w:kern w:val="2"/>
          <w:szCs w:val="24"/>
          <w:highlight w:val="none"/>
          <w:u w:val="single"/>
        </w:rPr>
        <w:t xml:space="preserve">             </w:t>
      </w:r>
    </w:p>
    <w:p w14:paraId="436055E0">
      <w:pPr>
        <w:adjustRightInd w:val="0"/>
        <w:snapToGrid w:val="0"/>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注：</w:t>
      </w:r>
    </w:p>
    <w:p w14:paraId="1637DE25">
      <w:pPr>
        <w:adjustRightInd w:val="0"/>
        <w:snapToGrid w:val="0"/>
        <w:ind w:firstLine="482"/>
        <w:rPr>
          <w:rFonts w:cs="宋体" w:asciiTheme="minorEastAsia" w:hAnsiTheme="minorEastAsia" w:eastAsiaTheme="minorEastAsia"/>
          <w:kern w:val="2"/>
          <w:szCs w:val="24"/>
          <w:highlight w:val="none"/>
        </w:rPr>
      </w:pPr>
      <w:r>
        <w:rPr>
          <w:rFonts w:hint="eastAsia" w:cs="宋体" w:asciiTheme="minorEastAsia" w:hAnsiTheme="minorEastAsia" w:eastAsiaTheme="minorEastAsia"/>
          <w:b/>
          <w:bCs/>
          <w:kern w:val="2"/>
          <w:szCs w:val="24"/>
          <w:highlight w:val="none"/>
        </w:rPr>
        <w:t>1.本表内容根据磋商文件要求包括了磋商文件要求提供的全部内容的所有费用。</w:t>
      </w:r>
    </w:p>
    <w:p w14:paraId="684F7117">
      <w:pPr>
        <w:adjustRightInd w:val="0"/>
        <w:snapToGrid w:val="0"/>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2.特殊事项在备注</w:t>
      </w:r>
      <w:r>
        <w:rPr>
          <w:rFonts w:hint="eastAsia" w:cs="宋体" w:asciiTheme="minorEastAsia" w:hAnsiTheme="minorEastAsia" w:eastAsiaTheme="minorEastAsia"/>
          <w:b/>
          <w:kern w:val="2"/>
          <w:szCs w:val="24"/>
          <w:highlight w:val="none"/>
        </w:rPr>
        <w:t>说明</w:t>
      </w:r>
      <w:r>
        <w:rPr>
          <w:rFonts w:hint="eastAsia" w:cs="宋体" w:asciiTheme="minorEastAsia" w:hAnsiTheme="minorEastAsia" w:eastAsiaTheme="minorEastAsia"/>
          <w:b/>
          <w:bCs/>
          <w:kern w:val="2"/>
          <w:szCs w:val="24"/>
          <w:highlight w:val="none"/>
        </w:rPr>
        <w:t>中注明。</w:t>
      </w:r>
    </w:p>
    <w:p w14:paraId="5C43C103">
      <w:pPr>
        <w:adjustRightInd w:val="0"/>
        <w:snapToGrid w:val="0"/>
        <w:ind w:firstLine="482"/>
        <w:rPr>
          <w:rFonts w:cs="宋体" w:asciiTheme="minorEastAsia" w:hAnsiTheme="minorEastAsia" w:eastAsiaTheme="minorEastAsia"/>
          <w:b/>
          <w:bCs/>
          <w:kern w:val="2"/>
          <w:szCs w:val="24"/>
          <w:highlight w:val="none"/>
        </w:rPr>
      </w:pPr>
      <w:r>
        <w:rPr>
          <w:rFonts w:cs="宋体" w:asciiTheme="minorEastAsia" w:hAnsiTheme="minorEastAsia" w:eastAsiaTheme="minorEastAsia"/>
          <w:b/>
          <w:bCs/>
          <w:kern w:val="2"/>
          <w:szCs w:val="24"/>
          <w:highlight w:val="none"/>
        </w:rPr>
        <w:br w:type="page"/>
      </w:r>
    </w:p>
    <w:p w14:paraId="50C83DD6">
      <w:pPr>
        <w:ind w:firstLine="482"/>
        <w:jc w:val="center"/>
        <w:outlineLvl w:val="2"/>
        <w:rPr>
          <w:rFonts w:cs="宋体"/>
          <w:sz w:val="32"/>
          <w:szCs w:val="32"/>
          <w:highlight w:val="none"/>
        </w:rPr>
      </w:pPr>
      <w:bookmarkStart w:id="36" w:name="_Toc520983591"/>
      <w:r>
        <w:rPr>
          <w:rFonts w:hint="eastAsia" w:asciiTheme="minorEastAsia" w:hAnsiTheme="minorEastAsia" w:eastAsiaTheme="minorEastAsia"/>
          <w:b/>
          <w:highlight w:val="none"/>
        </w:rPr>
        <w:t>二、供应商综合情况简介</w:t>
      </w:r>
    </w:p>
    <w:p w14:paraId="18BA1016">
      <w:pPr>
        <w:spacing w:before="156" w:beforeLines="50" w:after="156" w:afterLines="50"/>
        <w:ind w:firstLine="235" w:firstLineChars="98"/>
        <w:jc w:val="center"/>
        <w:rPr>
          <w:rFonts w:cs="Times New Roman"/>
          <w:szCs w:val="28"/>
          <w:highlight w:val="none"/>
        </w:rPr>
      </w:pPr>
      <w:r>
        <w:rPr>
          <w:rFonts w:hint="eastAsia" w:cs="Times New Roman"/>
          <w:szCs w:val="28"/>
          <w:highlight w:val="none"/>
        </w:rPr>
        <w:t>（</w:t>
      </w:r>
      <w:r>
        <w:rPr>
          <w:rFonts w:hint="eastAsia" w:cs="Times New Roman"/>
          <w:szCs w:val="18"/>
          <w:highlight w:val="none"/>
        </w:rPr>
        <w:t>供应商</w:t>
      </w:r>
      <w:r>
        <w:rPr>
          <w:rFonts w:hint="eastAsia" w:cs="Times New Roman"/>
          <w:szCs w:val="28"/>
          <w:highlight w:val="none"/>
        </w:rPr>
        <w:t>可自行制作格式）</w:t>
      </w:r>
    </w:p>
    <w:p w14:paraId="1A13C767">
      <w:pPr>
        <w:widowControl/>
        <w:ind w:firstLine="482"/>
        <w:jc w:val="left"/>
        <w:rPr>
          <w:rFonts w:asciiTheme="minorEastAsia" w:hAnsiTheme="minorEastAsia" w:eastAsiaTheme="minorEastAsia"/>
          <w:b/>
          <w:highlight w:val="none"/>
        </w:rPr>
      </w:pPr>
    </w:p>
    <w:p w14:paraId="57B6CAF7">
      <w:pPr>
        <w:widowControl/>
        <w:ind w:firstLine="482"/>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p w14:paraId="71927EA8">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三、磋商响应函</w:t>
      </w:r>
    </w:p>
    <w:p w14:paraId="2406854E">
      <w:pPr>
        <w:ind w:left="0" w:leftChars="0" w:firstLine="0" w:firstLineChars="0"/>
        <w:rPr>
          <w:rFonts w:hint="eastAsia" w:cs="宋体" w:asciiTheme="minorEastAsia" w:hAnsiTheme="minorEastAsia" w:eastAsiaTheme="minorEastAsia"/>
          <w:b/>
          <w:kern w:val="2"/>
          <w:szCs w:val="24"/>
          <w:highlight w:val="none"/>
          <w:u w:val="single"/>
          <w:lang w:eastAsia="zh-CN"/>
        </w:rPr>
      </w:pPr>
      <w:r>
        <w:rPr>
          <w:rFonts w:hint="eastAsia" w:cs="宋体" w:asciiTheme="minorEastAsia" w:hAnsiTheme="minorEastAsia" w:eastAsiaTheme="minorEastAsia"/>
          <w:b/>
          <w:kern w:val="2"/>
          <w:szCs w:val="24"/>
          <w:highlight w:val="none"/>
        </w:rPr>
        <w:t>致：</w:t>
      </w:r>
      <w:r>
        <w:rPr>
          <w:rFonts w:hint="eastAsia" w:cs="宋体" w:asciiTheme="minorEastAsia" w:hAnsiTheme="minorEastAsia" w:eastAsiaTheme="minorEastAsia"/>
          <w:b/>
          <w:kern w:val="2"/>
          <w:szCs w:val="24"/>
          <w:highlight w:val="none"/>
          <w:u w:val="single"/>
          <w:lang w:eastAsia="zh-CN"/>
        </w:rPr>
        <w:t xml:space="preserve">肥西县公安局 </w:t>
      </w:r>
    </w:p>
    <w:p w14:paraId="66DB72A2">
      <w:pPr>
        <w:ind w:left="0" w:leftChars="0" w:firstLine="482" w:firstLineChars="200"/>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u w:val="single"/>
        </w:rPr>
        <w:t>肥西县公共资源交易有限责任公司</w:t>
      </w:r>
    </w:p>
    <w:p w14:paraId="3A4E6035">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根据贵方的磋商文件，我方承诺如下：</w:t>
      </w:r>
    </w:p>
    <w:p w14:paraId="0FD4FBF7">
      <w:pPr>
        <w:ind w:firstLine="480"/>
        <w:rPr>
          <w:rFonts w:cs="宋体" w:asciiTheme="minorEastAsia" w:hAnsiTheme="minorEastAsia" w:eastAsiaTheme="minorEastAsia"/>
          <w:kern w:val="2"/>
          <w:szCs w:val="24"/>
          <w:highlight w:val="none"/>
          <w:u w:val="single"/>
        </w:rPr>
      </w:pPr>
      <w:r>
        <w:rPr>
          <w:rFonts w:hint="eastAsia" w:cs="宋体" w:asciiTheme="minorEastAsia" w:hAnsiTheme="minorEastAsia" w:eastAsiaTheme="minorEastAsia"/>
          <w:kern w:val="2"/>
          <w:szCs w:val="24"/>
          <w:highlight w:val="none"/>
        </w:rPr>
        <w:t>1.经踏勘项目现场和研究上述磋商文件的磋商须知、合同条款、业主单位要求及其他有关文件后，我方接受上述文件要求。我方</w:t>
      </w:r>
      <w:r>
        <w:rPr>
          <w:rFonts w:hint="eastAsia" w:cs="宋体" w:asciiTheme="minorEastAsia" w:hAnsiTheme="minorEastAsia" w:eastAsiaTheme="minorEastAsia"/>
          <w:bCs/>
          <w:kern w:val="2"/>
          <w:szCs w:val="24"/>
          <w:highlight w:val="none"/>
        </w:rPr>
        <w:t>承诺按本磋商文件、合同条款和业主单位要求承担上述项目的全部内容。</w:t>
      </w:r>
    </w:p>
    <w:p w14:paraId="2F406A58">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2.我方已详细审核全部磋商文件，包括磋商文件的补疑、澄清、变更或补充（如有），参考资料及有关附件，我方正式认可并遵守本次磋商文件，并对磋商文件各项条款（包括磋商时间）、规定及要求均无异议。且我方自愿放弃针对上述各项条款提出异议的权利。</w:t>
      </w:r>
    </w:p>
    <w:p w14:paraId="77ECF9EA">
      <w:pPr>
        <w:ind w:firstLine="480"/>
        <w:rPr>
          <w:highlight w:val="none"/>
        </w:rPr>
      </w:pPr>
      <w:r>
        <w:rPr>
          <w:rFonts w:hint="eastAsia"/>
          <w:highlight w:val="none"/>
        </w:rPr>
        <w:t>3.如我方成交，我方承诺愿意按磋商文件规定缴纳履约保证金和代理费用。按本次磋商文件规定及</w:t>
      </w:r>
      <w:r>
        <w:rPr>
          <w:rFonts w:cs="宋体"/>
          <w:szCs w:val="24"/>
          <w:highlight w:val="none"/>
        </w:rPr>
        <w:t>最终报价</w:t>
      </w:r>
      <w:r>
        <w:rPr>
          <w:rFonts w:hint="eastAsia"/>
          <w:highlight w:val="none"/>
        </w:rPr>
        <w:t>承诺提供服务。</w:t>
      </w:r>
    </w:p>
    <w:p w14:paraId="40C789F0">
      <w:pPr>
        <w:ind w:firstLine="480"/>
        <w:rPr>
          <w:highlight w:val="none"/>
        </w:rPr>
      </w:pPr>
      <w:r>
        <w:rPr>
          <w:rFonts w:hint="eastAsia"/>
          <w:highlight w:val="none"/>
        </w:rPr>
        <w:t>4.我方根据本次磋商文件的规定，严格履行合同的责任和义务</w:t>
      </w:r>
      <w:r>
        <w:rPr>
          <w:highlight w:val="none"/>
        </w:rPr>
        <w:t>,</w:t>
      </w:r>
      <w:r>
        <w:rPr>
          <w:rFonts w:hint="eastAsia"/>
          <w:highlight w:val="none"/>
        </w:rPr>
        <w:t>并保证于你方要求的日期内完成合同规定的全部义务。</w:t>
      </w:r>
    </w:p>
    <w:p w14:paraId="3F21C6E6">
      <w:pPr>
        <w:ind w:firstLine="480"/>
        <w:rPr>
          <w:highlight w:val="none"/>
        </w:rPr>
      </w:pPr>
      <w:r>
        <w:rPr>
          <w:rFonts w:hint="eastAsia"/>
          <w:highlight w:val="none"/>
        </w:rPr>
        <w:t>5.我方同意按你方要求在磋商规定时间内向你方提供与其磋商有关的任何证据或补充资料，否则，我方的响应文件可被你方拒绝。</w:t>
      </w:r>
    </w:p>
    <w:p w14:paraId="7FAF6398">
      <w:pPr>
        <w:ind w:firstLine="480"/>
        <w:rPr>
          <w:highlight w:val="none"/>
        </w:rPr>
      </w:pPr>
      <w:r>
        <w:rPr>
          <w:rFonts w:hint="eastAsia"/>
          <w:highlight w:val="none"/>
        </w:rPr>
        <w:t>6.我方完全理解你方不一定接受最低报价的磋商。</w:t>
      </w:r>
    </w:p>
    <w:p w14:paraId="7228DFB9">
      <w:pPr>
        <w:ind w:firstLine="480"/>
        <w:rPr>
          <w:highlight w:val="none"/>
        </w:rPr>
      </w:pPr>
      <w:r>
        <w:rPr>
          <w:rFonts w:hint="eastAsia"/>
          <w:highlight w:val="none"/>
        </w:rPr>
        <w:t>7.我方同意磋商文件规定的付款方式、服务期限。</w:t>
      </w:r>
    </w:p>
    <w:p w14:paraId="2369F0E1">
      <w:pPr>
        <w:ind w:firstLine="480"/>
        <w:rPr>
          <w:highlight w:val="none"/>
        </w:rPr>
      </w:pPr>
      <w:r>
        <w:rPr>
          <w:rFonts w:hint="eastAsia"/>
          <w:highlight w:val="none"/>
        </w:rPr>
        <w:t>8.我方对响应文件中所提供资料、文件、证书及证件的真实性和有效性负责。</w:t>
      </w:r>
    </w:p>
    <w:p w14:paraId="3DA51A6D">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9.我方同意所提交的响应文件在磋商文件规定的磋商有效期内有效，在此期间内如果成交，我方将受此约束。</w:t>
      </w:r>
    </w:p>
    <w:p w14:paraId="7833E148">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10.除非另外达成协议并生效，你方的成交通知书和本响应文件以及磋商文件、磋商文件澄清、修改、补充将成为约束双方的合同文件的组成部分。</w:t>
      </w:r>
    </w:p>
    <w:p w14:paraId="1D7D9AA5">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11.我方不存在磋商公告中“供应商资格要求”的“不良信用记录情形”规定的任何一种情形。</w:t>
      </w:r>
    </w:p>
    <w:p w14:paraId="0D2E077A">
      <w:pPr>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12.我方声明下述内容真实有效，如有虚假，将依法承担相应责任：</w:t>
      </w:r>
    </w:p>
    <w:p w14:paraId="35C266C1">
      <w:pPr>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与我单位存在单位负责人为同一人或者存在直接控股、管理关系的其他法人单位信息如下：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5B32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07B6560">
            <w:pPr>
              <w:widowControl/>
              <w:spacing w:before="156" w:beforeLines="50" w:after="10"/>
              <w:ind w:firstLine="480"/>
              <w:jc w:val="center"/>
              <w:rPr>
                <w:rFonts w:cs="宋体"/>
                <w:color w:val="000000"/>
                <w:szCs w:val="24"/>
                <w:highlight w:val="none"/>
                <w:lang w:bidi="ar"/>
              </w:rPr>
            </w:pPr>
            <w:r>
              <w:rPr>
                <w:rFonts w:hint="eastAsia" w:cs="宋体"/>
                <w:color w:val="000000"/>
                <w:szCs w:val="24"/>
                <w:highlight w:val="none"/>
                <w:lang w:bidi="ar"/>
              </w:rPr>
              <w:t>序号</w:t>
            </w:r>
          </w:p>
        </w:tc>
        <w:tc>
          <w:tcPr>
            <w:tcW w:w="2841" w:type="dxa"/>
          </w:tcPr>
          <w:p w14:paraId="5CF425CF">
            <w:pPr>
              <w:pStyle w:val="4"/>
              <w:spacing w:before="156" w:beforeLines="50" w:after="10"/>
              <w:ind w:left="300" w:firstLine="480"/>
              <w:jc w:val="center"/>
              <w:rPr>
                <w:rFonts w:ascii="宋体" w:hAnsi="宋体" w:eastAsia="宋体" w:cs="宋体"/>
                <w:color w:val="000000"/>
                <w:highlight w:val="none"/>
                <w:lang w:val="en-US" w:bidi="ar"/>
              </w:rPr>
            </w:pPr>
            <w:r>
              <w:rPr>
                <w:rFonts w:hint="eastAsia" w:ascii="宋体" w:hAnsi="宋体" w:eastAsia="宋体" w:cs="宋体"/>
                <w:color w:val="000000"/>
                <w:highlight w:val="none"/>
                <w:lang w:val="en-US" w:bidi="ar"/>
              </w:rPr>
              <w:t>单位名称</w:t>
            </w:r>
          </w:p>
        </w:tc>
        <w:tc>
          <w:tcPr>
            <w:tcW w:w="2841" w:type="dxa"/>
          </w:tcPr>
          <w:p w14:paraId="45B84DCA">
            <w:pPr>
              <w:pStyle w:val="4"/>
              <w:spacing w:before="156" w:beforeLines="50" w:after="10"/>
              <w:ind w:left="300" w:firstLine="480"/>
              <w:jc w:val="center"/>
              <w:rPr>
                <w:rFonts w:ascii="宋体" w:hAnsi="宋体" w:eastAsia="宋体" w:cs="宋体"/>
                <w:color w:val="000000"/>
                <w:highlight w:val="none"/>
                <w:lang w:val="en-US" w:bidi="ar"/>
              </w:rPr>
            </w:pPr>
            <w:r>
              <w:rPr>
                <w:rFonts w:hint="eastAsia" w:ascii="宋体" w:hAnsi="宋体" w:eastAsia="宋体" w:cs="宋体"/>
                <w:color w:val="000000"/>
                <w:highlight w:val="none"/>
                <w:lang w:val="en-US" w:bidi="ar"/>
              </w:rPr>
              <w:t>相互关系</w:t>
            </w:r>
          </w:p>
        </w:tc>
      </w:tr>
      <w:tr w14:paraId="532E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C962D7">
            <w:pPr>
              <w:pStyle w:val="4"/>
              <w:spacing w:before="156" w:beforeLines="50" w:after="10"/>
              <w:ind w:left="300" w:firstLine="480"/>
              <w:jc w:val="center"/>
              <w:rPr>
                <w:rFonts w:ascii="宋体" w:hAnsi="宋体" w:eastAsia="宋体" w:cs="宋体"/>
                <w:color w:val="000000"/>
                <w:highlight w:val="none"/>
                <w:lang w:val="en-US" w:bidi="ar"/>
              </w:rPr>
            </w:pPr>
            <w:r>
              <w:rPr>
                <w:rFonts w:hint="eastAsia" w:ascii="宋体" w:hAnsi="宋体" w:eastAsia="宋体" w:cs="宋体"/>
                <w:color w:val="000000"/>
                <w:highlight w:val="none"/>
                <w:lang w:val="en-US" w:bidi="ar"/>
              </w:rPr>
              <w:t>1</w:t>
            </w:r>
          </w:p>
        </w:tc>
        <w:tc>
          <w:tcPr>
            <w:tcW w:w="2841" w:type="dxa"/>
          </w:tcPr>
          <w:p w14:paraId="294CA3F3">
            <w:pPr>
              <w:pStyle w:val="4"/>
              <w:spacing w:before="156" w:beforeLines="50" w:after="10"/>
              <w:ind w:left="300" w:firstLine="480"/>
              <w:jc w:val="center"/>
              <w:rPr>
                <w:rFonts w:ascii="宋体" w:hAnsi="宋体" w:eastAsia="宋体" w:cs="宋体"/>
                <w:color w:val="000000"/>
                <w:highlight w:val="none"/>
                <w:lang w:val="en-US" w:bidi="ar"/>
              </w:rPr>
            </w:pPr>
          </w:p>
        </w:tc>
        <w:tc>
          <w:tcPr>
            <w:tcW w:w="2841" w:type="dxa"/>
          </w:tcPr>
          <w:p w14:paraId="538BCF5F">
            <w:pPr>
              <w:pStyle w:val="4"/>
              <w:spacing w:before="156" w:beforeLines="50" w:after="10"/>
              <w:ind w:left="300" w:firstLine="480"/>
              <w:jc w:val="center"/>
              <w:rPr>
                <w:rFonts w:ascii="宋体" w:hAnsi="宋体" w:eastAsia="宋体" w:cs="宋体"/>
                <w:color w:val="000000"/>
                <w:highlight w:val="none"/>
                <w:lang w:val="en-US" w:bidi="ar"/>
              </w:rPr>
            </w:pPr>
          </w:p>
        </w:tc>
      </w:tr>
      <w:tr w14:paraId="7313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AB69B45">
            <w:pPr>
              <w:pStyle w:val="4"/>
              <w:spacing w:before="156" w:beforeLines="50" w:after="10"/>
              <w:ind w:left="300" w:firstLine="480"/>
              <w:jc w:val="center"/>
              <w:rPr>
                <w:rFonts w:ascii="宋体" w:hAnsi="宋体" w:eastAsia="宋体" w:cs="宋体"/>
                <w:color w:val="000000"/>
                <w:highlight w:val="none"/>
                <w:lang w:val="en-US" w:bidi="ar"/>
              </w:rPr>
            </w:pPr>
            <w:r>
              <w:rPr>
                <w:rFonts w:hint="eastAsia" w:ascii="宋体" w:hAnsi="宋体" w:eastAsia="宋体" w:cs="宋体"/>
                <w:color w:val="000000"/>
                <w:highlight w:val="none"/>
                <w:lang w:val="en-US" w:bidi="ar"/>
              </w:rPr>
              <w:t>2</w:t>
            </w:r>
          </w:p>
        </w:tc>
        <w:tc>
          <w:tcPr>
            <w:tcW w:w="2841" w:type="dxa"/>
          </w:tcPr>
          <w:p w14:paraId="4EFAEEA7">
            <w:pPr>
              <w:pStyle w:val="4"/>
              <w:spacing w:before="156" w:beforeLines="50" w:after="10"/>
              <w:ind w:left="300" w:firstLine="480"/>
              <w:jc w:val="center"/>
              <w:rPr>
                <w:rFonts w:ascii="宋体" w:hAnsi="宋体" w:eastAsia="宋体" w:cs="宋体"/>
                <w:color w:val="000000"/>
                <w:highlight w:val="none"/>
                <w:lang w:val="en-US" w:bidi="ar"/>
              </w:rPr>
            </w:pPr>
          </w:p>
        </w:tc>
        <w:tc>
          <w:tcPr>
            <w:tcW w:w="2841" w:type="dxa"/>
          </w:tcPr>
          <w:p w14:paraId="5562FA5F">
            <w:pPr>
              <w:pStyle w:val="4"/>
              <w:spacing w:before="156" w:beforeLines="50" w:after="10"/>
              <w:ind w:left="300" w:firstLine="480"/>
              <w:jc w:val="center"/>
              <w:rPr>
                <w:rFonts w:ascii="宋体" w:hAnsi="宋体" w:eastAsia="宋体" w:cs="宋体"/>
                <w:color w:val="000000"/>
                <w:highlight w:val="none"/>
                <w:lang w:val="en-US" w:bidi="ar"/>
              </w:rPr>
            </w:pPr>
          </w:p>
        </w:tc>
      </w:tr>
      <w:tr w14:paraId="1888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82429A4">
            <w:pPr>
              <w:pStyle w:val="4"/>
              <w:spacing w:before="156" w:beforeLines="50" w:after="10"/>
              <w:ind w:left="300" w:firstLine="480"/>
              <w:jc w:val="center"/>
              <w:rPr>
                <w:rFonts w:ascii="宋体" w:hAnsi="宋体" w:eastAsia="宋体" w:cs="宋体"/>
                <w:color w:val="000000"/>
                <w:highlight w:val="none"/>
                <w:lang w:val="en-US" w:bidi="ar"/>
              </w:rPr>
            </w:pPr>
          </w:p>
        </w:tc>
        <w:tc>
          <w:tcPr>
            <w:tcW w:w="2841" w:type="dxa"/>
          </w:tcPr>
          <w:p w14:paraId="5ABBF6E3">
            <w:pPr>
              <w:pStyle w:val="4"/>
              <w:spacing w:before="156" w:beforeLines="50" w:after="10"/>
              <w:ind w:left="300" w:firstLine="480"/>
              <w:jc w:val="center"/>
              <w:rPr>
                <w:rFonts w:ascii="宋体" w:hAnsi="宋体" w:eastAsia="宋体" w:cs="宋体"/>
                <w:color w:val="000000"/>
                <w:highlight w:val="none"/>
                <w:lang w:val="en-US" w:bidi="ar"/>
              </w:rPr>
            </w:pPr>
          </w:p>
        </w:tc>
        <w:tc>
          <w:tcPr>
            <w:tcW w:w="2841" w:type="dxa"/>
          </w:tcPr>
          <w:p w14:paraId="5C32A91C">
            <w:pPr>
              <w:pStyle w:val="4"/>
              <w:spacing w:before="156" w:beforeLines="50" w:after="10"/>
              <w:ind w:left="300" w:firstLine="480"/>
              <w:jc w:val="center"/>
              <w:rPr>
                <w:rFonts w:ascii="宋体" w:hAnsi="宋体" w:eastAsia="宋体" w:cs="宋体"/>
                <w:color w:val="000000"/>
                <w:highlight w:val="none"/>
                <w:lang w:val="en-US" w:bidi="ar"/>
              </w:rPr>
            </w:pPr>
          </w:p>
        </w:tc>
      </w:tr>
    </w:tbl>
    <w:p w14:paraId="73743CEF">
      <w:pPr>
        <w:ind w:firstLine="480"/>
        <w:rPr>
          <w:rFonts w:cs="宋体" w:asciiTheme="minorEastAsia" w:hAnsiTheme="minorEastAsia" w:eastAsiaTheme="minorEastAsia"/>
          <w:kern w:val="2"/>
          <w:szCs w:val="24"/>
          <w:highlight w:val="none"/>
        </w:rPr>
      </w:pPr>
    </w:p>
    <w:p w14:paraId="140E0994">
      <w:pPr>
        <w:ind w:firstLine="480"/>
        <w:rPr>
          <w:highlight w:val="none"/>
        </w:rPr>
      </w:pPr>
      <w:r>
        <w:rPr>
          <w:rFonts w:cs="宋体" w:asciiTheme="minorEastAsia" w:hAnsiTheme="minorEastAsia" w:eastAsiaTheme="minorEastAsia"/>
          <w:kern w:val="2"/>
          <w:szCs w:val="24"/>
          <w:highlight w:val="none"/>
        </w:rPr>
        <w:t>1</w:t>
      </w:r>
      <w:r>
        <w:rPr>
          <w:rFonts w:hint="eastAsia" w:cs="宋体" w:asciiTheme="minorEastAsia" w:hAnsiTheme="minorEastAsia" w:eastAsiaTheme="minorEastAsia"/>
          <w:kern w:val="2"/>
          <w:szCs w:val="24"/>
          <w:highlight w:val="none"/>
        </w:rPr>
        <w:t>3.其他补充说明：</w:t>
      </w:r>
      <w:r>
        <w:rPr>
          <w:rFonts w:hint="eastAsia" w:cs="宋体" w:asciiTheme="minorEastAsia" w:hAnsiTheme="minorEastAsia" w:eastAsiaTheme="minorEastAsia"/>
          <w:kern w:val="2"/>
          <w:szCs w:val="24"/>
          <w:highlight w:val="none"/>
          <w:u w:val="single"/>
        </w:rPr>
        <w:t xml:space="preserve">             补充说明事项（如有）       </w:t>
      </w:r>
    </w:p>
    <w:p w14:paraId="562B7848">
      <w:pPr>
        <w:pStyle w:val="13"/>
        <w:ind w:firstLine="240"/>
        <w:rPr>
          <w:highlight w:val="none"/>
        </w:rPr>
      </w:pPr>
    </w:p>
    <w:p w14:paraId="357B391C">
      <w:pPr>
        <w:ind w:firstLine="4800" w:firstLineChars="2000"/>
        <w:rPr>
          <w:rFonts w:cs="@仿宋_GB2312"/>
          <w:kern w:val="2"/>
          <w:highlight w:val="none"/>
        </w:rPr>
      </w:pPr>
      <w:r>
        <w:rPr>
          <w:rFonts w:hint="eastAsia" w:cs="@仿宋_GB2312"/>
          <w:kern w:val="2"/>
          <w:szCs w:val="24"/>
          <w:highlight w:val="none"/>
        </w:rPr>
        <w:t>供应商电子签章或公章</w:t>
      </w:r>
      <w:r>
        <w:rPr>
          <w:rFonts w:hint="eastAsia" w:cs="@仿宋_GB2312"/>
          <w:kern w:val="2"/>
          <w:highlight w:val="none"/>
        </w:rPr>
        <w:t>：</w:t>
      </w:r>
      <w:r>
        <w:rPr>
          <w:rFonts w:hint="eastAsia" w:cs="@仿宋_GB2312"/>
          <w:kern w:val="2"/>
          <w:highlight w:val="none"/>
          <w:u w:val="single"/>
        </w:rPr>
        <w:t xml:space="preserve">             </w:t>
      </w:r>
    </w:p>
    <w:p w14:paraId="1AD5621C">
      <w:pPr>
        <w:ind w:firstLine="4800" w:firstLineChars="2000"/>
        <w:rPr>
          <w:rFonts w:cs="@仿宋_GB2312"/>
          <w:kern w:val="2"/>
          <w:highlight w:val="none"/>
          <w:u w:val="single"/>
        </w:rPr>
      </w:pPr>
      <w:r>
        <w:rPr>
          <w:rFonts w:hint="eastAsia" w:cs="@仿宋_GB2312"/>
          <w:kern w:val="2"/>
          <w:highlight w:val="none"/>
        </w:rPr>
        <w:t>日          期：</w:t>
      </w:r>
      <w:r>
        <w:rPr>
          <w:rFonts w:hint="eastAsia" w:cs="@仿宋_GB2312"/>
          <w:kern w:val="2"/>
          <w:highlight w:val="none"/>
          <w:u w:val="single"/>
        </w:rPr>
        <w:t xml:space="preserve">             </w:t>
      </w:r>
    </w:p>
    <w:p w14:paraId="5D22BCB7">
      <w:pPr>
        <w:widowControl/>
        <w:ind w:firstLine="480"/>
        <w:jc w:val="left"/>
        <w:rPr>
          <w:highlight w:val="none"/>
        </w:rPr>
      </w:pPr>
      <w:r>
        <w:rPr>
          <w:highlight w:val="none"/>
        </w:rPr>
        <w:br w:type="page"/>
      </w:r>
    </w:p>
    <w:p w14:paraId="29CE8A15">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四、无不良信用记录声明函</w:t>
      </w:r>
    </w:p>
    <w:p w14:paraId="20D01E45">
      <w:pPr>
        <w:ind w:firstLine="480"/>
        <w:jc w:val="center"/>
        <w:rPr>
          <w:szCs w:val="24"/>
          <w:highlight w:val="none"/>
        </w:rPr>
      </w:pPr>
      <w:r>
        <w:rPr>
          <w:rFonts w:hint="eastAsia"/>
          <w:szCs w:val="24"/>
          <w:highlight w:val="none"/>
        </w:rPr>
        <w:t>（联合体参加磋商的，联合体双方均须提供）</w:t>
      </w:r>
    </w:p>
    <w:p w14:paraId="4ABF8746">
      <w:pPr>
        <w:ind w:firstLine="480"/>
        <w:rPr>
          <w:szCs w:val="24"/>
          <w:highlight w:val="none"/>
        </w:rPr>
      </w:pPr>
      <w:r>
        <w:rPr>
          <w:rFonts w:hint="eastAsia"/>
          <w:szCs w:val="24"/>
          <w:highlight w:val="none"/>
        </w:rPr>
        <w:t>1、本单位郑重声明，我单位无以下不良信用记录情形：</w:t>
      </w:r>
    </w:p>
    <w:p w14:paraId="0067A1A1">
      <w:pPr>
        <w:ind w:firstLine="480"/>
        <w:rPr>
          <w:szCs w:val="24"/>
          <w:highlight w:val="none"/>
        </w:rPr>
      </w:pPr>
      <w:r>
        <w:rPr>
          <w:rFonts w:hint="eastAsia"/>
          <w:szCs w:val="24"/>
          <w:highlight w:val="none"/>
        </w:rPr>
        <w:t>（1）在最近三年内（自磋商截止之日向前追溯3年，下同）有骗取成交或严重违约或重大工程质量事故或重大生产安全事故的（以相关行业主管部门的行政处罚决定或司法机关出具的有关法律文书为准），但前述行政处罚已完成信用修复的，自行政处罚作出机关或信用修复主管部门同意修复之日起满一年的，不受三年期限限制；</w:t>
      </w:r>
    </w:p>
    <w:p w14:paraId="73566FA3">
      <w:pPr>
        <w:ind w:firstLine="480"/>
        <w:rPr>
          <w:szCs w:val="24"/>
          <w:highlight w:val="none"/>
        </w:rPr>
      </w:pPr>
      <w:r>
        <w:rPr>
          <w:rFonts w:hint="eastAsia"/>
          <w:szCs w:val="24"/>
          <w:highlight w:val="none"/>
        </w:rPr>
        <w:t>（2）被责令停业，暂扣或吊销执照，或吊销资质证书；</w:t>
      </w:r>
    </w:p>
    <w:p w14:paraId="22AD0750">
      <w:pPr>
        <w:ind w:firstLine="480"/>
        <w:rPr>
          <w:szCs w:val="24"/>
          <w:highlight w:val="none"/>
        </w:rPr>
      </w:pPr>
      <w:r>
        <w:rPr>
          <w:rFonts w:hint="eastAsia"/>
          <w:szCs w:val="24"/>
          <w:highlight w:val="none"/>
        </w:rPr>
        <w:t>（3）进入清算程序，或被宣告破产，或其他丧失履约能力的情形；</w:t>
      </w:r>
    </w:p>
    <w:p w14:paraId="6DC3FC83">
      <w:pPr>
        <w:ind w:firstLine="480"/>
        <w:rPr>
          <w:szCs w:val="24"/>
          <w:highlight w:val="none"/>
        </w:rPr>
      </w:pPr>
      <w:r>
        <w:rPr>
          <w:rFonts w:hint="eastAsia"/>
          <w:szCs w:val="24"/>
          <w:highlight w:val="none"/>
        </w:rPr>
        <w:t>（4）在国家企业信用信息公示系统（http://www.gsxt.gov.cn/）中被列入严重违法失信企业名单；</w:t>
      </w:r>
    </w:p>
    <w:p w14:paraId="251A4448">
      <w:pPr>
        <w:ind w:firstLine="480"/>
        <w:rPr>
          <w:szCs w:val="24"/>
          <w:highlight w:val="none"/>
        </w:rPr>
      </w:pPr>
      <w:r>
        <w:rPr>
          <w:rFonts w:hint="eastAsia"/>
          <w:szCs w:val="24"/>
          <w:highlight w:val="none"/>
        </w:rPr>
        <w:t>（5）在“信用中国”网站（http://www.creditchina.gov.cn/）中被列入失信被执行人名单；</w:t>
      </w:r>
    </w:p>
    <w:p w14:paraId="744BF59A">
      <w:pPr>
        <w:ind w:firstLine="480"/>
        <w:rPr>
          <w:szCs w:val="24"/>
          <w:highlight w:val="none"/>
        </w:rPr>
      </w:pPr>
      <w:r>
        <w:rPr>
          <w:rFonts w:hint="eastAsia"/>
          <w:szCs w:val="24"/>
          <w:highlight w:val="none"/>
        </w:rPr>
        <w:t>（6）在“信用中国”网站（http://www.creditchina.gov.cn/）中被列入重大税收违法案件当事人名单；</w:t>
      </w:r>
    </w:p>
    <w:p w14:paraId="022D3D27">
      <w:pPr>
        <w:ind w:firstLine="480"/>
        <w:rPr>
          <w:szCs w:val="24"/>
          <w:highlight w:val="none"/>
        </w:rPr>
      </w:pPr>
      <w:r>
        <w:rPr>
          <w:rFonts w:hint="eastAsia"/>
          <w:szCs w:val="24"/>
          <w:highlight w:val="none"/>
        </w:rPr>
        <w:t>（7）供应商被设区的市级及以上建设行政主管部门/房屋建筑和市政基础设施工程招标投标活动的监督部门因安全生产责任事故限制本次磋商项目工程所在地或公共资源交易平台所在地承接新的工程项目且在限制期内。</w:t>
      </w:r>
    </w:p>
    <w:p w14:paraId="70C3623E">
      <w:pPr>
        <w:ind w:firstLine="480"/>
        <w:rPr>
          <w:szCs w:val="24"/>
          <w:highlight w:val="none"/>
        </w:rPr>
      </w:pPr>
      <w:r>
        <w:rPr>
          <w:rFonts w:hint="eastAsia"/>
          <w:szCs w:val="24"/>
          <w:highlight w:val="none"/>
        </w:rPr>
        <w:t>本单位对上述声明的真实性负责。如有虚假，将依法承担相应责任。</w:t>
      </w:r>
    </w:p>
    <w:p w14:paraId="70B6E9AA">
      <w:pPr>
        <w:ind w:firstLine="480"/>
        <w:rPr>
          <w:szCs w:val="24"/>
          <w:highlight w:val="none"/>
        </w:rPr>
      </w:pPr>
    </w:p>
    <w:p w14:paraId="7E46F5E2">
      <w:pPr>
        <w:ind w:firstLine="560"/>
        <w:jc w:val="right"/>
        <w:rPr>
          <w:sz w:val="28"/>
          <w:szCs w:val="28"/>
          <w:highlight w:val="none"/>
        </w:rPr>
      </w:pPr>
    </w:p>
    <w:p w14:paraId="70C8D9D0">
      <w:pPr>
        <w:ind w:left="5280" w:leftChars="2200" w:firstLine="480"/>
        <w:jc w:val="left"/>
        <w:rPr>
          <w:szCs w:val="24"/>
          <w:highlight w:val="none"/>
        </w:rPr>
      </w:pPr>
      <w:r>
        <w:rPr>
          <w:rFonts w:hint="eastAsia"/>
          <w:szCs w:val="24"/>
          <w:highlight w:val="none"/>
        </w:rPr>
        <w:t>供应商电子签章：</w:t>
      </w:r>
      <w:r>
        <w:rPr>
          <w:rFonts w:hint="eastAsia"/>
          <w:szCs w:val="24"/>
          <w:highlight w:val="none"/>
          <w:u w:val="single"/>
          <w:lang w:val="en-US" w:eastAsia="zh-CN"/>
        </w:rPr>
        <w:t xml:space="preserve">        </w:t>
      </w:r>
      <w:r>
        <w:rPr>
          <w:rFonts w:hint="eastAsia"/>
          <w:szCs w:val="24"/>
          <w:highlight w:val="none"/>
        </w:rPr>
        <w:t xml:space="preserve">                     </w:t>
      </w:r>
    </w:p>
    <w:p w14:paraId="57130116">
      <w:pPr>
        <w:ind w:left="5280" w:leftChars="2200" w:firstLine="480"/>
        <w:jc w:val="left"/>
        <w:rPr>
          <w:rFonts w:asciiTheme="minorEastAsia" w:hAnsiTheme="minorEastAsia" w:eastAsiaTheme="minorEastAsia"/>
          <w:b/>
          <w:highlight w:val="none"/>
        </w:rPr>
      </w:pPr>
      <w:r>
        <w:rPr>
          <w:rFonts w:hint="eastAsia"/>
          <w:szCs w:val="24"/>
          <w:highlight w:val="none"/>
        </w:rPr>
        <w:t>日期：</w:t>
      </w:r>
      <w:r>
        <w:rPr>
          <w:rFonts w:hint="eastAsia"/>
          <w:szCs w:val="24"/>
          <w:highlight w:val="none"/>
          <w:u w:val="single"/>
          <w:lang w:val="en-US" w:eastAsia="zh-CN"/>
        </w:rPr>
        <w:t xml:space="preserve">                </w:t>
      </w:r>
      <w:r>
        <w:rPr>
          <w:rFonts w:hint="eastAsia" w:asciiTheme="minorEastAsia" w:hAnsiTheme="minorEastAsia" w:eastAsiaTheme="minorEastAsia"/>
          <w:b/>
          <w:szCs w:val="24"/>
          <w:highlight w:val="none"/>
        </w:rPr>
        <w:t xml:space="preserve">                 </w:t>
      </w:r>
      <w:r>
        <w:rPr>
          <w:rFonts w:hint="eastAsia" w:asciiTheme="minorEastAsia" w:hAnsiTheme="minorEastAsia" w:eastAsiaTheme="minorEastAsia"/>
          <w:b/>
          <w:highlight w:val="none"/>
        </w:rPr>
        <w:t xml:space="preserve">    </w:t>
      </w:r>
    </w:p>
    <w:p w14:paraId="5E46045B">
      <w:pPr>
        <w:widowControl/>
        <w:ind w:firstLine="482"/>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bookmarkEnd w:id="36"/>
    <w:p w14:paraId="2FD64CC7">
      <w:pPr>
        <w:ind w:firstLine="482"/>
        <w:jc w:val="center"/>
        <w:outlineLvl w:val="2"/>
        <w:rPr>
          <w:rFonts w:asciiTheme="minorEastAsia" w:hAnsiTheme="minorEastAsia" w:eastAsiaTheme="minorEastAsia"/>
          <w:b/>
          <w:highlight w:val="none"/>
        </w:rPr>
      </w:pPr>
      <w:bookmarkStart w:id="37" w:name="_Toc121626298"/>
      <w:bookmarkStart w:id="38" w:name="_Toc520983594"/>
      <w:bookmarkStart w:id="39" w:name="_Toc204594911"/>
      <w:bookmarkStart w:id="40" w:name="_Toc516969106"/>
      <w:r>
        <w:rPr>
          <w:rFonts w:hint="eastAsia" w:asciiTheme="minorEastAsia" w:hAnsiTheme="minorEastAsia" w:eastAsiaTheme="minorEastAsia"/>
          <w:b/>
          <w:highlight w:val="none"/>
        </w:rPr>
        <w:t>五、授权书</w:t>
      </w:r>
      <w:bookmarkEnd w:id="37"/>
      <w:bookmarkEnd w:id="38"/>
      <w:bookmarkEnd w:id="39"/>
      <w:bookmarkEnd w:id="40"/>
    </w:p>
    <w:p w14:paraId="19551317">
      <w:pPr>
        <w:ind w:firstLine="482"/>
        <w:jc w:val="center"/>
        <w:rPr>
          <w:rFonts w:asciiTheme="minorEastAsia" w:hAnsiTheme="minorEastAsia" w:eastAsiaTheme="minorEastAsia"/>
          <w:b/>
          <w:highlight w:val="none"/>
        </w:rPr>
      </w:pPr>
    </w:p>
    <w:p w14:paraId="62067113">
      <w:pPr>
        <w:pStyle w:val="7"/>
        <w:snapToGrid w:val="0"/>
        <w:ind w:firstLine="480"/>
        <w:jc w:val="left"/>
        <w:rPr>
          <w:rFonts w:hAnsi="宋体" w:eastAsia="宋体"/>
          <w:szCs w:val="28"/>
          <w:highlight w:val="none"/>
        </w:rPr>
      </w:pPr>
      <w:r>
        <w:rPr>
          <w:rFonts w:hint="eastAsia" w:hAnsi="宋体" w:eastAsia="宋体"/>
          <w:szCs w:val="28"/>
          <w:highlight w:val="none"/>
        </w:rPr>
        <w:t>本授权书声明：</w:t>
      </w:r>
      <w:r>
        <w:rPr>
          <w:rFonts w:hint="eastAsia" w:hAnsi="宋体" w:eastAsia="宋体"/>
          <w:szCs w:val="28"/>
          <w:highlight w:val="none"/>
          <w:u w:val="single"/>
        </w:rPr>
        <w:t xml:space="preserve">           </w:t>
      </w:r>
      <w:r>
        <w:rPr>
          <w:rFonts w:hint="eastAsia" w:hAnsi="宋体" w:eastAsia="宋体"/>
          <w:szCs w:val="28"/>
          <w:highlight w:val="none"/>
        </w:rPr>
        <w:t>（供应商名称）授权</w:t>
      </w:r>
      <w:r>
        <w:rPr>
          <w:rFonts w:hint="eastAsia" w:hAnsi="宋体" w:eastAsia="宋体"/>
          <w:szCs w:val="28"/>
          <w:highlight w:val="none"/>
          <w:u w:val="single"/>
        </w:rPr>
        <w:t xml:space="preserve">       </w:t>
      </w:r>
      <w:r>
        <w:rPr>
          <w:rFonts w:hint="eastAsia" w:hAnsi="宋体" w:eastAsia="宋体"/>
          <w:szCs w:val="28"/>
          <w:highlight w:val="none"/>
        </w:rPr>
        <w:t>（供应商授权代表姓名）代表我方参加本项目</w:t>
      </w:r>
      <w:r>
        <w:rPr>
          <w:rFonts w:hint="eastAsia" w:hAnsi="宋体" w:eastAsia="宋体"/>
          <w:bCs/>
          <w:szCs w:val="28"/>
          <w:highlight w:val="none"/>
        </w:rPr>
        <w:t>磋商活动</w:t>
      </w:r>
      <w:r>
        <w:rPr>
          <w:rFonts w:hint="eastAsia" w:hAnsi="宋体" w:eastAsia="宋体"/>
          <w:szCs w:val="28"/>
          <w:highlight w:val="none"/>
        </w:rPr>
        <w:t>，全权代表我方处理磋商过程的一切事宜，包括但不限于：提交响应文件、参与磋商、签约等。供应商授权代表在磋商活动过程中所签署的一切文件和处理与之有关的一切事务，本公司均予以认可并对此承担责任。供应商授权代表无转委托权。特此授权。</w:t>
      </w:r>
    </w:p>
    <w:p w14:paraId="72153FBC">
      <w:pPr>
        <w:pStyle w:val="7"/>
        <w:snapToGrid w:val="0"/>
        <w:ind w:firstLine="480"/>
        <w:jc w:val="left"/>
        <w:rPr>
          <w:rFonts w:hAnsi="宋体" w:eastAsia="宋体"/>
          <w:szCs w:val="28"/>
          <w:highlight w:val="none"/>
        </w:rPr>
      </w:pPr>
      <w:r>
        <w:rPr>
          <w:rFonts w:hint="eastAsia" w:hAnsi="宋体" w:eastAsia="宋体"/>
          <w:szCs w:val="28"/>
          <w:highlight w:val="none"/>
        </w:rPr>
        <w:t>本授权书自出具之日起生效。</w:t>
      </w:r>
    </w:p>
    <w:p w14:paraId="49B22CC2">
      <w:pPr>
        <w:pStyle w:val="7"/>
        <w:snapToGrid w:val="0"/>
        <w:ind w:firstLine="480"/>
        <w:jc w:val="left"/>
        <w:rPr>
          <w:rFonts w:hAnsi="宋体" w:eastAsia="宋体"/>
          <w:highlight w:val="none"/>
        </w:rPr>
      </w:pPr>
      <w:r>
        <w:rPr>
          <w:rFonts w:hint="eastAsia" w:ascii="宋体" w:hAnsi="宋体" w:eastAsia="宋体" w:cs="宋体"/>
          <w:sz w:val="24"/>
          <w:szCs w:val="28"/>
          <w:highlight w:val="none"/>
        </w:rPr>
        <w:t>授权代表</w:t>
      </w:r>
      <w:r>
        <w:rPr>
          <w:rFonts w:hint="eastAsia" w:ascii="宋体" w:hAnsi="宋体" w:eastAsia="宋体" w:cs="宋体"/>
          <w:sz w:val="24"/>
          <w:highlight w:val="none"/>
        </w:rPr>
        <w:t>身份证明扫描件：</w:t>
      </w:r>
    </w:p>
    <w:p w14:paraId="76375FF4">
      <w:pPr>
        <w:pStyle w:val="7"/>
        <w:snapToGrid w:val="0"/>
        <w:ind w:firstLine="480"/>
        <w:jc w:val="left"/>
        <w:rPr>
          <w:rFonts w:hAnsi="宋体" w:eastAsia="宋体"/>
          <w:highlight w:val="none"/>
        </w:rPr>
      </w:pPr>
    </w:p>
    <w:p w14:paraId="53F5473D">
      <w:pPr>
        <w:pStyle w:val="7"/>
        <w:snapToGrid w:val="0"/>
        <w:ind w:firstLine="480"/>
        <w:jc w:val="left"/>
        <w:rPr>
          <w:rFonts w:hAnsi="宋体" w:eastAsia="宋体"/>
          <w:highlight w:val="none"/>
        </w:rPr>
      </w:pPr>
    </w:p>
    <w:p w14:paraId="2B6703ED">
      <w:pPr>
        <w:pStyle w:val="7"/>
        <w:snapToGrid w:val="0"/>
        <w:ind w:firstLine="480"/>
        <w:jc w:val="left"/>
        <w:rPr>
          <w:rFonts w:hAnsi="宋体" w:eastAsia="宋体"/>
          <w:highlight w:val="none"/>
        </w:rPr>
      </w:pPr>
    </w:p>
    <w:p w14:paraId="37E1D462">
      <w:pPr>
        <w:pStyle w:val="7"/>
        <w:snapToGrid w:val="0"/>
        <w:ind w:firstLine="480"/>
        <w:jc w:val="left"/>
        <w:rPr>
          <w:rFonts w:hAnsi="宋体" w:eastAsia="宋体"/>
          <w:highlight w:val="none"/>
        </w:rPr>
      </w:pPr>
    </w:p>
    <w:p w14:paraId="06C596CE">
      <w:pPr>
        <w:pStyle w:val="7"/>
        <w:snapToGrid w:val="0"/>
        <w:ind w:firstLine="480"/>
        <w:jc w:val="left"/>
        <w:rPr>
          <w:rFonts w:hAnsi="宋体" w:eastAsia="宋体"/>
          <w:szCs w:val="28"/>
          <w:highlight w:val="none"/>
          <w:u w:val="single"/>
        </w:rPr>
      </w:pPr>
      <w:r>
        <w:rPr>
          <w:rFonts w:hint="eastAsia" w:hAnsi="宋体" w:eastAsia="宋体"/>
          <w:szCs w:val="28"/>
          <w:highlight w:val="none"/>
        </w:rPr>
        <w:t>授权代表联系方式：</w:t>
      </w:r>
      <w:r>
        <w:rPr>
          <w:rFonts w:hint="eastAsia" w:hAnsi="宋体" w:eastAsia="宋体"/>
          <w:szCs w:val="28"/>
          <w:highlight w:val="none"/>
          <w:u w:val="single"/>
        </w:rPr>
        <w:t xml:space="preserve">          （请填写手机号码）</w:t>
      </w:r>
    </w:p>
    <w:p w14:paraId="5288545B">
      <w:pPr>
        <w:pStyle w:val="7"/>
        <w:snapToGrid w:val="0"/>
        <w:ind w:firstLine="480"/>
        <w:jc w:val="left"/>
        <w:rPr>
          <w:rFonts w:hAnsi="宋体" w:eastAsia="宋体"/>
          <w:szCs w:val="28"/>
          <w:highlight w:val="none"/>
        </w:rPr>
      </w:pPr>
    </w:p>
    <w:p w14:paraId="1D2C0991">
      <w:pPr>
        <w:ind w:firstLine="360" w:firstLineChars="150"/>
        <w:rPr>
          <w:szCs w:val="28"/>
          <w:highlight w:val="none"/>
        </w:rPr>
      </w:pPr>
      <w:r>
        <w:rPr>
          <w:rFonts w:hint="eastAsia"/>
          <w:szCs w:val="28"/>
          <w:highlight w:val="none"/>
        </w:rPr>
        <w:t>特此声明。</w:t>
      </w:r>
    </w:p>
    <w:p w14:paraId="0DE81614">
      <w:pPr>
        <w:ind w:firstLine="480"/>
        <w:rPr>
          <w:szCs w:val="28"/>
          <w:highlight w:val="none"/>
        </w:rPr>
      </w:pPr>
    </w:p>
    <w:p w14:paraId="32C40071">
      <w:pPr>
        <w:ind w:firstLine="480"/>
        <w:rPr>
          <w:bCs/>
          <w:szCs w:val="28"/>
          <w:highlight w:val="none"/>
        </w:rPr>
      </w:pPr>
      <w:r>
        <w:rPr>
          <w:rFonts w:hint="eastAsia" w:cs="@仿宋_GB2312"/>
          <w:kern w:val="2"/>
          <w:szCs w:val="24"/>
          <w:highlight w:val="none"/>
        </w:rPr>
        <w:t>供应商电子签章或公章</w:t>
      </w:r>
      <w:r>
        <w:rPr>
          <w:rFonts w:hint="eastAsia"/>
          <w:bCs/>
          <w:szCs w:val="28"/>
          <w:highlight w:val="none"/>
        </w:rPr>
        <w:t>：</w:t>
      </w:r>
      <w:r>
        <w:rPr>
          <w:rFonts w:hint="eastAsia"/>
          <w:bCs/>
          <w:szCs w:val="28"/>
          <w:highlight w:val="none"/>
          <w:u w:val="single"/>
        </w:rPr>
        <w:t xml:space="preserve">                    </w:t>
      </w:r>
    </w:p>
    <w:p w14:paraId="5FF947F8">
      <w:pPr>
        <w:ind w:firstLine="480"/>
        <w:rPr>
          <w:szCs w:val="28"/>
          <w:highlight w:val="none"/>
        </w:rPr>
      </w:pPr>
      <w:r>
        <w:rPr>
          <w:rFonts w:hint="eastAsia"/>
          <w:szCs w:val="28"/>
          <w:highlight w:val="none"/>
        </w:rPr>
        <w:t>日      期：</w:t>
      </w:r>
      <w:r>
        <w:rPr>
          <w:rFonts w:hint="eastAsia"/>
          <w:szCs w:val="28"/>
          <w:highlight w:val="none"/>
          <w:u w:val="single"/>
        </w:rPr>
        <w:t xml:space="preserve">          </w:t>
      </w:r>
      <w:r>
        <w:rPr>
          <w:rFonts w:hint="eastAsia"/>
          <w:szCs w:val="28"/>
          <w:highlight w:val="none"/>
          <w:u w:val="single"/>
          <w:lang w:val="en-US" w:eastAsia="zh-CN"/>
        </w:rPr>
        <w:t xml:space="preserve">          </w:t>
      </w:r>
      <w:r>
        <w:rPr>
          <w:rFonts w:hint="eastAsia"/>
          <w:szCs w:val="28"/>
          <w:highlight w:val="none"/>
          <w:u w:val="single"/>
        </w:rPr>
        <w:t xml:space="preserve">          </w:t>
      </w:r>
    </w:p>
    <w:p w14:paraId="7F2FFDCA">
      <w:pPr>
        <w:ind w:firstLine="480"/>
        <w:rPr>
          <w:szCs w:val="28"/>
          <w:highlight w:val="none"/>
        </w:rPr>
      </w:pPr>
    </w:p>
    <w:p w14:paraId="70E7682B">
      <w:pPr>
        <w:ind w:firstLine="480"/>
        <w:rPr>
          <w:szCs w:val="28"/>
          <w:highlight w:val="none"/>
        </w:rPr>
      </w:pPr>
    </w:p>
    <w:p w14:paraId="5A5DD817">
      <w:pPr>
        <w:pStyle w:val="7"/>
        <w:snapToGrid w:val="0"/>
        <w:ind w:firstLine="480"/>
        <w:jc w:val="left"/>
        <w:rPr>
          <w:rFonts w:hAnsi="宋体" w:eastAsia="宋体"/>
          <w:szCs w:val="28"/>
          <w:highlight w:val="none"/>
        </w:rPr>
      </w:pPr>
      <w:r>
        <w:rPr>
          <w:rFonts w:hint="eastAsia" w:hAnsi="宋体" w:eastAsia="宋体"/>
          <w:szCs w:val="28"/>
          <w:highlight w:val="none"/>
        </w:rPr>
        <w:t>注：</w:t>
      </w:r>
    </w:p>
    <w:p w14:paraId="1B5B2E9B">
      <w:pPr>
        <w:pStyle w:val="7"/>
        <w:snapToGrid w:val="0"/>
        <w:ind w:firstLine="480"/>
        <w:jc w:val="left"/>
        <w:rPr>
          <w:rFonts w:hAnsi="宋体" w:eastAsia="宋体"/>
          <w:szCs w:val="28"/>
          <w:highlight w:val="none"/>
        </w:rPr>
      </w:pPr>
      <w:r>
        <w:rPr>
          <w:rFonts w:hint="eastAsia" w:hAnsi="宋体" w:eastAsia="宋体"/>
          <w:szCs w:val="28"/>
          <w:highlight w:val="none"/>
        </w:rPr>
        <w:t>1.本项目只允许有唯一的供应商授权代表；</w:t>
      </w:r>
    </w:p>
    <w:p w14:paraId="33642615">
      <w:pPr>
        <w:ind w:firstLine="480"/>
        <w:jc w:val="left"/>
        <w:rPr>
          <w:highlight w:val="none"/>
        </w:rPr>
      </w:pPr>
      <w:r>
        <w:rPr>
          <w:rFonts w:hint="eastAsia"/>
          <w:highlight w:val="none"/>
        </w:rPr>
        <w:t>2.法定代表人参加磋商的无需提供授权书，仅提供法定代表人身份证明书。</w:t>
      </w:r>
    </w:p>
    <w:p w14:paraId="56CC3EE3">
      <w:pPr>
        <w:widowControl/>
        <w:ind w:firstLine="480"/>
        <w:jc w:val="left"/>
        <w:rPr>
          <w:highlight w:val="none"/>
        </w:rPr>
      </w:pPr>
      <w:r>
        <w:rPr>
          <w:highlight w:val="none"/>
        </w:rPr>
        <w:br w:type="page"/>
      </w:r>
    </w:p>
    <w:p w14:paraId="46C20177">
      <w:pPr>
        <w:keepNext/>
        <w:keepLines/>
        <w:spacing w:before="260" w:after="260" w:line="416" w:lineRule="auto"/>
        <w:ind w:firstLine="482"/>
        <w:jc w:val="center"/>
        <w:outlineLvl w:val="2"/>
        <w:rPr>
          <w:rFonts w:cs="@仿宋_GB2312" w:asciiTheme="minorEastAsia" w:hAnsiTheme="minorEastAsia" w:eastAsiaTheme="minorEastAsia"/>
          <w:b/>
          <w:bCs/>
          <w:kern w:val="2"/>
          <w:szCs w:val="24"/>
          <w:highlight w:val="none"/>
        </w:rPr>
      </w:pPr>
      <w:r>
        <w:rPr>
          <w:rFonts w:hint="eastAsia" w:cs="@仿宋_GB2312" w:asciiTheme="minorEastAsia" w:hAnsiTheme="minorEastAsia" w:eastAsiaTheme="minorEastAsia"/>
          <w:b/>
          <w:bCs/>
          <w:kern w:val="2"/>
          <w:szCs w:val="24"/>
          <w:highlight w:val="none"/>
        </w:rPr>
        <w:t>六、法定代表人身份证明书</w:t>
      </w:r>
    </w:p>
    <w:p w14:paraId="2164E127">
      <w:pPr>
        <w:autoSpaceDE w:val="0"/>
        <w:autoSpaceDN w:val="0"/>
        <w:adjustRightInd w:val="0"/>
        <w:ind w:firstLine="413"/>
        <w:jc w:val="center"/>
        <w:rPr>
          <w:rFonts w:ascii="@仿宋_GB2312" w:eastAsia="@仿宋_GB2312" w:cs="宋体"/>
          <w:b/>
          <w:kern w:val="2"/>
          <w:sz w:val="21"/>
          <w:szCs w:val="24"/>
          <w:highlight w:val="none"/>
          <w:lang w:val="zh-CN"/>
        </w:rPr>
      </w:pPr>
    </w:p>
    <w:p w14:paraId="266810C1">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单位名称：</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54AAC7E9">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单位性质：</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72D4FF07">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地    址：</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550C6731">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成立时间：</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年</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月</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日</w:t>
      </w:r>
    </w:p>
    <w:p w14:paraId="67C2D393">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经营期限：</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1982E97C">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姓    名：</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性 </w:t>
      </w:r>
      <w:r>
        <w:rPr>
          <w:rFonts w:ascii="Calibri" w:hAnsi="Calibri" w:cs="Times New Roman"/>
          <w:kern w:val="2"/>
          <w:szCs w:val="28"/>
          <w:highlight w:val="none"/>
        </w:rPr>
        <w:t xml:space="preserve">  </w:t>
      </w:r>
      <w:r>
        <w:rPr>
          <w:rFonts w:hint="eastAsia" w:ascii="Calibri" w:hAnsi="Calibri" w:cs="Times New Roman"/>
          <w:kern w:val="2"/>
          <w:szCs w:val="28"/>
          <w:highlight w:val="none"/>
        </w:rPr>
        <w:t xml:space="preserve"> 别：</w:t>
      </w:r>
      <w:r>
        <w:rPr>
          <w:rFonts w:hint="eastAsia" w:ascii="Calibri" w:hAnsi="Calibri" w:cs="Times New Roman"/>
          <w:kern w:val="2"/>
          <w:szCs w:val="28"/>
          <w:highlight w:val="none"/>
          <w:u w:val="single"/>
        </w:rPr>
        <w:t xml:space="preserve">             </w:t>
      </w:r>
    </w:p>
    <w:p w14:paraId="2B6AFD03">
      <w:pPr>
        <w:snapToGrid w:val="0"/>
        <w:ind w:firstLine="480"/>
        <w:jc w:val="left"/>
        <w:rPr>
          <w:rFonts w:ascii="Calibri" w:hAnsi="Calibri" w:cs="Times New Roman"/>
          <w:kern w:val="2"/>
          <w:szCs w:val="28"/>
          <w:highlight w:val="none"/>
          <w:u w:val="single"/>
        </w:rPr>
      </w:pPr>
      <w:r>
        <w:rPr>
          <w:rFonts w:hint="eastAsia" w:ascii="Calibri" w:hAnsi="Calibri" w:cs="Times New Roman"/>
          <w:kern w:val="2"/>
          <w:szCs w:val="28"/>
          <w:highlight w:val="none"/>
        </w:rPr>
        <w:t>年    龄：</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职    务：</w:t>
      </w:r>
      <w:r>
        <w:rPr>
          <w:rFonts w:hint="eastAsia" w:ascii="Calibri" w:hAnsi="Calibri" w:cs="Times New Roman"/>
          <w:kern w:val="2"/>
          <w:szCs w:val="28"/>
          <w:highlight w:val="none"/>
          <w:u w:val="single"/>
        </w:rPr>
        <w:t xml:space="preserve">             </w:t>
      </w:r>
    </w:p>
    <w:p w14:paraId="098DB17F">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联系</w:t>
      </w:r>
      <w:r>
        <w:rPr>
          <w:rFonts w:ascii="Calibri" w:hAnsi="Calibri" w:cs="Times New Roman"/>
          <w:kern w:val="2"/>
          <w:szCs w:val="28"/>
          <w:highlight w:val="none"/>
        </w:rPr>
        <w:t>电话</w:t>
      </w:r>
      <w:r>
        <w:rPr>
          <w:rFonts w:hint="eastAsia" w:ascii="Calibri" w:hAnsi="Calibri" w:cs="Times New Roman"/>
          <w:kern w:val="2"/>
          <w:szCs w:val="28"/>
          <w:highlight w:val="none"/>
        </w:rPr>
        <w:t>：</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手机号码：</w:t>
      </w:r>
      <w:r>
        <w:rPr>
          <w:rFonts w:hint="eastAsia" w:ascii="Calibri" w:hAnsi="Calibri" w:cs="Times New Roman"/>
          <w:kern w:val="2"/>
          <w:szCs w:val="28"/>
          <w:highlight w:val="none"/>
          <w:u w:val="single"/>
        </w:rPr>
        <w:t xml:space="preserve">             </w:t>
      </w:r>
    </w:p>
    <w:p w14:paraId="78E22DF1">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系  </w:t>
      </w:r>
      <w:r>
        <w:rPr>
          <w:rFonts w:hint="eastAsia" w:ascii="Calibri" w:hAnsi="Calibri" w:cs="Times New Roman"/>
          <w:kern w:val="2"/>
          <w:szCs w:val="28"/>
          <w:highlight w:val="none"/>
          <w:u w:val="single"/>
        </w:rPr>
        <w:t xml:space="preserve">   （供应商单位名称）       </w:t>
      </w:r>
      <w:r>
        <w:rPr>
          <w:rFonts w:hint="eastAsia" w:ascii="Calibri" w:hAnsi="Calibri" w:cs="Times New Roman"/>
          <w:kern w:val="2"/>
          <w:szCs w:val="28"/>
          <w:highlight w:val="none"/>
        </w:rPr>
        <w:t>的法定代表人。</w:t>
      </w:r>
    </w:p>
    <w:p w14:paraId="53E883B8">
      <w:pPr>
        <w:spacing w:before="62" w:beforeLines="20" w:after="62" w:afterLines="20" w:line="540" w:lineRule="exact"/>
        <w:ind w:firstLine="480"/>
        <w:rPr>
          <w:rFonts w:ascii="@仿宋_GB2312" w:hAnsi="Calibri" w:eastAsia="@仿宋_GB2312" w:cs="宋体"/>
          <w:kern w:val="2"/>
          <w:szCs w:val="24"/>
          <w:highlight w:val="none"/>
        </w:rPr>
      </w:pPr>
    </w:p>
    <w:p w14:paraId="62CB37D5">
      <w:pPr>
        <w:spacing w:before="62" w:beforeLines="20" w:after="62" w:afterLines="20" w:line="540" w:lineRule="exact"/>
        <w:ind w:left="480" w:leftChars="200" w:firstLine="240" w:firstLineChars="100"/>
        <w:rPr>
          <w:rFonts w:ascii="Calibri" w:hAnsi="Calibri" w:cs="宋体"/>
          <w:kern w:val="2"/>
          <w:szCs w:val="24"/>
          <w:highlight w:val="none"/>
        </w:rPr>
      </w:pPr>
      <w:r>
        <w:rPr>
          <w:rFonts w:hint="eastAsia" w:ascii="Calibri" w:hAnsi="Calibri" w:cs="宋体"/>
          <w:kern w:val="2"/>
          <w:szCs w:val="24"/>
          <w:highlight w:val="none"/>
        </w:rPr>
        <w:t>特此证明。</w:t>
      </w:r>
    </w:p>
    <w:p w14:paraId="099CB26A">
      <w:pPr>
        <w:tabs>
          <w:tab w:val="left" w:pos="720"/>
          <w:tab w:val="left" w:pos="900"/>
        </w:tabs>
        <w:spacing w:before="62" w:beforeLines="20" w:after="62" w:afterLines="20" w:line="540" w:lineRule="exact"/>
        <w:ind w:firstLine="480"/>
        <w:rPr>
          <w:rFonts w:ascii="Calibri" w:hAnsi="Calibri" w:cs="宋体"/>
          <w:kern w:val="2"/>
          <w:szCs w:val="24"/>
          <w:highlight w:val="none"/>
        </w:rPr>
      </w:pPr>
      <w:r>
        <w:rPr>
          <w:rFonts w:hint="eastAsia" w:ascii="Calibri" w:hAnsi="Calibri" w:cs="宋体"/>
          <w:kern w:val="2"/>
          <w:szCs w:val="24"/>
          <w:highlight w:val="none"/>
        </w:rPr>
        <w:t>附：法定代表人身份证扫描件</w:t>
      </w:r>
    </w:p>
    <w:p w14:paraId="5C648B25">
      <w:pPr>
        <w:tabs>
          <w:tab w:val="left" w:pos="720"/>
          <w:tab w:val="left" w:pos="900"/>
        </w:tabs>
        <w:spacing w:before="62" w:beforeLines="20" w:after="62" w:afterLines="20" w:line="540" w:lineRule="exact"/>
        <w:ind w:firstLine="480"/>
        <w:rPr>
          <w:rFonts w:ascii="@仿宋_GB2312" w:hAnsi="Calibri" w:eastAsia="@仿宋_GB2312" w:cs="宋体"/>
          <w:kern w:val="2"/>
          <w:szCs w:val="24"/>
          <w:highlight w:val="none"/>
        </w:rPr>
      </w:pPr>
    </w:p>
    <w:p w14:paraId="40217DB2">
      <w:pPr>
        <w:tabs>
          <w:tab w:val="left" w:pos="720"/>
          <w:tab w:val="left" w:pos="900"/>
        </w:tabs>
        <w:spacing w:before="62" w:beforeLines="20" w:after="62" w:afterLines="20" w:line="540" w:lineRule="exact"/>
        <w:ind w:firstLine="4560" w:firstLineChars="1900"/>
        <w:rPr>
          <w:rFonts w:ascii="@仿宋_GB2312" w:hAnsi="Calibri" w:eastAsia="@仿宋_GB2312" w:cs="宋体"/>
          <w:kern w:val="2"/>
          <w:szCs w:val="24"/>
          <w:highlight w:val="none"/>
        </w:rPr>
      </w:pPr>
    </w:p>
    <w:p w14:paraId="07A62F87">
      <w:pPr>
        <w:ind w:firstLine="3840" w:firstLineChars="1600"/>
        <w:rPr>
          <w:rFonts w:cs="宋体"/>
          <w:kern w:val="2"/>
          <w:szCs w:val="24"/>
          <w:highlight w:val="none"/>
        </w:rPr>
      </w:pPr>
      <w:r>
        <w:rPr>
          <w:rFonts w:hint="eastAsia" w:cs="@仿宋_GB2312"/>
          <w:kern w:val="2"/>
          <w:szCs w:val="24"/>
          <w:highlight w:val="none"/>
        </w:rPr>
        <w:t>供应商电子签章或公章</w:t>
      </w:r>
      <w:r>
        <w:rPr>
          <w:rFonts w:hint="eastAsia" w:cs="宋体"/>
          <w:kern w:val="2"/>
          <w:szCs w:val="24"/>
          <w:highlight w:val="none"/>
        </w:rPr>
        <w:t>：</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p>
    <w:p w14:paraId="147775C3">
      <w:pPr>
        <w:ind w:firstLine="3840" w:firstLineChars="1600"/>
        <w:rPr>
          <w:rFonts w:cs="宋体"/>
          <w:kern w:val="2"/>
          <w:szCs w:val="24"/>
          <w:highlight w:val="none"/>
        </w:rPr>
      </w:pPr>
      <w:r>
        <w:rPr>
          <w:rFonts w:hint="eastAsia" w:cs="宋体"/>
          <w:kern w:val="2"/>
          <w:szCs w:val="24"/>
          <w:highlight w:val="none"/>
        </w:rPr>
        <w:t>日</w:t>
      </w:r>
      <w:r>
        <w:rPr>
          <w:rFonts w:cs="宋体"/>
          <w:kern w:val="2"/>
          <w:szCs w:val="24"/>
          <w:highlight w:val="none"/>
        </w:rPr>
        <w:t xml:space="preserve">   </w:t>
      </w:r>
      <w:r>
        <w:rPr>
          <w:rFonts w:hint="eastAsia" w:cs="宋体"/>
          <w:kern w:val="2"/>
          <w:szCs w:val="24"/>
          <w:highlight w:val="none"/>
        </w:rPr>
        <w:t xml:space="preserve">    </w:t>
      </w:r>
      <w:r>
        <w:rPr>
          <w:rFonts w:cs="宋体"/>
          <w:kern w:val="2"/>
          <w:szCs w:val="24"/>
          <w:highlight w:val="none"/>
        </w:rPr>
        <w:t xml:space="preserve">   </w:t>
      </w:r>
      <w:r>
        <w:rPr>
          <w:rFonts w:hint="eastAsia" w:cs="宋体"/>
          <w:kern w:val="2"/>
          <w:szCs w:val="24"/>
          <w:highlight w:val="none"/>
        </w:rPr>
        <w:t>期：</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p>
    <w:p w14:paraId="5EE35C51">
      <w:pPr>
        <w:widowControl/>
        <w:ind w:firstLine="480"/>
        <w:jc w:val="left"/>
        <w:rPr>
          <w:rFonts w:cs="@仿宋_GB2312" w:asciiTheme="minorEastAsia" w:hAnsiTheme="minorEastAsia" w:eastAsiaTheme="minorEastAsia"/>
          <w:b/>
          <w:bCs/>
          <w:kern w:val="2"/>
          <w:szCs w:val="24"/>
          <w:highlight w:val="none"/>
        </w:rPr>
      </w:pPr>
      <w:r>
        <w:rPr>
          <w:rFonts w:cs="@仿宋_GB2312" w:asciiTheme="minorEastAsia" w:hAnsiTheme="minorEastAsia" w:eastAsiaTheme="minorEastAsia"/>
          <w:kern w:val="2"/>
          <w:szCs w:val="24"/>
          <w:highlight w:val="none"/>
        </w:rPr>
        <w:br w:type="page"/>
      </w:r>
    </w:p>
    <w:p w14:paraId="6A233A4C">
      <w:pPr>
        <w:keepNext/>
        <w:keepLines/>
        <w:spacing w:before="260" w:after="260" w:line="416" w:lineRule="auto"/>
        <w:ind w:firstLine="482"/>
        <w:jc w:val="center"/>
        <w:outlineLvl w:val="2"/>
        <w:rPr>
          <w:rFonts w:cs="@仿宋_GB2312" w:asciiTheme="minorEastAsia" w:hAnsiTheme="minorEastAsia" w:eastAsiaTheme="minorEastAsia"/>
          <w:b/>
          <w:bCs/>
          <w:kern w:val="2"/>
          <w:szCs w:val="24"/>
          <w:highlight w:val="none"/>
        </w:rPr>
      </w:pPr>
      <w:r>
        <w:rPr>
          <w:rFonts w:hint="eastAsia" w:cs="@仿宋_GB2312" w:asciiTheme="minorEastAsia" w:hAnsiTheme="minorEastAsia" w:eastAsiaTheme="minorEastAsia"/>
          <w:b/>
          <w:bCs/>
          <w:kern w:val="2"/>
          <w:szCs w:val="24"/>
          <w:highlight w:val="none"/>
        </w:rPr>
        <w:t>七、业绩及证明材料</w:t>
      </w:r>
    </w:p>
    <w:p w14:paraId="24D67E72">
      <w:pPr>
        <w:keepNext/>
        <w:keepLines/>
        <w:numPr>
          <w:ilvl w:val="0"/>
          <w:numId w:val="3"/>
        </w:numPr>
        <w:ind w:firstLine="480"/>
        <w:jc w:val="center"/>
        <w:rPr>
          <w:szCs w:val="24"/>
          <w:highlight w:val="none"/>
        </w:rPr>
      </w:pPr>
      <w:r>
        <w:rPr>
          <w:rFonts w:hint="eastAsia"/>
          <w:szCs w:val="24"/>
          <w:highlight w:val="none"/>
        </w:rPr>
        <w:t>业绩表</w:t>
      </w:r>
    </w:p>
    <w:p w14:paraId="0227CD45">
      <w:pPr>
        <w:keepNext/>
        <w:keepLines/>
        <w:ind w:firstLine="480"/>
        <w:jc w:val="center"/>
        <w:rPr>
          <w:szCs w:val="24"/>
          <w:highlight w:val="none"/>
        </w:rPr>
      </w:pPr>
      <w:r>
        <w:rPr>
          <w:rFonts w:hint="eastAsia"/>
          <w:szCs w:val="24"/>
          <w:highlight w:val="none"/>
        </w:rPr>
        <w:t>（格式仅供参考）</w:t>
      </w:r>
    </w:p>
    <w:p w14:paraId="76A6F605">
      <w:pPr>
        <w:ind w:firstLine="420"/>
        <w:rPr>
          <w:rFonts w:eastAsia="@仿宋_GB2312" w:cs="@仿宋_GB2312"/>
          <w:kern w:val="2"/>
          <w:sz w:val="21"/>
          <w:highlight w:val="none"/>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655"/>
        <w:gridCol w:w="1490"/>
        <w:gridCol w:w="1565"/>
        <w:gridCol w:w="1778"/>
        <w:gridCol w:w="1086"/>
      </w:tblGrid>
      <w:tr w14:paraId="0121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57" w:type="pct"/>
            <w:vAlign w:val="center"/>
          </w:tcPr>
          <w:p w14:paraId="09175462">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序号</w:t>
            </w:r>
          </w:p>
        </w:tc>
        <w:tc>
          <w:tcPr>
            <w:tcW w:w="971" w:type="pct"/>
            <w:vAlign w:val="center"/>
          </w:tcPr>
          <w:p w14:paraId="60188208">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项目名称</w:t>
            </w:r>
          </w:p>
        </w:tc>
        <w:tc>
          <w:tcPr>
            <w:tcW w:w="874" w:type="pct"/>
            <w:vAlign w:val="center"/>
          </w:tcPr>
          <w:p w14:paraId="5A097AEB">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项目内容</w:t>
            </w:r>
          </w:p>
        </w:tc>
        <w:tc>
          <w:tcPr>
            <w:tcW w:w="918" w:type="pct"/>
            <w:vAlign w:val="center"/>
          </w:tcPr>
          <w:p w14:paraId="68DDBE0E">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合同总金额</w:t>
            </w:r>
          </w:p>
        </w:tc>
        <w:tc>
          <w:tcPr>
            <w:tcW w:w="1043" w:type="pct"/>
            <w:vAlign w:val="center"/>
          </w:tcPr>
          <w:p w14:paraId="77F44512">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业绩合同甲方及联系电话</w:t>
            </w:r>
          </w:p>
        </w:tc>
        <w:tc>
          <w:tcPr>
            <w:tcW w:w="636" w:type="pct"/>
            <w:vAlign w:val="center"/>
          </w:tcPr>
          <w:p w14:paraId="31132E55">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备注</w:t>
            </w:r>
          </w:p>
        </w:tc>
      </w:tr>
      <w:tr w14:paraId="2A89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6"/>
            <w:vAlign w:val="center"/>
          </w:tcPr>
          <w:p w14:paraId="65AA8D11">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供应商初审业绩（资格门槛业绩，如有）</w:t>
            </w:r>
          </w:p>
        </w:tc>
      </w:tr>
      <w:tr w14:paraId="3802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791E6A17">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142DAF65">
            <w:pPr>
              <w:ind w:firstLine="0" w:firstLineChars="0"/>
              <w:rPr>
                <w:rFonts w:cs="宋体" w:asciiTheme="minorEastAsia" w:hAnsiTheme="minorEastAsia" w:eastAsiaTheme="minorEastAsia"/>
                <w:bCs/>
                <w:kern w:val="2"/>
                <w:szCs w:val="24"/>
                <w:highlight w:val="none"/>
              </w:rPr>
            </w:pPr>
          </w:p>
        </w:tc>
        <w:tc>
          <w:tcPr>
            <w:tcW w:w="874" w:type="pct"/>
            <w:vAlign w:val="center"/>
          </w:tcPr>
          <w:p w14:paraId="0E162AEC">
            <w:pPr>
              <w:ind w:firstLine="0" w:firstLineChars="0"/>
              <w:rPr>
                <w:rFonts w:cs="宋体" w:asciiTheme="minorEastAsia" w:hAnsiTheme="minorEastAsia" w:eastAsiaTheme="minorEastAsia"/>
                <w:bCs/>
                <w:kern w:val="2"/>
                <w:szCs w:val="24"/>
                <w:highlight w:val="none"/>
              </w:rPr>
            </w:pPr>
          </w:p>
        </w:tc>
        <w:tc>
          <w:tcPr>
            <w:tcW w:w="918" w:type="pct"/>
            <w:vAlign w:val="center"/>
          </w:tcPr>
          <w:p w14:paraId="574BAB87">
            <w:pPr>
              <w:ind w:firstLine="0" w:firstLineChars="0"/>
              <w:rPr>
                <w:rFonts w:cs="宋体" w:asciiTheme="minorEastAsia" w:hAnsiTheme="minorEastAsia" w:eastAsiaTheme="minorEastAsia"/>
                <w:bCs/>
                <w:kern w:val="2"/>
                <w:szCs w:val="24"/>
                <w:highlight w:val="none"/>
              </w:rPr>
            </w:pPr>
          </w:p>
        </w:tc>
        <w:tc>
          <w:tcPr>
            <w:tcW w:w="1043" w:type="pct"/>
            <w:vAlign w:val="center"/>
          </w:tcPr>
          <w:p w14:paraId="77C33040">
            <w:pPr>
              <w:ind w:firstLine="0" w:firstLineChars="0"/>
              <w:rPr>
                <w:rFonts w:cs="宋体" w:asciiTheme="minorEastAsia" w:hAnsiTheme="minorEastAsia" w:eastAsiaTheme="minorEastAsia"/>
                <w:bCs/>
                <w:kern w:val="2"/>
                <w:szCs w:val="24"/>
                <w:highlight w:val="none"/>
              </w:rPr>
            </w:pPr>
          </w:p>
        </w:tc>
        <w:tc>
          <w:tcPr>
            <w:tcW w:w="636" w:type="pct"/>
            <w:vAlign w:val="center"/>
          </w:tcPr>
          <w:p w14:paraId="3363B434">
            <w:pPr>
              <w:ind w:firstLine="0" w:firstLineChars="0"/>
              <w:rPr>
                <w:rFonts w:cs="宋体" w:asciiTheme="minorEastAsia" w:hAnsiTheme="minorEastAsia" w:eastAsiaTheme="minorEastAsia"/>
                <w:bCs/>
                <w:kern w:val="2"/>
                <w:szCs w:val="24"/>
                <w:highlight w:val="none"/>
              </w:rPr>
            </w:pPr>
          </w:p>
        </w:tc>
      </w:tr>
      <w:tr w14:paraId="5494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84552F5">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项目负责人初审业绩（资格门槛业绩，如有）</w:t>
            </w:r>
          </w:p>
        </w:tc>
      </w:tr>
      <w:tr w14:paraId="55E5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00908785">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532336A0">
            <w:pPr>
              <w:ind w:firstLine="0" w:firstLineChars="0"/>
              <w:rPr>
                <w:rFonts w:cs="宋体" w:asciiTheme="minorEastAsia" w:hAnsiTheme="minorEastAsia" w:eastAsiaTheme="minorEastAsia"/>
                <w:bCs/>
                <w:kern w:val="2"/>
                <w:szCs w:val="24"/>
                <w:highlight w:val="none"/>
              </w:rPr>
            </w:pPr>
          </w:p>
        </w:tc>
        <w:tc>
          <w:tcPr>
            <w:tcW w:w="874" w:type="pct"/>
            <w:vAlign w:val="center"/>
          </w:tcPr>
          <w:p w14:paraId="2BBFFADA">
            <w:pPr>
              <w:ind w:firstLine="0" w:firstLineChars="0"/>
              <w:rPr>
                <w:rFonts w:cs="宋体" w:asciiTheme="minorEastAsia" w:hAnsiTheme="minorEastAsia" w:eastAsiaTheme="minorEastAsia"/>
                <w:bCs/>
                <w:kern w:val="2"/>
                <w:szCs w:val="24"/>
                <w:highlight w:val="none"/>
              </w:rPr>
            </w:pPr>
          </w:p>
        </w:tc>
        <w:tc>
          <w:tcPr>
            <w:tcW w:w="918" w:type="pct"/>
            <w:vAlign w:val="center"/>
          </w:tcPr>
          <w:p w14:paraId="70A37F93">
            <w:pPr>
              <w:ind w:firstLine="0" w:firstLineChars="0"/>
              <w:rPr>
                <w:rFonts w:cs="宋体" w:asciiTheme="minorEastAsia" w:hAnsiTheme="minorEastAsia" w:eastAsiaTheme="minorEastAsia"/>
                <w:bCs/>
                <w:kern w:val="2"/>
                <w:szCs w:val="24"/>
                <w:highlight w:val="none"/>
              </w:rPr>
            </w:pPr>
          </w:p>
        </w:tc>
        <w:tc>
          <w:tcPr>
            <w:tcW w:w="1043" w:type="pct"/>
            <w:vAlign w:val="center"/>
          </w:tcPr>
          <w:p w14:paraId="202F0824">
            <w:pPr>
              <w:ind w:firstLine="0" w:firstLineChars="0"/>
              <w:rPr>
                <w:rFonts w:cs="宋体" w:asciiTheme="minorEastAsia" w:hAnsiTheme="minorEastAsia" w:eastAsiaTheme="minorEastAsia"/>
                <w:bCs/>
                <w:kern w:val="2"/>
                <w:szCs w:val="24"/>
                <w:highlight w:val="none"/>
              </w:rPr>
            </w:pPr>
          </w:p>
        </w:tc>
        <w:tc>
          <w:tcPr>
            <w:tcW w:w="636" w:type="pct"/>
            <w:vAlign w:val="center"/>
          </w:tcPr>
          <w:p w14:paraId="5D60C8F1">
            <w:pPr>
              <w:ind w:firstLine="0" w:firstLineChars="0"/>
              <w:rPr>
                <w:rFonts w:cs="宋体" w:asciiTheme="minorEastAsia" w:hAnsiTheme="minorEastAsia" w:eastAsiaTheme="minorEastAsia"/>
                <w:bCs/>
                <w:kern w:val="2"/>
                <w:szCs w:val="24"/>
                <w:highlight w:val="none"/>
              </w:rPr>
            </w:pPr>
          </w:p>
        </w:tc>
      </w:tr>
      <w:tr w14:paraId="5442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1ED2103">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供应商评审业绩（打分业绩，如有）</w:t>
            </w:r>
          </w:p>
        </w:tc>
      </w:tr>
      <w:tr w14:paraId="47E9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54E00F85">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6392E0A4">
            <w:pPr>
              <w:ind w:firstLine="0" w:firstLineChars="0"/>
              <w:rPr>
                <w:rFonts w:cs="宋体" w:asciiTheme="minorEastAsia" w:hAnsiTheme="minorEastAsia" w:eastAsiaTheme="minorEastAsia"/>
                <w:bCs/>
                <w:kern w:val="2"/>
                <w:szCs w:val="24"/>
                <w:highlight w:val="none"/>
              </w:rPr>
            </w:pPr>
          </w:p>
        </w:tc>
        <w:tc>
          <w:tcPr>
            <w:tcW w:w="874" w:type="pct"/>
            <w:vAlign w:val="center"/>
          </w:tcPr>
          <w:p w14:paraId="68076838">
            <w:pPr>
              <w:ind w:firstLine="0" w:firstLineChars="0"/>
              <w:rPr>
                <w:rFonts w:cs="宋体" w:asciiTheme="minorEastAsia" w:hAnsiTheme="minorEastAsia" w:eastAsiaTheme="minorEastAsia"/>
                <w:bCs/>
                <w:kern w:val="2"/>
                <w:szCs w:val="24"/>
                <w:highlight w:val="none"/>
              </w:rPr>
            </w:pPr>
          </w:p>
        </w:tc>
        <w:tc>
          <w:tcPr>
            <w:tcW w:w="918" w:type="pct"/>
            <w:vAlign w:val="center"/>
          </w:tcPr>
          <w:p w14:paraId="68E06D06">
            <w:pPr>
              <w:ind w:firstLine="0" w:firstLineChars="0"/>
              <w:rPr>
                <w:rFonts w:cs="宋体" w:asciiTheme="minorEastAsia" w:hAnsiTheme="minorEastAsia" w:eastAsiaTheme="minorEastAsia"/>
                <w:bCs/>
                <w:kern w:val="2"/>
                <w:szCs w:val="24"/>
                <w:highlight w:val="none"/>
              </w:rPr>
            </w:pPr>
          </w:p>
        </w:tc>
        <w:tc>
          <w:tcPr>
            <w:tcW w:w="1043" w:type="pct"/>
            <w:vAlign w:val="center"/>
          </w:tcPr>
          <w:p w14:paraId="5DE6C6B8">
            <w:pPr>
              <w:ind w:firstLine="0" w:firstLineChars="0"/>
              <w:rPr>
                <w:rFonts w:cs="宋体" w:asciiTheme="minorEastAsia" w:hAnsiTheme="minorEastAsia" w:eastAsiaTheme="minorEastAsia"/>
                <w:bCs/>
                <w:kern w:val="2"/>
                <w:szCs w:val="24"/>
                <w:highlight w:val="none"/>
              </w:rPr>
            </w:pPr>
          </w:p>
        </w:tc>
        <w:tc>
          <w:tcPr>
            <w:tcW w:w="636" w:type="pct"/>
            <w:vAlign w:val="center"/>
          </w:tcPr>
          <w:p w14:paraId="5BB44FE6">
            <w:pPr>
              <w:ind w:firstLine="0" w:firstLineChars="0"/>
              <w:rPr>
                <w:rFonts w:cs="宋体" w:asciiTheme="minorEastAsia" w:hAnsiTheme="minorEastAsia" w:eastAsiaTheme="minorEastAsia"/>
                <w:bCs/>
                <w:kern w:val="2"/>
                <w:szCs w:val="24"/>
                <w:highlight w:val="none"/>
              </w:rPr>
            </w:pPr>
          </w:p>
        </w:tc>
      </w:tr>
      <w:tr w14:paraId="71B7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39520CAB">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2</w:t>
            </w:r>
          </w:p>
        </w:tc>
        <w:tc>
          <w:tcPr>
            <w:tcW w:w="971" w:type="pct"/>
            <w:vAlign w:val="center"/>
          </w:tcPr>
          <w:p w14:paraId="5B124DA7">
            <w:pPr>
              <w:ind w:firstLine="0" w:firstLineChars="0"/>
              <w:rPr>
                <w:rFonts w:cs="宋体" w:asciiTheme="minorEastAsia" w:hAnsiTheme="minorEastAsia" w:eastAsiaTheme="minorEastAsia"/>
                <w:bCs/>
                <w:kern w:val="2"/>
                <w:szCs w:val="24"/>
                <w:highlight w:val="none"/>
              </w:rPr>
            </w:pPr>
          </w:p>
        </w:tc>
        <w:tc>
          <w:tcPr>
            <w:tcW w:w="874" w:type="pct"/>
            <w:vAlign w:val="center"/>
          </w:tcPr>
          <w:p w14:paraId="050C1C3C">
            <w:pPr>
              <w:ind w:firstLine="0" w:firstLineChars="0"/>
              <w:rPr>
                <w:rFonts w:cs="宋体" w:asciiTheme="minorEastAsia" w:hAnsiTheme="minorEastAsia" w:eastAsiaTheme="minorEastAsia"/>
                <w:bCs/>
                <w:kern w:val="2"/>
                <w:szCs w:val="24"/>
                <w:highlight w:val="none"/>
              </w:rPr>
            </w:pPr>
          </w:p>
        </w:tc>
        <w:tc>
          <w:tcPr>
            <w:tcW w:w="918" w:type="pct"/>
            <w:vAlign w:val="center"/>
          </w:tcPr>
          <w:p w14:paraId="2F4270B2">
            <w:pPr>
              <w:ind w:firstLine="0" w:firstLineChars="0"/>
              <w:rPr>
                <w:rFonts w:cs="宋体" w:asciiTheme="minorEastAsia" w:hAnsiTheme="minorEastAsia" w:eastAsiaTheme="minorEastAsia"/>
                <w:bCs/>
                <w:kern w:val="2"/>
                <w:szCs w:val="24"/>
                <w:highlight w:val="none"/>
              </w:rPr>
            </w:pPr>
          </w:p>
        </w:tc>
        <w:tc>
          <w:tcPr>
            <w:tcW w:w="1043" w:type="pct"/>
            <w:vAlign w:val="center"/>
          </w:tcPr>
          <w:p w14:paraId="6B5C227D">
            <w:pPr>
              <w:ind w:firstLine="0" w:firstLineChars="0"/>
              <w:rPr>
                <w:rFonts w:cs="宋体" w:asciiTheme="minorEastAsia" w:hAnsiTheme="minorEastAsia" w:eastAsiaTheme="minorEastAsia"/>
                <w:bCs/>
                <w:kern w:val="2"/>
                <w:szCs w:val="24"/>
                <w:highlight w:val="none"/>
              </w:rPr>
            </w:pPr>
          </w:p>
        </w:tc>
        <w:tc>
          <w:tcPr>
            <w:tcW w:w="636" w:type="pct"/>
            <w:vAlign w:val="center"/>
          </w:tcPr>
          <w:p w14:paraId="0BE3D871">
            <w:pPr>
              <w:ind w:firstLine="0" w:firstLineChars="0"/>
              <w:rPr>
                <w:rFonts w:cs="宋体" w:asciiTheme="minorEastAsia" w:hAnsiTheme="minorEastAsia" w:eastAsiaTheme="minorEastAsia"/>
                <w:bCs/>
                <w:kern w:val="2"/>
                <w:szCs w:val="24"/>
                <w:highlight w:val="none"/>
              </w:rPr>
            </w:pPr>
          </w:p>
        </w:tc>
      </w:tr>
      <w:tr w14:paraId="0061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74BB44F8">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项目负责人评审业绩（打分业绩，如有）</w:t>
            </w:r>
          </w:p>
        </w:tc>
      </w:tr>
      <w:tr w14:paraId="2166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7DECF89E">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0AEA398A">
            <w:pPr>
              <w:ind w:firstLine="0" w:firstLineChars="0"/>
              <w:rPr>
                <w:rFonts w:cs="宋体" w:asciiTheme="minorEastAsia" w:hAnsiTheme="minorEastAsia" w:eastAsiaTheme="minorEastAsia"/>
                <w:b/>
                <w:kern w:val="2"/>
                <w:szCs w:val="24"/>
                <w:highlight w:val="none"/>
              </w:rPr>
            </w:pPr>
          </w:p>
        </w:tc>
        <w:tc>
          <w:tcPr>
            <w:tcW w:w="874" w:type="pct"/>
            <w:vAlign w:val="center"/>
          </w:tcPr>
          <w:p w14:paraId="435A9189">
            <w:pPr>
              <w:ind w:firstLine="0" w:firstLineChars="0"/>
              <w:rPr>
                <w:rFonts w:cs="宋体" w:asciiTheme="minorEastAsia" w:hAnsiTheme="minorEastAsia" w:eastAsiaTheme="minorEastAsia"/>
                <w:b/>
                <w:kern w:val="2"/>
                <w:szCs w:val="24"/>
                <w:highlight w:val="none"/>
              </w:rPr>
            </w:pPr>
          </w:p>
        </w:tc>
        <w:tc>
          <w:tcPr>
            <w:tcW w:w="918" w:type="pct"/>
            <w:vAlign w:val="center"/>
          </w:tcPr>
          <w:p w14:paraId="08F1D3AC">
            <w:pPr>
              <w:ind w:firstLine="0" w:firstLineChars="0"/>
              <w:rPr>
                <w:rFonts w:cs="宋体" w:asciiTheme="minorEastAsia" w:hAnsiTheme="minorEastAsia" w:eastAsiaTheme="minorEastAsia"/>
                <w:b/>
                <w:kern w:val="2"/>
                <w:szCs w:val="24"/>
                <w:highlight w:val="none"/>
              </w:rPr>
            </w:pPr>
          </w:p>
        </w:tc>
        <w:tc>
          <w:tcPr>
            <w:tcW w:w="1043" w:type="pct"/>
            <w:vAlign w:val="center"/>
          </w:tcPr>
          <w:p w14:paraId="7A555F6B">
            <w:pPr>
              <w:ind w:firstLine="0" w:firstLineChars="0"/>
              <w:rPr>
                <w:rFonts w:cs="宋体" w:asciiTheme="minorEastAsia" w:hAnsiTheme="minorEastAsia" w:eastAsiaTheme="minorEastAsia"/>
                <w:b/>
                <w:kern w:val="2"/>
                <w:szCs w:val="24"/>
                <w:highlight w:val="none"/>
              </w:rPr>
            </w:pPr>
          </w:p>
        </w:tc>
        <w:tc>
          <w:tcPr>
            <w:tcW w:w="636" w:type="pct"/>
            <w:vAlign w:val="center"/>
          </w:tcPr>
          <w:p w14:paraId="0738B9E7">
            <w:pPr>
              <w:ind w:firstLine="0" w:firstLineChars="0"/>
              <w:rPr>
                <w:rFonts w:cs="宋体" w:asciiTheme="minorEastAsia" w:hAnsiTheme="minorEastAsia" w:eastAsiaTheme="minorEastAsia"/>
                <w:b/>
                <w:kern w:val="2"/>
                <w:szCs w:val="24"/>
                <w:highlight w:val="none"/>
              </w:rPr>
            </w:pPr>
          </w:p>
        </w:tc>
      </w:tr>
      <w:tr w14:paraId="54B4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07C85EA7">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2</w:t>
            </w:r>
          </w:p>
        </w:tc>
        <w:tc>
          <w:tcPr>
            <w:tcW w:w="971" w:type="pct"/>
            <w:vAlign w:val="center"/>
          </w:tcPr>
          <w:p w14:paraId="386E74E3">
            <w:pPr>
              <w:ind w:firstLine="0" w:firstLineChars="0"/>
              <w:rPr>
                <w:rFonts w:cs="宋体" w:asciiTheme="minorEastAsia" w:hAnsiTheme="minorEastAsia" w:eastAsiaTheme="minorEastAsia"/>
                <w:b/>
                <w:kern w:val="2"/>
                <w:szCs w:val="24"/>
                <w:highlight w:val="none"/>
              </w:rPr>
            </w:pPr>
          </w:p>
        </w:tc>
        <w:tc>
          <w:tcPr>
            <w:tcW w:w="874" w:type="pct"/>
            <w:vAlign w:val="center"/>
          </w:tcPr>
          <w:p w14:paraId="1171E827">
            <w:pPr>
              <w:ind w:firstLine="0" w:firstLineChars="0"/>
              <w:rPr>
                <w:rFonts w:cs="宋体" w:asciiTheme="minorEastAsia" w:hAnsiTheme="minorEastAsia" w:eastAsiaTheme="minorEastAsia"/>
                <w:b/>
                <w:kern w:val="2"/>
                <w:szCs w:val="24"/>
                <w:highlight w:val="none"/>
              </w:rPr>
            </w:pPr>
          </w:p>
        </w:tc>
        <w:tc>
          <w:tcPr>
            <w:tcW w:w="918" w:type="pct"/>
            <w:vAlign w:val="center"/>
          </w:tcPr>
          <w:p w14:paraId="3870863A">
            <w:pPr>
              <w:ind w:firstLine="0" w:firstLineChars="0"/>
              <w:rPr>
                <w:rFonts w:cs="宋体" w:asciiTheme="minorEastAsia" w:hAnsiTheme="minorEastAsia" w:eastAsiaTheme="minorEastAsia"/>
                <w:b/>
                <w:kern w:val="2"/>
                <w:szCs w:val="24"/>
                <w:highlight w:val="none"/>
              </w:rPr>
            </w:pPr>
          </w:p>
        </w:tc>
        <w:tc>
          <w:tcPr>
            <w:tcW w:w="1043" w:type="pct"/>
            <w:vAlign w:val="center"/>
          </w:tcPr>
          <w:p w14:paraId="1D7F04E0">
            <w:pPr>
              <w:ind w:firstLine="0" w:firstLineChars="0"/>
              <w:rPr>
                <w:rFonts w:cs="宋体" w:asciiTheme="minorEastAsia" w:hAnsiTheme="minorEastAsia" w:eastAsiaTheme="minorEastAsia"/>
                <w:b/>
                <w:kern w:val="2"/>
                <w:szCs w:val="24"/>
                <w:highlight w:val="none"/>
              </w:rPr>
            </w:pPr>
          </w:p>
        </w:tc>
        <w:tc>
          <w:tcPr>
            <w:tcW w:w="636" w:type="pct"/>
            <w:vAlign w:val="center"/>
          </w:tcPr>
          <w:p w14:paraId="78581051">
            <w:pPr>
              <w:ind w:firstLine="0" w:firstLineChars="0"/>
              <w:rPr>
                <w:rFonts w:cs="宋体" w:asciiTheme="minorEastAsia" w:hAnsiTheme="minorEastAsia" w:eastAsiaTheme="minorEastAsia"/>
                <w:b/>
                <w:kern w:val="2"/>
                <w:szCs w:val="24"/>
                <w:highlight w:val="none"/>
              </w:rPr>
            </w:pPr>
          </w:p>
        </w:tc>
      </w:tr>
      <w:tr w14:paraId="2D83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1C0CB66B">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w:t>
            </w:r>
          </w:p>
        </w:tc>
        <w:tc>
          <w:tcPr>
            <w:tcW w:w="971" w:type="pct"/>
            <w:vAlign w:val="center"/>
          </w:tcPr>
          <w:p w14:paraId="7C7F5594">
            <w:pPr>
              <w:ind w:firstLine="0" w:firstLineChars="0"/>
              <w:rPr>
                <w:rFonts w:cs="宋体" w:asciiTheme="minorEastAsia" w:hAnsiTheme="minorEastAsia" w:eastAsiaTheme="minorEastAsia"/>
                <w:b/>
                <w:kern w:val="2"/>
                <w:szCs w:val="24"/>
                <w:highlight w:val="none"/>
              </w:rPr>
            </w:pPr>
          </w:p>
        </w:tc>
        <w:tc>
          <w:tcPr>
            <w:tcW w:w="874" w:type="pct"/>
            <w:vAlign w:val="center"/>
          </w:tcPr>
          <w:p w14:paraId="54E73622">
            <w:pPr>
              <w:ind w:firstLine="0" w:firstLineChars="0"/>
              <w:rPr>
                <w:rFonts w:cs="宋体" w:asciiTheme="minorEastAsia" w:hAnsiTheme="minorEastAsia" w:eastAsiaTheme="minorEastAsia"/>
                <w:b/>
                <w:kern w:val="2"/>
                <w:szCs w:val="24"/>
                <w:highlight w:val="none"/>
              </w:rPr>
            </w:pPr>
          </w:p>
        </w:tc>
        <w:tc>
          <w:tcPr>
            <w:tcW w:w="918" w:type="pct"/>
            <w:vAlign w:val="center"/>
          </w:tcPr>
          <w:p w14:paraId="0069D90B">
            <w:pPr>
              <w:ind w:firstLine="0" w:firstLineChars="0"/>
              <w:rPr>
                <w:rFonts w:cs="宋体" w:asciiTheme="minorEastAsia" w:hAnsiTheme="minorEastAsia" w:eastAsiaTheme="minorEastAsia"/>
                <w:b/>
                <w:kern w:val="2"/>
                <w:szCs w:val="24"/>
                <w:highlight w:val="none"/>
              </w:rPr>
            </w:pPr>
          </w:p>
        </w:tc>
        <w:tc>
          <w:tcPr>
            <w:tcW w:w="1043" w:type="pct"/>
            <w:vAlign w:val="center"/>
          </w:tcPr>
          <w:p w14:paraId="720FFA3E">
            <w:pPr>
              <w:ind w:firstLine="0" w:firstLineChars="0"/>
              <w:rPr>
                <w:rFonts w:cs="宋体" w:asciiTheme="minorEastAsia" w:hAnsiTheme="minorEastAsia" w:eastAsiaTheme="minorEastAsia"/>
                <w:b/>
                <w:kern w:val="2"/>
                <w:szCs w:val="24"/>
                <w:highlight w:val="none"/>
              </w:rPr>
            </w:pPr>
          </w:p>
        </w:tc>
        <w:tc>
          <w:tcPr>
            <w:tcW w:w="636" w:type="pct"/>
            <w:vAlign w:val="center"/>
          </w:tcPr>
          <w:p w14:paraId="248903CD">
            <w:pPr>
              <w:ind w:firstLine="0" w:firstLineChars="0"/>
              <w:rPr>
                <w:rFonts w:cs="宋体" w:asciiTheme="minorEastAsia" w:hAnsiTheme="minorEastAsia" w:eastAsiaTheme="minorEastAsia"/>
                <w:b/>
                <w:kern w:val="2"/>
                <w:szCs w:val="24"/>
                <w:highlight w:val="none"/>
              </w:rPr>
            </w:pPr>
          </w:p>
        </w:tc>
      </w:tr>
    </w:tbl>
    <w:p w14:paraId="43E7D411">
      <w:pPr>
        <w:widowControl/>
        <w:ind w:firstLine="482"/>
        <w:jc w:val="left"/>
        <w:rPr>
          <w:rFonts w:asciiTheme="minorEastAsia" w:hAnsiTheme="minorEastAsia" w:eastAsiaTheme="minorEastAsia"/>
          <w:b/>
          <w:highlight w:val="none"/>
        </w:rPr>
      </w:pPr>
    </w:p>
    <w:p w14:paraId="20BFB66F">
      <w:pPr>
        <w:keepNext/>
        <w:keepLines/>
        <w:ind w:firstLine="480"/>
        <w:rPr>
          <w:szCs w:val="24"/>
          <w:highlight w:val="none"/>
        </w:rPr>
      </w:pPr>
    </w:p>
    <w:p w14:paraId="09BEEE24">
      <w:pPr>
        <w:keepNext/>
        <w:keepLines/>
        <w:numPr>
          <w:ilvl w:val="0"/>
          <w:numId w:val="3"/>
        </w:numPr>
        <w:ind w:firstLine="480"/>
        <w:jc w:val="center"/>
        <w:rPr>
          <w:szCs w:val="24"/>
          <w:highlight w:val="none"/>
        </w:rPr>
      </w:pPr>
      <w:r>
        <w:rPr>
          <w:rFonts w:hint="eastAsia"/>
          <w:szCs w:val="24"/>
          <w:highlight w:val="none"/>
        </w:rPr>
        <w:t>业绩证明材料</w:t>
      </w:r>
    </w:p>
    <w:p w14:paraId="432E1253">
      <w:pPr>
        <w:keepNext/>
        <w:keepLines/>
        <w:ind w:firstLine="480"/>
        <w:jc w:val="center"/>
        <w:rPr>
          <w:highlight w:val="none"/>
        </w:rPr>
      </w:pPr>
      <w:r>
        <w:rPr>
          <w:rFonts w:hint="eastAsia"/>
          <w:szCs w:val="24"/>
          <w:highlight w:val="none"/>
        </w:rPr>
        <w:t>（建议与上述“（一）业绩表”填写的业绩一一对应）</w:t>
      </w:r>
      <w:r>
        <w:rPr>
          <w:rFonts w:asciiTheme="minorEastAsia" w:hAnsiTheme="minorEastAsia" w:eastAsiaTheme="minorEastAsia"/>
          <w:b/>
          <w:highlight w:val="none"/>
        </w:rPr>
        <w:br w:type="page"/>
      </w:r>
    </w:p>
    <w:p w14:paraId="61BD258D">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lang w:val="en-US" w:eastAsia="zh-CN"/>
        </w:rPr>
        <w:t>八</w:t>
      </w:r>
      <w:r>
        <w:rPr>
          <w:rFonts w:hint="eastAsia" w:asciiTheme="minorEastAsia" w:hAnsiTheme="minorEastAsia" w:eastAsiaTheme="minorEastAsia"/>
          <w:b/>
          <w:highlight w:val="none"/>
        </w:rPr>
        <w:t>、磋商保证金及电子交易服务费用</w:t>
      </w:r>
    </w:p>
    <w:p w14:paraId="599162D3">
      <w:pPr>
        <w:snapToGrid w:val="0"/>
        <w:ind w:firstLine="0" w:firstLineChars="0"/>
        <w:jc w:val="center"/>
        <w:rPr>
          <w:rFonts w:cs="Times New Roman"/>
          <w:szCs w:val="28"/>
          <w:highlight w:val="none"/>
        </w:rPr>
      </w:pPr>
      <w:r>
        <w:rPr>
          <w:rFonts w:hint="eastAsia" w:cs="Times New Roman"/>
          <w:szCs w:val="28"/>
          <w:highlight w:val="none"/>
        </w:rPr>
        <w:t>供应商应在此提供银行回单的扫描件。</w:t>
      </w:r>
    </w:p>
    <w:p w14:paraId="4E7B76F7">
      <w:pPr>
        <w:widowControl/>
        <w:spacing w:line="240" w:lineRule="auto"/>
        <w:ind w:firstLine="0" w:firstLineChars="0"/>
        <w:jc w:val="center"/>
        <w:rPr>
          <w:rFonts w:cs="@仿宋_GB2312"/>
          <w:b/>
          <w:bCs/>
          <w:kern w:val="2"/>
          <w:szCs w:val="24"/>
          <w:highlight w:val="none"/>
        </w:rPr>
      </w:pPr>
    </w:p>
    <w:p w14:paraId="11CF8D8B">
      <w:pPr>
        <w:widowControl/>
        <w:spacing w:line="240" w:lineRule="auto"/>
        <w:ind w:firstLine="0" w:firstLineChars="0"/>
        <w:jc w:val="center"/>
        <w:rPr>
          <w:rFonts w:cs="@仿宋_GB2312"/>
          <w:b/>
          <w:bCs/>
          <w:kern w:val="2"/>
          <w:szCs w:val="24"/>
          <w:highlight w:val="none"/>
        </w:rPr>
      </w:pPr>
    </w:p>
    <w:p w14:paraId="1DBC4A69">
      <w:pPr>
        <w:widowControl/>
        <w:spacing w:line="240" w:lineRule="auto"/>
        <w:ind w:firstLine="0" w:firstLineChars="0"/>
        <w:jc w:val="center"/>
        <w:rPr>
          <w:rFonts w:cs="@仿宋_GB2312"/>
          <w:b/>
          <w:bCs/>
          <w:kern w:val="2"/>
          <w:szCs w:val="24"/>
          <w:highlight w:val="none"/>
        </w:rPr>
      </w:pPr>
    </w:p>
    <w:p w14:paraId="15B9CD7E">
      <w:pPr>
        <w:widowControl/>
        <w:spacing w:line="240" w:lineRule="auto"/>
        <w:ind w:firstLine="0" w:firstLineChars="0"/>
        <w:jc w:val="center"/>
        <w:rPr>
          <w:rFonts w:cs="@仿宋_GB2312"/>
          <w:b/>
          <w:bCs/>
          <w:kern w:val="2"/>
          <w:szCs w:val="24"/>
          <w:highlight w:val="none"/>
        </w:rPr>
      </w:pPr>
    </w:p>
    <w:p w14:paraId="0C946285">
      <w:pPr>
        <w:widowControl/>
        <w:spacing w:line="240" w:lineRule="auto"/>
        <w:ind w:firstLine="0" w:firstLineChars="0"/>
        <w:jc w:val="center"/>
        <w:rPr>
          <w:rFonts w:cs="@仿宋_GB2312"/>
          <w:b/>
          <w:bCs/>
          <w:kern w:val="2"/>
          <w:szCs w:val="24"/>
          <w:highlight w:val="none"/>
        </w:rPr>
      </w:pPr>
    </w:p>
    <w:p w14:paraId="4737BD60">
      <w:pPr>
        <w:widowControl/>
        <w:spacing w:line="240" w:lineRule="auto"/>
        <w:ind w:firstLine="0" w:firstLineChars="0"/>
        <w:jc w:val="center"/>
        <w:rPr>
          <w:rFonts w:cs="@仿宋_GB2312"/>
          <w:b/>
          <w:bCs/>
          <w:kern w:val="2"/>
          <w:szCs w:val="24"/>
          <w:highlight w:val="none"/>
        </w:rPr>
      </w:pPr>
    </w:p>
    <w:p w14:paraId="313A085C">
      <w:pPr>
        <w:widowControl/>
        <w:spacing w:line="240" w:lineRule="auto"/>
        <w:ind w:firstLine="0" w:firstLineChars="0"/>
        <w:jc w:val="center"/>
        <w:rPr>
          <w:rFonts w:cs="@仿宋_GB2312"/>
          <w:b/>
          <w:bCs/>
          <w:kern w:val="2"/>
          <w:szCs w:val="24"/>
          <w:highlight w:val="none"/>
        </w:rPr>
      </w:pPr>
    </w:p>
    <w:p w14:paraId="555F4E37">
      <w:pPr>
        <w:widowControl/>
        <w:spacing w:line="240" w:lineRule="auto"/>
        <w:ind w:firstLine="0" w:firstLineChars="0"/>
        <w:jc w:val="center"/>
        <w:rPr>
          <w:rFonts w:cs="@仿宋_GB2312"/>
          <w:b/>
          <w:bCs/>
          <w:kern w:val="2"/>
          <w:szCs w:val="24"/>
          <w:highlight w:val="none"/>
        </w:rPr>
      </w:pPr>
    </w:p>
    <w:p w14:paraId="2CCB8F23">
      <w:pPr>
        <w:widowControl/>
        <w:spacing w:line="240" w:lineRule="auto"/>
        <w:ind w:firstLine="0" w:firstLineChars="0"/>
        <w:jc w:val="center"/>
        <w:rPr>
          <w:rFonts w:cs="@仿宋_GB2312"/>
          <w:b/>
          <w:bCs/>
          <w:kern w:val="2"/>
          <w:szCs w:val="24"/>
          <w:highlight w:val="none"/>
        </w:rPr>
      </w:pPr>
    </w:p>
    <w:p w14:paraId="158373BB">
      <w:pPr>
        <w:widowControl/>
        <w:spacing w:line="240" w:lineRule="auto"/>
        <w:ind w:firstLine="0" w:firstLineChars="0"/>
        <w:jc w:val="center"/>
        <w:rPr>
          <w:rFonts w:cs="@仿宋_GB2312"/>
          <w:b/>
          <w:bCs/>
          <w:kern w:val="2"/>
          <w:szCs w:val="24"/>
          <w:highlight w:val="none"/>
        </w:rPr>
      </w:pPr>
    </w:p>
    <w:p w14:paraId="11111A54">
      <w:pPr>
        <w:widowControl/>
        <w:spacing w:line="240" w:lineRule="auto"/>
        <w:ind w:firstLine="0" w:firstLineChars="0"/>
        <w:jc w:val="center"/>
        <w:rPr>
          <w:rFonts w:cs="@仿宋_GB2312"/>
          <w:b/>
          <w:bCs/>
          <w:kern w:val="2"/>
          <w:szCs w:val="24"/>
          <w:highlight w:val="none"/>
        </w:rPr>
      </w:pPr>
    </w:p>
    <w:p w14:paraId="205E4939">
      <w:pPr>
        <w:widowControl/>
        <w:spacing w:line="240" w:lineRule="auto"/>
        <w:ind w:firstLine="0" w:firstLineChars="0"/>
        <w:jc w:val="center"/>
        <w:rPr>
          <w:rFonts w:cs="@仿宋_GB2312"/>
          <w:b/>
          <w:bCs/>
          <w:kern w:val="2"/>
          <w:szCs w:val="24"/>
          <w:highlight w:val="none"/>
        </w:rPr>
      </w:pPr>
    </w:p>
    <w:p w14:paraId="6445EEA6">
      <w:pPr>
        <w:widowControl/>
        <w:spacing w:line="240" w:lineRule="auto"/>
        <w:ind w:firstLine="0" w:firstLineChars="0"/>
        <w:jc w:val="center"/>
        <w:rPr>
          <w:rFonts w:cs="@仿宋_GB2312"/>
          <w:b/>
          <w:bCs/>
          <w:kern w:val="2"/>
          <w:szCs w:val="24"/>
          <w:highlight w:val="none"/>
        </w:rPr>
      </w:pPr>
    </w:p>
    <w:p w14:paraId="30B88CA1">
      <w:pPr>
        <w:spacing w:after="120" w:line="480" w:lineRule="auto"/>
        <w:ind w:firstLine="482"/>
        <w:rPr>
          <w:rFonts w:cs="宋体"/>
          <w:b/>
          <w:bCs/>
          <w:kern w:val="2"/>
          <w:szCs w:val="24"/>
          <w:highlight w:val="none"/>
        </w:rPr>
      </w:pPr>
      <w:r>
        <w:rPr>
          <w:rFonts w:hint="eastAsia" w:cs="宋体"/>
          <w:b/>
          <w:bCs/>
          <w:kern w:val="2"/>
          <w:szCs w:val="24"/>
          <w:highlight w:val="none"/>
        </w:rPr>
        <w:t>如需开具电子交易服务费用发票请在本页附上开票信息，开票信息按照下列格式填写，发票开具后可在单位税务数字账户中查收，如未填写或填写不完整后期自行带转账回单至肥光办公区3号楼2楼窗口开具。</w:t>
      </w:r>
    </w:p>
    <w:p w14:paraId="6E0BF487">
      <w:pPr>
        <w:ind w:firstLine="0" w:firstLineChars="0"/>
        <w:rPr>
          <w:rFonts w:cs="宋体"/>
          <w:b/>
          <w:kern w:val="2"/>
          <w:szCs w:val="24"/>
          <w:highlight w:val="none"/>
        </w:rPr>
      </w:pPr>
      <w:r>
        <w:rPr>
          <w:rFonts w:hint="eastAsia" w:cs="宋体"/>
          <w:b/>
          <w:kern w:val="2"/>
          <w:szCs w:val="24"/>
          <w:highlight w:val="none"/>
        </w:rPr>
        <w:t>开票信息：</w:t>
      </w:r>
    </w:p>
    <w:p w14:paraId="78E18248">
      <w:pPr>
        <w:spacing w:after="120"/>
        <w:ind w:firstLine="0" w:firstLineChars="0"/>
        <w:rPr>
          <w:rFonts w:cs="宋体"/>
          <w:b/>
          <w:kern w:val="2"/>
          <w:szCs w:val="24"/>
          <w:highlight w:val="none"/>
        </w:rPr>
      </w:pPr>
      <w:r>
        <w:rPr>
          <w:rFonts w:hint="eastAsia" w:cs="宋体"/>
          <w:b/>
          <w:kern w:val="2"/>
          <w:szCs w:val="24"/>
          <w:highlight w:val="none"/>
        </w:rPr>
        <w:t>发票类型：</w:t>
      </w:r>
      <w:r>
        <w:rPr>
          <w:rFonts w:hint="eastAsia" w:cs="宋体"/>
          <w:b/>
          <w:kern w:val="2"/>
          <w:szCs w:val="24"/>
          <w:highlight w:val="none"/>
          <w:u w:val="single"/>
        </w:rPr>
        <w:t xml:space="preserve">               </w:t>
      </w:r>
      <w:r>
        <w:rPr>
          <w:rFonts w:hint="eastAsia" w:cs="宋体"/>
          <w:b/>
          <w:kern w:val="2"/>
          <w:szCs w:val="24"/>
          <w:highlight w:val="none"/>
        </w:rPr>
        <w:t>（专票或普票）</w:t>
      </w:r>
    </w:p>
    <w:p w14:paraId="5132A1AE">
      <w:pPr>
        <w:ind w:firstLine="0" w:firstLineChars="0"/>
        <w:rPr>
          <w:rFonts w:cs="宋体"/>
          <w:b/>
          <w:kern w:val="2"/>
          <w:szCs w:val="24"/>
          <w:highlight w:val="none"/>
        </w:rPr>
      </w:pPr>
      <w:r>
        <w:rPr>
          <w:rFonts w:hint="eastAsia" w:cs="宋体"/>
          <w:b/>
          <w:kern w:val="2"/>
          <w:szCs w:val="24"/>
          <w:highlight w:val="none"/>
        </w:rPr>
        <w:t>公司名称：</w:t>
      </w:r>
      <w:r>
        <w:rPr>
          <w:rFonts w:hint="eastAsia" w:cs="宋体"/>
          <w:kern w:val="1"/>
          <w:szCs w:val="24"/>
          <w:highlight w:val="none"/>
        </w:rPr>
        <w:t xml:space="preserve"> </w:t>
      </w:r>
      <w:r>
        <w:rPr>
          <w:rFonts w:hint="eastAsia" w:cs="宋体"/>
          <w:kern w:val="1"/>
          <w:szCs w:val="24"/>
          <w:highlight w:val="none"/>
          <w:u w:val="single"/>
        </w:rPr>
        <w:t xml:space="preserve">                           </w:t>
      </w:r>
      <w:r>
        <w:rPr>
          <w:rFonts w:hint="eastAsia" w:cs="宋体"/>
          <w:kern w:val="1"/>
          <w:szCs w:val="24"/>
          <w:highlight w:val="none"/>
        </w:rPr>
        <w:t xml:space="preserve">     </w:t>
      </w:r>
    </w:p>
    <w:p w14:paraId="63C96966">
      <w:pPr>
        <w:widowControl/>
        <w:ind w:firstLine="0" w:firstLineChars="0"/>
        <w:jc w:val="left"/>
        <w:rPr>
          <w:rFonts w:cs="宋体"/>
          <w:b/>
          <w:kern w:val="2"/>
          <w:szCs w:val="24"/>
          <w:highlight w:val="none"/>
          <w:u w:val="single"/>
        </w:rPr>
      </w:pPr>
      <w:r>
        <w:rPr>
          <w:rFonts w:hint="eastAsia" w:cs="宋体"/>
          <w:b/>
          <w:kern w:val="2"/>
          <w:szCs w:val="24"/>
          <w:highlight w:val="none"/>
        </w:rPr>
        <w:t>纳税识别号：</w:t>
      </w:r>
      <w:r>
        <w:rPr>
          <w:rFonts w:hint="eastAsia" w:cs="宋体"/>
          <w:b/>
          <w:kern w:val="2"/>
          <w:szCs w:val="24"/>
          <w:highlight w:val="none"/>
          <w:u w:val="single"/>
        </w:rPr>
        <w:t xml:space="preserve">                          </w:t>
      </w:r>
    </w:p>
    <w:p w14:paraId="6FD56763">
      <w:pPr>
        <w:widowControl/>
        <w:ind w:firstLine="0" w:firstLineChars="0"/>
        <w:jc w:val="left"/>
        <w:rPr>
          <w:rFonts w:cs="宋体"/>
          <w:b/>
          <w:kern w:val="2"/>
          <w:szCs w:val="24"/>
          <w:highlight w:val="none"/>
          <w:u w:val="single"/>
        </w:rPr>
      </w:pPr>
      <w:r>
        <w:rPr>
          <w:rFonts w:hint="eastAsia" w:cs="宋体"/>
          <w:b/>
          <w:kern w:val="2"/>
          <w:szCs w:val="24"/>
          <w:highlight w:val="none"/>
        </w:rPr>
        <w:t>开户行名称：</w:t>
      </w:r>
      <w:r>
        <w:rPr>
          <w:rFonts w:hint="eastAsia" w:cs="宋体"/>
          <w:b/>
          <w:kern w:val="2"/>
          <w:szCs w:val="24"/>
          <w:highlight w:val="none"/>
          <w:u w:val="single"/>
        </w:rPr>
        <w:t xml:space="preserve">                          </w:t>
      </w:r>
    </w:p>
    <w:p w14:paraId="65449441">
      <w:pPr>
        <w:widowControl/>
        <w:spacing w:line="240" w:lineRule="auto"/>
        <w:ind w:firstLine="0" w:firstLineChars="0"/>
        <w:jc w:val="left"/>
        <w:rPr>
          <w:rFonts w:cs="宋体"/>
          <w:b/>
          <w:bCs/>
          <w:kern w:val="2"/>
          <w:szCs w:val="24"/>
          <w:highlight w:val="none"/>
        </w:rPr>
      </w:pPr>
      <w:r>
        <w:rPr>
          <w:rFonts w:hint="eastAsia" w:cs="宋体"/>
          <w:b/>
          <w:kern w:val="2"/>
          <w:szCs w:val="24"/>
          <w:highlight w:val="none"/>
        </w:rPr>
        <w:t>开户行账号：</w:t>
      </w:r>
      <w:r>
        <w:rPr>
          <w:rFonts w:hint="eastAsia" w:cs="宋体"/>
          <w:b/>
          <w:kern w:val="2"/>
          <w:szCs w:val="24"/>
          <w:highlight w:val="none"/>
          <w:u w:val="single"/>
        </w:rPr>
        <w:t xml:space="preserve">                          </w:t>
      </w:r>
    </w:p>
    <w:p w14:paraId="40BF71A7">
      <w:pPr>
        <w:widowControl/>
        <w:spacing w:line="240" w:lineRule="auto"/>
        <w:ind w:firstLine="0" w:firstLineChars="0"/>
        <w:rPr>
          <w:rFonts w:cs="@仿宋_GB2312"/>
          <w:b/>
          <w:bCs/>
          <w:kern w:val="2"/>
          <w:szCs w:val="24"/>
          <w:highlight w:val="none"/>
        </w:rPr>
      </w:pPr>
    </w:p>
    <w:p w14:paraId="51DAB59D">
      <w:pPr>
        <w:widowControl/>
        <w:spacing w:line="240" w:lineRule="auto"/>
        <w:ind w:firstLine="0" w:firstLineChars="0"/>
        <w:jc w:val="center"/>
        <w:rPr>
          <w:rFonts w:cs="@仿宋_GB2312"/>
          <w:b/>
          <w:bCs/>
          <w:kern w:val="2"/>
          <w:szCs w:val="24"/>
          <w:highlight w:val="none"/>
        </w:rPr>
      </w:pPr>
    </w:p>
    <w:p w14:paraId="68A85662">
      <w:pPr>
        <w:widowControl/>
        <w:spacing w:line="240" w:lineRule="auto"/>
        <w:ind w:firstLine="0" w:firstLineChars="0"/>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p w14:paraId="25080C51">
      <w:pPr>
        <w:ind w:firstLine="482"/>
        <w:jc w:val="center"/>
        <w:outlineLvl w:val="2"/>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t>九、人员配备</w:t>
      </w:r>
    </w:p>
    <w:p w14:paraId="6AE004B9">
      <w:pPr>
        <w:ind w:firstLine="482"/>
        <w:jc w:val="center"/>
        <w:outlineLvl w:val="2"/>
        <w:rPr>
          <w:rFonts w:hint="eastAsia" w:asciiTheme="minorEastAsia" w:hAnsiTheme="minorEastAsia" w:eastAsiaTheme="minorEastAsia"/>
          <w:b/>
          <w:highlight w:val="none"/>
          <w:lang w:val="en-US" w:eastAsia="zh-CN"/>
        </w:rPr>
      </w:pPr>
    </w:p>
    <w:p w14:paraId="6126EAA1">
      <w:pPr>
        <w:ind w:firstLine="482"/>
        <w:jc w:val="center"/>
        <w:outlineLvl w:val="2"/>
        <w:rPr>
          <w:rFonts w:hint="eastAsia" w:asciiTheme="minorEastAsia" w:hAnsiTheme="minorEastAsia" w:eastAsiaTheme="minorEastAsia"/>
          <w:b/>
          <w:highlight w:val="none"/>
          <w:lang w:val="en-US" w:eastAsia="zh-CN"/>
        </w:rPr>
      </w:pPr>
    </w:p>
    <w:p w14:paraId="704F6ECD">
      <w:pPr>
        <w:ind w:firstLine="482"/>
        <w:jc w:val="center"/>
        <w:outlineLvl w:val="2"/>
        <w:rPr>
          <w:rFonts w:hint="eastAsia" w:asciiTheme="minorEastAsia" w:hAnsiTheme="minorEastAsia" w:eastAsiaTheme="minorEastAsia"/>
          <w:b/>
          <w:highlight w:val="none"/>
          <w:lang w:val="en-US" w:eastAsia="zh-CN"/>
        </w:rPr>
      </w:pPr>
    </w:p>
    <w:p w14:paraId="55842429">
      <w:pPr>
        <w:ind w:firstLine="482"/>
        <w:jc w:val="center"/>
        <w:outlineLvl w:val="2"/>
        <w:rPr>
          <w:rFonts w:hint="eastAsia" w:asciiTheme="minorEastAsia" w:hAnsiTheme="minorEastAsia" w:eastAsiaTheme="minorEastAsia"/>
          <w:b/>
          <w:highlight w:val="none"/>
          <w:lang w:val="en-US" w:eastAsia="zh-CN"/>
        </w:rPr>
      </w:pPr>
    </w:p>
    <w:p w14:paraId="7F0E5B3B">
      <w:pPr>
        <w:ind w:firstLine="482"/>
        <w:jc w:val="center"/>
        <w:outlineLvl w:val="2"/>
        <w:rPr>
          <w:rFonts w:hint="eastAsia" w:asciiTheme="minorEastAsia" w:hAnsiTheme="minorEastAsia" w:eastAsiaTheme="minorEastAsia"/>
          <w:b/>
          <w:highlight w:val="none"/>
          <w:lang w:val="en-US" w:eastAsia="zh-CN"/>
        </w:rPr>
      </w:pPr>
    </w:p>
    <w:p w14:paraId="3036E23B">
      <w:pPr>
        <w:ind w:firstLine="482"/>
        <w:jc w:val="center"/>
        <w:outlineLvl w:val="2"/>
        <w:rPr>
          <w:rFonts w:hint="eastAsia" w:asciiTheme="minorEastAsia" w:hAnsiTheme="minorEastAsia" w:eastAsiaTheme="minorEastAsia"/>
          <w:b/>
          <w:highlight w:val="none"/>
          <w:lang w:val="en-US" w:eastAsia="zh-CN"/>
        </w:rPr>
      </w:pPr>
    </w:p>
    <w:p w14:paraId="6DA8BFBA">
      <w:pPr>
        <w:ind w:firstLine="482"/>
        <w:jc w:val="center"/>
        <w:outlineLvl w:val="2"/>
        <w:rPr>
          <w:rFonts w:hint="eastAsia" w:asciiTheme="minorEastAsia" w:hAnsiTheme="minorEastAsia" w:eastAsiaTheme="minorEastAsia"/>
          <w:b/>
          <w:highlight w:val="none"/>
          <w:lang w:val="en-US" w:eastAsia="zh-CN"/>
        </w:rPr>
      </w:pPr>
    </w:p>
    <w:p w14:paraId="012CDF0B">
      <w:pPr>
        <w:ind w:firstLine="482"/>
        <w:jc w:val="center"/>
        <w:outlineLvl w:val="2"/>
        <w:rPr>
          <w:rFonts w:hint="eastAsia" w:asciiTheme="minorEastAsia" w:hAnsiTheme="minorEastAsia" w:eastAsiaTheme="minorEastAsia"/>
          <w:b/>
          <w:highlight w:val="none"/>
          <w:lang w:val="en-US" w:eastAsia="zh-CN"/>
        </w:rPr>
      </w:pPr>
    </w:p>
    <w:p w14:paraId="64E9817D">
      <w:pPr>
        <w:ind w:firstLine="482"/>
        <w:jc w:val="center"/>
        <w:outlineLvl w:val="2"/>
        <w:rPr>
          <w:rFonts w:hint="eastAsia" w:asciiTheme="minorEastAsia" w:hAnsiTheme="minorEastAsia" w:eastAsiaTheme="minorEastAsia"/>
          <w:b/>
          <w:highlight w:val="none"/>
          <w:lang w:val="en-US" w:eastAsia="zh-CN"/>
        </w:rPr>
      </w:pPr>
    </w:p>
    <w:p w14:paraId="40E9B9B6">
      <w:pPr>
        <w:ind w:firstLine="482"/>
        <w:jc w:val="center"/>
        <w:outlineLvl w:val="2"/>
        <w:rPr>
          <w:rFonts w:hint="eastAsia" w:asciiTheme="minorEastAsia" w:hAnsiTheme="minorEastAsia" w:eastAsiaTheme="minorEastAsia"/>
          <w:b/>
          <w:highlight w:val="none"/>
          <w:lang w:val="en-US" w:eastAsia="zh-CN"/>
        </w:rPr>
      </w:pPr>
    </w:p>
    <w:p w14:paraId="57ECD9E6">
      <w:pPr>
        <w:ind w:firstLine="482"/>
        <w:jc w:val="center"/>
        <w:outlineLvl w:val="2"/>
        <w:rPr>
          <w:rFonts w:hint="eastAsia" w:asciiTheme="minorEastAsia" w:hAnsiTheme="minorEastAsia" w:eastAsiaTheme="minorEastAsia"/>
          <w:b/>
          <w:highlight w:val="none"/>
          <w:lang w:val="en-US" w:eastAsia="zh-CN"/>
        </w:rPr>
      </w:pPr>
    </w:p>
    <w:p w14:paraId="75E976F1">
      <w:pPr>
        <w:ind w:firstLine="482"/>
        <w:jc w:val="center"/>
        <w:outlineLvl w:val="2"/>
        <w:rPr>
          <w:rFonts w:hint="eastAsia" w:asciiTheme="minorEastAsia" w:hAnsiTheme="minorEastAsia" w:eastAsiaTheme="minorEastAsia"/>
          <w:b/>
          <w:highlight w:val="none"/>
          <w:lang w:val="en-US" w:eastAsia="zh-CN"/>
        </w:rPr>
      </w:pPr>
    </w:p>
    <w:p w14:paraId="4B1072B3">
      <w:pPr>
        <w:ind w:firstLine="482"/>
        <w:jc w:val="center"/>
        <w:outlineLvl w:val="2"/>
        <w:rPr>
          <w:rFonts w:hint="eastAsia" w:asciiTheme="minorEastAsia" w:hAnsiTheme="minorEastAsia" w:eastAsiaTheme="minorEastAsia"/>
          <w:b/>
          <w:highlight w:val="none"/>
          <w:lang w:val="en-US" w:eastAsia="zh-CN"/>
        </w:rPr>
      </w:pPr>
    </w:p>
    <w:p w14:paraId="4376EACC">
      <w:pPr>
        <w:ind w:firstLine="482"/>
        <w:jc w:val="center"/>
        <w:outlineLvl w:val="2"/>
        <w:rPr>
          <w:rFonts w:hint="eastAsia" w:asciiTheme="minorEastAsia" w:hAnsiTheme="minorEastAsia" w:eastAsiaTheme="minorEastAsia"/>
          <w:b/>
          <w:highlight w:val="none"/>
          <w:lang w:val="en-US" w:eastAsia="zh-CN"/>
        </w:rPr>
      </w:pPr>
    </w:p>
    <w:p w14:paraId="13E3E10B">
      <w:pPr>
        <w:ind w:firstLine="482"/>
        <w:jc w:val="center"/>
        <w:outlineLvl w:val="2"/>
        <w:rPr>
          <w:rFonts w:hint="eastAsia" w:asciiTheme="minorEastAsia" w:hAnsiTheme="minorEastAsia" w:eastAsiaTheme="minorEastAsia"/>
          <w:b/>
          <w:highlight w:val="none"/>
          <w:lang w:val="en-US" w:eastAsia="zh-CN"/>
        </w:rPr>
      </w:pPr>
    </w:p>
    <w:p w14:paraId="16792923">
      <w:pPr>
        <w:ind w:firstLine="482"/>
        <w:jc w:val="center"/>
        <w:outlineLvl w:val="2"/>
        <w:rPr>
          <w:rFonts w:hint="eastAsia" w:asciiTheme="minorEastAsia" w:hAnsiTheme="minorEastAsia" w:eastAsiaTheme="minorEastAsia"/>
          <w:b/>
          <w:highlight w:val="none"/>
          <w:lang w:val="en-US" w:eastAsia="zh-CN"/>
        </w:rPr>
      </w:pPr>
    </w:p>
    <w:p w14:paraId="3F137701">
      <w:pPr>
        <w:ind w:firstLine="482"/>
        <w:jc w:val="center"/>
        <w:outlineLvl w:val="2"/>
        <w:rPr>
          <w:rFonts w:hint="eastAsia" w:asciiTheme="minorEastAsia" w:hAnsiTheme="minorEastAsia" w:eastAsiaTheme="minorEastAsia"/>
          <w:b/>
          <w:highlight w:val="none"/>
          <w:lang w:val="en-US" w:eastAsia="zh-CN"/>
        </w:rPr>
      </w:pPr>
    </w:p>
    <w:p w14:paraId="16C08641">
      <w:pPr>
        <w:ind w:firstLine="482"/>
        <w:jc w:val="center"/>
        <w:outlineLvl w:val="2"/>
        <w:rPr>
          <w:rFonts w:hint="eastAsia" w:asciiTheme="minorEastAsia" w:hAnsiTheme="minorEastAsia" w:eastAsiaTheme="minorEastAsia"/>
          <w:b/>
          <w:highlight w:val="none"/>
          <w:lang w:val="en-US" w:eastAsia="zh-CN"/>
        </w:rPr>
      </w:pPr>
    </w:p>
    <w:p w14:paraId="4199750B">
      <w:pPr>
        <w:ind w:firstLine="482"/>
        <w:jc w:val="center"/>
        <w:outlineLvl w:val="2"/>
        <w:rPr>
          <w:rFonts w:hint="eastAsia" w:asciiTheme="minorEastAsia" w:hAnsiTheme="minorEastAsia" w:eastAsiaTheme="minorEastAsia"/>
          <w:b/>
          <w:highlight w:val="none"/>
          <w:lang w:val="en-US" w:eastAsia="zh-CN"/>
        </w:rPr>
      </w:pPr>
    </w:p>
    <w:p w14:paraId="1A83C57B">
      <w:pPr>
        <w:ind w:firstLine="482"/>
        <w:jc w:val="center"/>
        <w:outlineLvl w:val="2"/>
        <w:rPr>
          <w:rFonts w:hint="eastAsia" w:asciiTheme="minorEastAsia" w:hAnsiTheme="minorEastAsia" w:eastAsiaTheme="minorEastAsia"/>
          <w:b/>
          <w:highlight w:val="none"/>
          <w:lang w:val="en-US" w:eastAsia="zh-CN"/>
        </w:rPr>
      </w:pPr>
    </w:p>
    <w:p w14:paraId="31C28BCE">
      <w:pPr>
        <w:ind w:firstLine="482"/>
        <w:jc w:val="center"/>
        <w:outlineLvl w:val="2"/>
        <w:rPr>
          <w:rFonts w:hint="eastAsia" w:asciiTheme="minorEastAsia" w:hAnsiTheme="minorEastAsia" w:eastAsiaTheme="minorEastAsia"/>
          <w:b/>
          <w:highlight w:val="none"/>
          <w:lang w:val="en-US" w:eastAsia="zh-CN"/>
        </w:rPr>
      </w:pPr>
    </w:p>
    <w:p w14:paraId="4905861B">
      <w:pPr>
        <w:ind w:firstLine="482"/>
        <w:jc w:val="center"/>
        <w:outlineLvl w:val="2"/>
        <w:rPr>
          <w:rFonts w:hint="eastAsia" w:asciiTheme="minorEastAsia" w:hAnsiTheme="minorEastAsia" w:eastAsiaTheme="minorEastAsia"/>
          <w:b/>
          <w:highlight w:val="none"/>
          <w:lang w:val="en-US" w:eastAsia="zh-CN"/>
        </w:rPr>
      </w:pPr>
    </w:p>
    <w:p w14:paraId="14CA7A97">
      <w:pPr>
        <w:ind w:firstLine="482"/>
        <w:jc w:val="center"/>
        <w:outlineLvl w:val="2"/>
        <w:rPr>
          <w:rFonts w:hint="eastAsia" w:asciiTheme="minorEastAsia" w:hAnsiTheme="minorEastAsia" w:eastAsiaTheme="minorEastAsia"/>
          <w:b/>
          <w:highlight w:val="none"/>
          <w:lang w:val="en-US" w:eastAsia="zh-CN"/>
        </w:rPr>
      </w:pPr>
    </w:p>
    <w:p w14:paraId="2E0EA042">
      <w:pPr>
        <w:ind w:firstLine="482"/>
        <w:jc w:val="center"/>
        <w:outlineLvl w:val="2"/>
        <w:rPr>
          <w:rFonts w:hint="eastAsia" w:asciiTheme="minorEastAsia" w:hAnsiTheme="minorEastAsia" w:eastAsiaTheme="minorEastAsia"/>
          <w:b/>
          <w:highlight w:val="none"/>
          <w:lang w:val="en-US" w:eastAsia="zh-CN"/>
        </w:rPr>
      </w:pPr>
    </w:p>
    <w:p w14:paraId="0DCA5B92">
      <w:pPr>
        <w:ind w:firstLine="482"/>
        <w:jc w:val="center"/>
        <w:outlineLvl w:val="2"/>
        <w:rPr>
          <w:rFonts w:hint="eastAsia" w:asciiTheme="minorEastAsia" w:hAnsiTheme="minorEastAsia" w:eastAsiaTheme="minorEastAsia"/>
          <w:b/>
          <w:highlight w:val="none"/>
          <w:lang w:val="en-US" w:eastAsia="zh-CN"/>
        </w:rPr>
      </w:pPr>
    </w:p>
    <w:p w14:paraId="240D0017">
      <w:pPr>
        <w:ind w:firstLine="482"/>
        <w:jc w:val="center"/>
        <w:outlineLvl w:val="2"/>
        <w:rPr>
          <w:rFonts w:hint="eastAsia" w:asciiTheme="minorEastAsia" w:hAnsiTheme="minorEastAsia" w:eastAsiaTheme="minorEastAsia"/>
          <w:b/>
          <w:highlight w:val="none"/>
          <w:lang w:val="en-US" w:eastAsia="zh-CN"/>
        </w:rPr>
      </w:pPr>
    </w:p>
    <w:p w14:paraId="3175BB99">
      <w:pPr>
        <w:ind w:firstLine="482"/>
        <w:jc w:val="center"/>
        <w:outlineLvl w:val="2"/>
        <w:rPr>
          <w:rFonts w:hint="eastAsia" w:asciiTheme="minorEastAsia" w:hAnsiTheme="minorEastAsia" w:eastAsiaTheme="minorEastAsia"/>
          <w:b/>
          <w:highlight w:val="none"/>
          <w:lang w:val="en-US" w:eastAsia="zh-CN"/>
        </w:rPr>
      </w:pPr>
    </w:p>
    <w:p w14:paraId="2468D930">
      <w:pPr>
        <w:ind w:firstLine="482"/>
        <w:jc w:val="center"/>
        <w:outlineLvl w:val="2"/>
        <w:rPr>
          <w:rFonts w:hint="eastAsia" w:asciiTheme="minorEastAsia" w:hAnsiTheme="minorEastAsia" w:eastAsiaTheme="minorEastAsia"/>
          <w:b/>
          <w:highlight w:val="none"/>
          <w:lang w:val="en-US" w:eastAsia="zh-CN"/>
        </w:rPr>
      </w:pPr>
    </w:p>
    <w:p w14:paraId="25CC57F4">
      <w:pPr>
        <w:ind w:firstLine="482"/>
        <w:jc w:val="center"/>
        <w:outlineLvl w:val="2"/>
        <w:rPr>
          <w:rFonts w:hint="default"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t>十、供应商荣誉</w:t>
      </w:r>
    </w:p>
    <w:p w14:paraId="586D7252">
      <w:pPr>
        <w:ind w:firstLine="482"/>
        <w:jc w:val="center"/>
        <w:outlineLvl w:val="2"/>
        <w:rPr>
          <w:rFonts w:hint="eastAsia" w:asciiTheme="minorEastAsia" w:hAnsiTheme="minorEastAsia" w:eastAsiaTheme="minorEastAsia"/>
          <w:b/>
          <w:highlight w:val="none"/>
          <w:lang w:val="en-US" w:eastAsia="zh-CN"/>
        </w:rPr>
      </w:pPr>
    </w:p>
    <w:p w14:paraId="2B3EE914">
      <w:pPr>
        <w:ind w:firstLine="482"/>
        <w:jc w:val="center"/>
        <w:outlineLvl w:val="2"/>
        <w:rPr>
          <w:rFonts w:hint="eastAsia" w:asciiTheme="minorEastAsia" w:hAnsiTheme="minorEastAsia" w:eastAsiaTheme="minorEastAsia"/>
          <w:b/>
          <w:highlight w:val="none"/>
          <w:lang w:val="en-US" w:eastAsia="zh-CN"/>
        </w:rPr>
      </w:pPr>
    </w:p>
    <w:p w14:paraId="5955F4AF">
      <w:pPr>
        <w:ind w:firstLine="482"/>
        <w:jc w:val="center"/>
        <w:outlineLvl w:val="2"/>
        <w:rPr>
          <w:rFonts w:hint="eastAsia" w:asciiTheme="minorEastAsia" w:hAnsiTheme="minorEastAsia" w:eastAsiaTheme="minorEastAsia"/>
          <w:b/>
          <w:highlight w:val="none"/>
          <w:lang w:val="en-US" w:eastAsia="zh-CN"/>
        </w:rPr>
      </w:pPr>
    </w:p>
    <w:p w14:paraId="5BFBADA4">
      <w:pPr>
        <w:ind w:firstLine="482"/>
        <w:jc w:val="center"/>
        <w:outlineLvl w:val="2"/>
        <w:rPr>
          <w:rFonts w:hint="eastAsia" w:asciiTheme="minorEastAsia" w:hAnsiTheme="minorEastAsia" w:eastAsiaTheme="minorEastAsia"/>
          <w:b/>
          <w:highlight w:val="none"/>
          <w:lang w:val="en-US" w:eastAsia="zh-CN"/>
        </w:rPr>
      </w:pPr>
    </w:p>
    <w:p w14:paraId="77D05240">
      <w:pPr>
        <w:ind w:firstLine="482"/>
        <w:jc w:val="center"/>
        <w:outlineLvl w:val="2"/>
        <w:rPr>
          <w:rFonts w:hint="eastAsia" w:asciiTheme="minorEastAsia" w:hAnsiTheme="minorEastAsia" w:eastAsiaTheme="minorEastAsia"/>
          <w:b/>
          <w:highlight w:val="none"/>
          <w:lang w:val="en-US" w:eastAsia="zh-CN"/>
        </w:rPr>
      </w:pPr>
    </w:p>
    <w:p w14:paraId="24820A1E">
      <w:pPr>
        <w:ind w:firstLine="482"/>
        <w:jc w:val="center"/>
        <w:outlineLvl w:val="2"/>
        <w:rPr>
          <w:rFonts w:hint="eastAsia" w:asciiTheme="minorEastAsia" w:hAnsiTheme="minorEastAsia" w:eastAsiaTheme="minorEastAsia"/>
          <w:b/>
          <w:highlight w:val="none"/>
          <w:lang w:val="en-US" w:eastAsia="zh-CN"/>
        </w:rPr>
      </w:pPr>
    </w:p>
    <w:p w14:paraId="2CA6D937">
      <w:pPr>
        <w:ind w:firstLine="482"/>
        <w:jc w:val="center"/>
        <w:outlineLvl w:val="2"/>
        <w:rPr>
          <w:rFonts w:hint="eastAsia" w:asciiTheme="minorEastAsia" w:hAnsiTheme="minorEastAsia" w:eastAsiaTheme="minorEastAsia"/>
          <w:b/>
          <w:highlight w:val="none"/>
          <w:lang w:val="en-US" w:eastAsia="zh-CN"/>
        </w:rPr>
      </w:pPr>
    </w:p>
    <w:p w14:paraId="7E31A6F5">
      <w:pPr>
        <w:ind w:firstLine="482"/>
        <w:jc w:val="center"/>
        <w:outlineLvl w:val="2"/>
        <w:rPr>
          <w:rFonts w:hint="eastAsia" w:asciiTheme="minorEastAsia" w:hAnsiTheme="minorEastAsia" w:eastAsiaTheme="minorEastAsia"/>
          <w:b/>
          <w:highlight w:val="none"/>
          <w:lang w:val="en-US" w:eastAsia="zh-CN"/>
        </w:rPr>
      </w:pPr>
    </w:p>
    <w:p w14:paraId="791914AC">
      <w:pPr>
        <w:ind w:firstLine="482"/>
        <w:jc w:val="center"/>
        <w:outlineLvl w:val="2"/>
        <w:rPr>
          <w:rFonts w:hint="eastAsia" w:asciiTheme="minorEastAsia" w:hAnsiTheme="minorEastAsia" w:eastAsiaTheme="minorEastAsia"/>
          <w:b/>
          <w:highlight w:val="none"/>
          <w:lang w:val="en-US" w:eastAsia="zh-CN"/>
        </w:rPr>
      </w:pPr>
    </w:p>
    <w:p w14:paraId="2D58749B">
      <w:pPr>
        <w:ind w:firstLine="482"/>
        <w:jc w:val="center"/>
        <w:outlineLvl w:val="2"/>
        <w:rPr>
          <w:rFonts w:hint="eastAsia" w:asciiTheme="minorEastAsia" w:hAnsiTheme="minorEastAsia" w:eastAsiaTheme="minorEastAsia"/>
          <w:b/>
          <w:highlight w:val="none"/>
          <w:lang w:val="en-US" w:eastAsia="zh-CN"/>
        </w:rPr>
      </w:pPr>
    </w:p>
    <w:p w14:paraId="35D4508B">
      <w:pPr>
        <w:ind w:firstLine="482"/>
        <w:jc w:val="center"/>
        <w:outlineLvl w:val="2"/>
        <w:rPr>
          <w:rFonts w:hint="eastAsia" w:asciiTheme="minorEastAsia" w:hAnsiTheme="minorEastAsia" w:eastAsiaTheme="minorEastAsia"/>
          <w:b/>
          <w:highlight w:val="none"/>
          <w:lang w:val="en-US" w:eastAsia="zh-CN"/>
        </w:rPr>
      </w:pPr>
    </w:p>
    <w:p w14:paraId="0E8E470E">
      <w:pPr>
        <w:ind w:firstLine="482"/>
        <w:jc w:val="center"/>
        <w:outlineLvl w:val="2"/>
        <w:rPr>
          <w:rFonts w:hint="eastAsia" w:asciiTheme="minorEastAsia" w:hAnsiTheme="minorEastAsia" w:eastAsiaTheme="minorEastAsia"/>
          <w:b/>
          <w:highlight w:val="none"/>
          <w:lang w:val="en-US" w:eastAsia="zh-CN"/>
        </w:rPr>
      </w:pPr>
    </w:p>
    <w:p w14:paraId="180CEAD6">
      <w:pPr>
        <w:ind w:firstLine="482"/>
        <w:jc w:val="center"/>
        <w:outlineLvl w:val="2"/>
        <w:rPr>
          <w:rFonts w:hint="eastAsia" w:asciiTheme="minorEastAsia" w:hAnsiTheme="minorEastAsia" w:eastAsiaTheme="minorEastAsia"/>
          <w:b/>
          <w:highlight w:val="none"/>
          <w:lang w:val="en-US" w:eastAsia="zh-CN"/>
        </w:rPr>
      </w:pPr>
    </w:p>
    <w:p w14:paraId="7CB958BE">
      <w:pPr>
        <w:ind w:firstLine="482"/>
        <w:jc w:val="center"/>
        <w:outlineLvl w:val="2"/>
        <w:rPr>
          <w:rFonts w:hint="eastAsia" w:asciiTheme="minorEastAsia" w:hAnsiTheme="minorEastAsia" w:eastAsiaTheme="minorEastAsia"/>
          <w:b/>
          <w:highlight w:val="none"/>
          <w:lang w:val="en-US" w:eastAsia="zh-CN"/>
        </w:rPr>
      </w:pPr>
    </w:p>
    <w:p w14:paraId="01752B0E">
      <w:pPr>
        <w:ind w:firstLine="482"/>
        <w:jc w:val="center"/>
        <w:outlineLvl w:val="2"/>
        <w:rPr>
          <w:rFonts w:hint="eastAsia" w:asciiTheme="minorEastAsia" w:hAnsiTheme="minorEastAsia" w:eastAsiaTheme="minorEastAsia"/>
          <w:b/>
          <w:highlight w:val="none"/>
          <w:lang w:val="en-US" w:eastAsia="zh-CN"/>
        </w:rPr>
      </w:pPr>
    </w:p>
    <w:p w14:paraId="7EFC3D4B">
      <w:pPr>
        <w:ind w:firstLine="482"/>
        <w:jc w:val="center"/>
        <w:outlineLvl w:val="2"/>
        <w:rPr>
          <w:rFonts w:hint="eastAsia" w:asciiTheme="minorEastAsia" w:hAnsiTheme="minorEastAsia" w:eastAsiaTheme="minorEastAsia"/>
          <w:b/>
          <w:highlight w:val="none"/>
          <w:lang w:val="en-US" w:eastAsia="zh-CN"/>
        </w:rPr>
      </w:pPr>
    </w:p>
    <w:p w14:paraId="15500013">
      <w:pPr>
        <w:ind w:firstLine="482"/>
        <w:jc w:val="center"/>
        <w:outlineLvl w:val="2"/>
        <w:rPr>
          <w:rFonts w:hint="eastAsia" w:asciiTheme="minorEastAsia" w:hAnsiTheme="minorEastAsia" w:eastAsiaTheme="minorEastAsia"/>
          <w:b/>
          <w:highlight w:val="none"/>
          <w:lang w:val="en-US" w:eastAsia="zh-CN"/>
        </w:rPr>
      </w:pPr>
    </w:p>
    <w:p w14:paraId="0C7FC612">
      <w:pPr>
        <w:ind w:firstLine="482"/>
        <w:jc w:val="center"/>
        <w:outlineLvl w:val="2"/>
        <w:rPr>
          <w:rFonts w:hint="eastAsia" w:asciiTheme="minorEastAsia" w:hAnsiTheme="minorEastAsia" w:eastAsiaTheme="minorEastAsia"/>
          <w:b/>
          <w:highlight w:val="none"/>
          <w:lang w:val="en-US" w:eastAsia="zh-CN"/>
        </w:rPr>
      </w:pPr>
    </w:p>
    <w:p w14:paraId="388C5EC2">
      <w:pPr>
        <w:ind w:firstLine="482"/>
        <w:jc w:val="center"/>
        <w:outlineLvl w:val="2"/>
        <w:rPr>
          <w:rFonts w:hint="eastAsia" w:asciiTheme="minorEastAsia" w:hAnsiTheme="minorEastAsia" w:eastAsiaTheme="minorEastAsia"/>
          <w:b/>
          <w:highlight w:val="none"/>
          <w:lang w:val="en-US" w:eastAsia="zh-CN"/>
        </w:rPr>
      </w:pPr>
    </w:p>
    <w:p w14:paraId="7FEDDFF1">
      <w:pPr>
        <w:ind w:firstLine="482"/>
        <w:jc w:val="center"/>
        <w:outlineLvl w:val="2"/>
        <w:rPr>
          <w:rFonts w:hint="eastAsia" w:asciiTheme="minorEastAsia" w:hAnsiTheme="minorEastAsia" w:eastAsiaTheme="minorEastAsia"/>
          <w:b/>
          <w:highlight w:val="none"/>
          <w:lang w:val="en-US" w:eastAsia="zh-CN"/>
        </w:rPr>
      </w:pPr>
    </w:p>
    <w:p w14:paraId="1D38AD0E">
      <w:pPr>
        <w:ind w:firstLine="482"/>
        <w:jc w:val="center"/>
        <w:outlineLvl w:val="2"/>
        <w:rPr>
          <w:rFonts w:hint="eastAsia" w:asciiTheme="minorEastAsia" w:hAnsiTheme="minorEastAsia" w:eastAsiaTheme="minorEastAsia"/>
          <w:b/>
          <w:highlight w:val="none"/>
          <w:lang w:val="en-US" w:eastAsia="zh-CN"/>
        </w:rPr>
      </w:pPr>
    </w:p>
    <w:p w14:paraId="78834B75">
      <w:pPr>
        <w:ind w:firstLine="482"/>
        <w:jc w:val="center"/>
        <w:outlineLvl w:val="2"/>
        <w:rPr>
          <w:rFonts w:hint="eastAsia" w:asciiTheme="minorEastAsia" w:hAnsiTheme="minorEastAsia" w:eastAsiaTheme="minorEastAsia"/>
          <w:b/>
          <w:highlight w:val="none"/>
          <w:lang w:val="en-US" w:eastAsia="zh-CN"/>
        </w:rPr>
      </w:pPr>
    </w:p>
    <w:p w14:paraId="002CB871">
      <w:pPr>
        <w:ind w:firstLine="482"/>
        <w:jc w:val="center"/>
        <w:outlineLvl w:val="2"/>
        <w:rPr>
          <w:rFonts w:hint="eastAsia" w:asciiTheme="minorEastAsia" w:hAnsiTheme="minorEastAsia" w:eastAsiaTheme="minorEastAsia"/>
          <w:b/>
          <w:highlight w:val="none"/>
          <w:lang w:val="en-US" w:eastAsia="zh-CN"/>
        </w:rPr>
      </w:pPr>
    </w:p>
    <w:p w14:paraId="529EC31B">
      <w:pPr>
        <w:ind w:firstLine="482"/>
        <w:jc w:val="center"/>
        <w:outlineLvl w:val="2"/>
        <w:rPr>
          <w:rFonts w:hint="eastAsia" w:asciiTheme="minorEastAsia" w:hAnsiTheme="minorEastAsia" w:eastAsiaTheme="minorEastAsia"/>
          <w:b/>
          <w:highlight w:val="none"/>
          <w:lang w:val="en-US" w:eastAsia="zh-CN"/>
        </w:rPr>
      </w:pPr>
    </w:p>
    <w:p w14:paraId="2CCBF08E">
      <w:pPr>
        <w:ind w:firstLine="482"/>
        <w:jc w:val="center"/>
        <w:outlineLvl w:val="2"/>
        <w:rPr>
          <w:rFonts w:hint="eastAsia" w:asciiTheme="minorEastAsia" w:hAnsiTheme="minorEastAsia" w:eastAsiaTheme="minorEastAsia"/>
          <w:b/>
          <w:highlight w:val="none"/>
          <w:lang w:val="en-US" w:eastAsia="zh-CN"/>
        </w:rPr>
      </w:pPr>
    </w:p>
    <w:p w14:paraId="06C44644">
      <w:pPr>
        <w:ind w:firstLine="482"/>
        <w:jc w:val="center"/>
        <w:outlineLvl w:val="2"/>
        <w:rPr>
          <w:rFonts w:hint="eastAsia" w:asciiTheme="minorEastAsia" w:hAnsiTheme="minorEastAsia" w:eastAsiaTheme="minorEastAsia"/>
          <w:b/>
          <w:highlight w:val="none"/>
          <w:lang w:val="en-US" w:eastAsia="zh-CN"/>
        </w:rPr>
      </w:pPr>
    </w:p>
    <w:p w14:paraId="1BC58453">
      <w:pPr>
        <w:ind w:firstLine="482"/>
        <w:jc w:val="center"/>
        <w:outlineLvl w:val="2"/>
        <w:rPr>
          <w:rFonts w:hint="eastAsia" w:asciiTheme="minorEastAsia" w:hAnsiTheme="minorEastAsia" w:eastAsiaTheme="minorEastAsia"/>
          <w:b/>
          <w:highlight w:val="none"/>
          <w:lang w:val="en-US" w:eastAsia="zh-CN"/>
        </w:rPr>
      </w:pPr>
    </w:p>
    <w:p w14:paraId="35527AF2">
      <w:pPr>
        <w:ind w:firstLine="482"/>
        <w:jc w:val="center"/>
        <w:outlineLvl w:val="2"/>
        <w:rPr>
          <w:rFonts w:hint="eastAsia" w:asciiTheme="minorEastAsia" w:hAnsiTheme="minorEastAsia" w:eastAsiaTheme="minorEastAsia"/>
          <w:b/>
          <w:highlight w:val="none"/>
          <w:lang w:val="en-US" w:eastAsia="zh-CN"/>
        </w:rPr>
      </w:pPr>
    </w:p>
    <w:p w14:paraId="3B166568">
      <w:pPr>
        <w:pStyle w:val="26"/>
        <w:keepNext w:val="0"/>
        <w:keepLines w:val="0"/>
        <w:pageBreakBefore w:val="0"/>
        <w:kinsoku/>
        <w:wordWrap/>
        <w:overflowPunct/>
        <w:topLinePunct w:val="0"/>
        <w:autoSpaceDE/>
        <w:autoSpaceDN/>
        <w:bidi w:val="0"/>
        <w:adjustRightInd/>
        <w:snapToGrid/>
        <w:spacing w:line="520" w:lineRule="exact"/>
        <w:ind w:left="0" w:leftChars="0" w:right="0"/>
        <w:jc w:val="center"/>
        <w:textAlignment w:val="auto"/>
        <w:rPr>
          <w:rFonts w:hint="eastAsia" w:cs="宋体" w:asciiTheme="minorEastAsia" w:hAnsiTheme="minorEastAsia" w:eastAsiaTheme="minorEastAsia"/>
          <w:b/>
          <w:highlight w:val="none"/>
          <w:lang w:val="en-US" w:eastAsia="zh-CN"/>
        </w:rPr>
      </w:pPr>
      <w:r>
        <w:rPr>
          <w:rFonts w:hint="eastAsia" w:cs="宋体" w:asciiTheme="minorEastAsia" w:hAnsiTheme="minorEastAsia" w:eastAsiaTheme="minorEastAsia"/>
          <w:b/>
          <w:highlight w:val="none"/>
          <w:lang w:val="en-US" w:eastAsia="zh-CN"/>
        </w:rPr>
        <w:t>十一、管理体系认证</w:t>
      </w:r>
    </w:p>
    <w:p w14:paraId="75553F8A">
      <w:pPr>
        <w:ind w:firstLine="482"/>
        <w:jc w:val="center"/>
        <w:outlineLvl w:val="2"/>
        <w:rPr>
          <w:rFonts w:hint="eastAsia" w:asciiTheme="minorEastAsia" w:hAnsiTheme="minorEastAsia" w:eastAsiaTheme="minorEastAsia"/>
          <w:b/>
          <w:highlight w:val="none"/>
          <w:lang w:val="en-US" w:eastAsia="zh-CN"/>
        </w:rPr>
      </w:pPr>
    </w:p>
    <w:p w14:paraId="26FA4545">
      <w:pPr>
        <w:ind w:firstLine="482"/>
        <w:jc w:val="center"/>
        <w:outlineLvl w:val="2"/>
        <w:rPr>
          <w:rFonts w:hint="eastAsia" w:asciiTheme="minorEastAsia" w:hAnsiTheme="minorEastAsia" w:eastAsiaTheme="minorEastAsia"/>
          <w:b/>
          <w:highlight w:val="none"/>
          <w:lang w:val="en-US" w:eastAsia="zh-CN"/>
        </w:rPr>
      </w:pPr>
    </w:p>
    <w:p w14:paraId="3A79441A">
      <w:pPr>
        <w:ind w:firstLine="482"/>
        <w:jc w:val="center"/>
        <w:outlineLvl w:val="2"/>
        <w:rPr>
          <w:rFonts w:hint="eastAsia" w:asciiTheme="minorEastAsia" w:hAnsiTheme="minorEastAsia" w:eastAsiaTheme="minorEastAsia"/>
          <w:b/>
          <w:highlight w:val="none"/>
          <w:lang w:val="en-US" w:eastAsia="zh-CN"/>
        </w:rPr>
      </w:pPr>
    </w:p>
    <w:p w14:paraId="58CF0169">
      <w:pPr>
        <w:ind w:firstLine="482"/>
        <w:jc w:val="center"/>
        <w:outlineLvl w:val="2"/>
        <w:rPr>
          <w:rFonts w:hint="eastAsia" w:asciiTheme="minorEastAsia" w:hAnsiTheme="minorEastAsia" w:eastAsiaTheme="minorEastAsia"/>
          <w:b/>
          <w:highlight w:val="none"/>
          <w:lang w:val="en-US" w:eastAsia="zh-CN"/>
        </w:rPr>
      </w:pPr>
    </w:p>
    <w:p w14:paraId="753112E1">
      <w:pPr>
        <w:ind w:firstLine="482"/>
        <w:jc w:val="center"/>
        <w:outlineLvl w:val="2"/>
        <w:rPr>
          <w:rFonts w:hint="eastAsia" w:asciiTheme="minorEastAsia" w:hAnsiTheme="minorEastAsia" w:eastAsiaTheme="minorEastAsia"/>
          <w:b/>
          <w:highlight w:val="none"/>
          <w:lang w:val="en-US" w:eastAsia="zh-CN"/>
        </w:rPr>
      </w:pPr>
    </w:p>
    <w:p w14:paraId="19CD4586">
      <w:pPr>
        <w:ind w:firstLine="482"/>
        <w:jc w:val="center"/>
        <w:outlineLvl w:val="2"/>
        <w:rPr>
          <w:rFonts w:hint="eastAsia" w:asciiTheme="minorEastAsia" w:hAnsiTheme="minorEastAsia" w:eastAsiaTheme="minorEastAsia"/>
          <w:b/>
          <w:highlight w:val="none"/>
          <w:lang w:val="en-US" w:eastAsia="zh-CN"/>
        </w:rPr>
      </w:pPr>
    </w:p>
    <w:p w14:paraId="52F5BFAE">
      <w:pPr>
        <w:ind w:firstLine="482"/>
        <w:jc w:val="center"/>
        <w:outlineLvl w:val="2"/>
        <w:rPr>
          <w:rFonts w:hint="eastAsia" w:asciiTheme="minorEastAsia" w:hAnsiTheme="minorEastAsia" w:eastAsiaTheme="minorEastAsia"/>
          <w:b/>
          <w:highlight w:val="none"/>
          <w:lang w:val="en-US" w:eastAsia="zh-CN"/>
        </w:rPr>
      </w:pPr>
    </w:p>
    <w:p w14:paraId="0E0A3989">
      <w:pPr>
        <w:ind w:firstLine="482"/>
        <w:jc w:val="center"/>
        <w:outlineLvl w:val="2"/>
        <w:rPr>
          <w:rFonts w:hint="eastAsia" w:asciiTheme="minorEastAsia" w:hAnsiTheme="minorEastAsia" w:eastAsiaTheme="minorEastAsia"/>
          <w:b/>
          <w:highlight w:val="none"/>
          <w:lang w:val="en-US" w:eastAsia="zh-CN"/>
        </w:rPr>
      </w:pPr>
    </w:p>
    <w:p w14:paraId="1CBC6800">
      <w:pPr>
        <w:ind w:firstLine="482"/>
        <w:jc w:val="center"/>
        <w:outlineLvl w:val="2"/>
        <w:rPr>
          <w:rFonts w:hint="eastAsia" w:asciiTheme="minorEastAsia" w:hAnsiTheme="minorEastAsia" w:eastAsiaTheme="minorEastAsia"/>
          <w:b/>
          <w:highlight w:val="none"/>
          <w:lang w:val="en-US" w:eastAsia="zh-CN"/>
        </w:rPr>
      </w:pPr>
    </w:p>
    <w:p w14:paraId="19F94712">
      <w:pPr>
        <w:ind w:firstLine="482"/>
        <w:jc w:val="center"/>
        <w:outlineLvl w:val="2"/>
        <w:rPr>
          <w:rFonts w:hint="eastAsia" w:asciiTheme="minorEastAsia" w:hAnsiTheme="minorEastAsia" w:eastAsiaTheme="minorEastAsia"/>
          <w:b/>
          <w:highlight w:val="none"/>
          <w:lang w:val="en-US" w:eastAsia="zh-CN"/>
        </w:rPr>
      </w:pPr>
    </w:p>
    <w:p w14:paraId="30930D22">
      <w:pPr>
        <w:ind w:firstLine="482"/>
        <w:jc w:val="center"/>
        <w:outlineLvl w:val="2"/>
        <w:rPr>
          <w:rFonts w:hint="eastAsia" w:asciiTheme="minorEastAsia" w:hAnsiTheme="minorEastAsia" w:eastAsiaTheme="minorEastAsia"/>
          <w:b/>
          <w:highlight w:val="none"/>
          <w:lang w:val="en-US" w:eastAsia="zh-CN"/>
        </w:rPr>
      </w:pPr>
    </w:p>
    <w:p w14:paraId="76BB1153">
      <w:pPr>
        <w:ind w:firstLine="482"/>
        <w:jc w:val="center"/>
        <w:outlineLvl w:val="2"/>
        <w:rPr>
          <w:rFonts w:hint="eastAsia" w:asciiTheme="minorEastAsia" w:hAnsiTheme="minorEastAsia" w:eastAsiaTheme="minorEastAsia"/>
          <w:b/>
          <w:highlight w:val="none"/>
          <w:lang w:val="en-US" w:eastAsia="zh-CN"/>
        </w:rPr>
      </w:pPr>
    </w:p>
    <w:p w14:paraId="752D51D2">
      <w:pPr>
        <w:ind w:firstLine="482"/>
        <w:jc w:val="center"/>
        <w:outlineLvl w:val="2"/>
        <w:rPr>
          <w:rFonts w:hint="eastAsia" w:asciiTheme="minorEastAsia" w:hAnsiTheme="minorEastAsia" w:eastAsiaTheme="minorEastAsia"/>
          <w:b/>
          <w:highlight w:val="none"/>
          <w:lang w:val="en-US" w:eastAsia="zh-CN"/>
        </w:rPr>
      </w:pPr>
    </w:p>
    <w:p w14:paraId="685D6491">
      <w:pPr>
        <w:ind w:firstLine="482"/>
        <w:jc w:val="center"/>
        <w:outlineLvl w:val="2"/>
        <w:rPr>
          <w:rFonts w:hint="eastAsia" w:asciiTheme="minorEastAsia" w:hAnsiTheme="minorEastAsia" w:eastAsiaTheme="minorEastAsia"/>
          <w:b/>
          <w:highlight w:val="none"/>
          <w:lang w:val="en-US" w:eastAsia="zh-CN"/>
        </w:rPr>
      </w:pPr>
    </w:p>
    <w:p w14:paraId="4356EF89">
      <w:pPr>
        <w:ind w:firstLine="482"/>
        <w:jc w:val="center"/>
        <w:outlineLvl w:val="2"/>
        <w:rPr>
          <w:rFonts w:hint="eastAsia" w:asciiTheme="minorEastAsia" w:hAnsiTheme="minorEastAsia" w:eastAsiaTheme="minorEastAsia"/>
          <w:b/>
          <w:highlight w:val="none"/>
          <w:lang w:val="en-US" w:eastAsia="zh-CN"/>
        </w:rPr>
      </w:pPr>
    </w:p>
    <w:p w14:paraId="7492DF76">
      <w:pPr>
        <w:ind w:firstLine="482"/>
        <w:jc w:val="center"/>
        <w:outlineLvl w:val="2"/>
        <w:rPr>
          <w:rFonts w:hint="eastAsia" w:asciiTheme="minorEastAsia" w:hAnsiTheme="minorEastAsia" w:eastAsiaTheme="minorEastAsia"/>
          <w:b/>
          <w:highlight w:val="none"/>
          <w:lang w:val="en-US" w:eastAsia="zh-CN"/>
        </w:rPr>
      </w:pPr>
    </w:p>
    <w:p w14:paraId="2F12A9D0">
      <w:pPr>
        <w:ind w:firstLine="482"/>
        <w:jc w:val="center"/>
        <w:outlineLvl w:val="2"/>
        <w:rPr>
          <w:rFonts w:hint="eastAsia" w:asciiTheme="minorEastAsia" w:hAnsiTheme="minorEastAsia" w:eastAsiaTheme="minorEastAsia"/>
          <w:b/>
          <w:highlight w:val="none"/>
          <w:lang w:val="en-US" w:eastAsia="zh-CN"/>
        </w:rPr>
      </w:pPr>
    </w:p>
    <w:p w14:paraId="1CB52243">
      <w:pPr>
        <w:ind w:firstLine="482"/>
        <w:jc w:val="center"/>
        <w:outlineLvl w:val="2"/>
        <w:rPr>
          <w:rFonts w:hint="eastAsia" w:asciiTheme="minorEastAsia" w:hAnsiTheme="minorEastAsia" w:eastAsiaTheme="minorEastAsia"/>
          <w:b/>
          <w:highlight w:val="none"/>
          <w:lang w:val="en-US" w:eastAsia="zh-CN"/>
        </w:rPr>
      </w:pPr>
    </w:p>
    <w:p w14:paraId="71577F3D">
      <w:pPr>
        <w:ind w:firstLine="482"/>
        <w:jc w:val="center"/>
        <w:outlineLvl w:val="2"/>
        <w:rPr>
          <w:rFonts w:hint="eastAsia" w:asciiTheme="minorEastAsia" w:hAnsiTheme="minorEastAsia" w:eastAsiaTheme="minorEastAsia"/>
          <w:b/>
          <w:highlight w:val="none"/>
          <w:lang w:val="en-US" w:eastAsia="zh-CN"/>
        </w:rPr>
      </w:pPr>
    </w:p>
    <w:p w14:paraId="2AD530B5">
      <w:pPr>
        <w:ind w:firstLine="482"/>
        <w:jc w:val="center"/>
        <w:outlineLvl w:val="2"/>
        <w:rPr>
          <w:rFonts w:hint="eastAsia" w:asciiTheme="minorEastAsia" w:hAnsiTheme="minorEastAsia" w:eastAsiaTheme="minorEastAsia"/>
          <w:b/>
          <w:highlight w:val="none"/>
          <w:lang w:val="en-US" w:eastAsia="zh-CN"/>
        </w:rPr>
      </w:pPr>
    </w:p>
    <w:p w14:paraId="2D99B525">
      <w:pPr>
        <w:ind w:firstLine="482"/>
        <w:jc w:val="center"/>
        <w:outlineLvl w:val="2"/>
        <w:rPr>
          <w:rFonts w:hint="eastAsia" w:asciiTheme="minorEastAsia" w:hAnsiTheme="minorEastAsia" w:eastAsiaTheme="minorEastAsia"/>
          <w:b/>
          <w:highlight w:val="none"/>
          <w:lang w:val="en-US" w:eastAsia="zh-CN"/>
        </w:rPr>
      </w:pPr>
    </w:p>
    <w:p w14:paraId="2D92B162">
      <w:pPr>
        <w:ind w:firstLine="482"/>
        <w:jc w:val="center"/>
        <w:outlineLvl w:val="2"/>
        <w:rPr>
          <w:rFonts w:hint="eastAsia" w:asciiTheme="minorEastAsia" w:hAnsiTheme="minorEastAsia" w:eastAsiaTheme="minorEastAsia"/>
          <w:b/>
          <w:highlight w:val="none"/>
          <w:lang w:val="en-US" w:eastAsia="zh-CN"/>
        </w:rPr>
      </w:pPr>
    </w:p>
    <w:p w14:paraId="3D9C2FCA">
      <w:pPr>
        <w:ind w:firstLine="482"/>
        <w:jc w:val="center"/>
        <w:outlineLvl w:val="2"/>
        <w:rPr>
          <w:rFonts w:hint="eastAsia" w:asciiTheme="minorEastAsia" w:hAnsiTheme="minorEastAsia" w:eastAsiaTheme="minorEastAsia"/>
          <w:b/>
          <w:highlight w:val="none"/>
          <w:lang w:val="en-US" w:eastAsia="zh-CN"/>
        </w:rPr>
      </w:pPr>
    </w:p>
    <w:p w14:paraId="11822E65">
      <w:pPr>
        <w:ind w:firstLine="482"/>
        <w:jc w:val="center"/>
        <w:outlineLvl w:val="2"/>
        <w:rPr>
          <w:rFonts w:hint="eastAsia" w:asciiTheme="minorEastAsia" w:hAnsiTheme="minorEastAsia" w:eastAsiaTheme="minorEastAsia"/>
          <w:b/>
          <w:highlight w:val="none"/>
          <w:lang w:val="en-US" w:eastAsia="zh-CN"/>
        </w:rPr>
      </w:pPr>
    </w:p>
    <w:p w14:paraId="4A9AFA58">
      <w:pPr>
        <w:ind w:firstLine="482"/>
        <w:jc w:val="center"/>
        <w:outlineLvl w:val="2"/>
        <w:rPr>
          <w:rFonts w:hint="eastAsia" w:asciiTheme="minorEastAsia" w:hAnsiTheme="minorEastAsia" w:eastAsiaTheme="minorEastAsia"/>
          <w:b/>
          <w:highlight w:val="none"/>
          <w:lang w:val="en-US" w:eastAsia="zh-CN"/>
        </w:rPr>
      </w:pPr>
    </w:p>
    <w:p w14:paraId="551F5115">
      <w:pPr>
        <w:ind w:firstLine="482"/>
        <w:jc w:val="center"/>
        <w:outlineLvl w:val="2"/>
        <w:rPr>
          <w:rFonts w:hint="eastAsia" w:asciiTheme="minorEastAsia" w:hAnsiTheme="minorEastAsia" w:eastAsiaTheme="minorEastAsia"/>
          <w:b/>
          <w:highlight w:val="none"/>
          <w:lang w:val="en-US" w:eastAsia="zh-CN"/>
        </w:rPr>
      </w:pPr>
    </w:p>
    <w:p w14:paraId="173D9D70">
      <w:pPr>
        <w:ind w:firstLine="482"/>
        <w:jc w:val="center"/>
        <w:outlineLvl w:val="2"/>
        <w:rPr>
          <w:rFonts w:hint="eastAsia" w:asciiTheme="minorEastAsia" w:hAnsiTheme="minorEastAsia" w:eastAsiaTheme="minorEastAsia"/>
          <w:b/>
          <w:highlight w:val="none"/>
          <w:lang w:val="en-US" w:eastAsia="zh-CN"/>
        </w:rPr>
      </w:pPr>
    </w:p>
    <w:p w14:paraId="5DD91772">
      <w:pPr>
        <w:ind w:firstLine="482"/>
        <w:jc w:val="center"/>
        <w:outlineLvl w:val="2"/>
        <w:rPr>
          <w:rFonts w:hint="eastAsia" w:asciiTheme="minorEastAsia" w:hAnsiTheme="minorEastAsia" w:eastAsiaTheme="minorEastAsia"/>
          <w:b/>
          <w:highlight w:val="none"/>
          <w:lang w:val="en-US" w:eastAsia="zh-CN"/>
        </w:rPr>
      </w:pPr>
    </w:p>
    <w:p w14:paraId="5C4C394B">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lang w:val="en-US" w:eastAsia="zh-CN"/>
        </w:rPr>
        <w:t>十二</w:t>
      </w:r>
      <w:r>
        <w:rPr>
          <w:rFonts w:hint="eastAsia" w:asciiTheme="minorEastAsia" w:hAnsiTheme="minorEastAsia" w:eastAsiaTheme="minorEastAsia"/>
          <w:b/>
          <w:highlight w:val="none"/>
        </w:rPr>
        <w:t>、其他相关证明材料</w:t>
      </w:r>
    </w:p>
    <w:p w14:paraId="3F4B9276">
      <w:pPr>
        <w:ind w:firstLine="480"/>
        <w:jc w:val="center"/>
        <w:rPr>
          <w:szCs w:val="24"/>
          <w:highlight w:val="none"/>
        </w:rPr>
      </w:pPr>
      <w:bookmarkStart w:id="41" w:name="_Toc29973"/>
      <w:bookmarkStart w:id="42" w:name="_Toc19685"/>
      <w:r>
        <w:rPr>
          <w:rFonts w:hint="eastAsia"/>
          <w:szCs w:val="24"/>
          <w:highlight w:val="none"/>
        </w:rPr>
        <w:t>供应商按照第四章评审方法和标准放置的其他资料。</w:t>
      </w:r>
      <w:bookmarkEnd w:id="41"/>
      <w:bookmarkEnd w:id="42"/>
    </w:p>
    <w:p w14:paraId="4B8DF6C6">
      <w:pPr>
        <w:ind w:firstLine="480"/>
        <w:rPr>
          <w:szCs w:val="22"/>
          <w:highlight w:val="none"/>
        </w:rPr>
      </w:pPr>
      <w:r>
        <w:rPr>
          <w:rFonts w:hint="eastAsia"/>
          <w:szCs w:val="22"/>
          <w:highlight w:val="none"/>
        </w:rPr>
        <w:br w:type="page"/>
      </w:r>
    </w:p>
    <w:p w14:paraId="42341391">
      <w:pPr>
        <w:ind w:firstLine="883"/>
        <w:rPr>
          <w:rFonts w:cs="宋体"/>
          <w:b/>
          <w:bCs/>
          <w:sz w:val="44"/>
          <w:szCs w:val="44"/>
          <w:highlight w:val="none"/>
        </w:rPr>
      </w:pPr>
      <w:r>
        <w:rPr>
          <w:rFonts w:hint="eastAsia" w:cs="宋体"/>
          <w:b/>
          <w:bCs/>
          <w:sz w:val="44"/>
          <w:szCs w:val="44"/>
          <w:highlight w:val="none"/>
        </w:rPr>
        <w:t>附件：全流程电子招标采购具体要求</w:t>
      </w:r>
      <w:r>
        <w:rPr>
          <w:rStyle w:val="19"/>
          <w:rFonts w:hint="eastAsia" w:cs="宋体"/>
          <w:b/>
          <w:bCs/>
          <w:sz w:val="44"/>
          <w:szCs w:val="44"/>
          <w:highlight w:val="none"/>
        </w:rPr>
        <w:footnoteReference w:id="0"/>
      </w:r>
    </w:p>
    <w:p w14:paraId="77EBEAD1">
      <w:pPr>
        <w:spacing w:line="400" w:lineRule="exact"/>
        <w:ind w:firstLine="480"/>
        <w:rPr>
          <w:rFonts w:cs="宋体"/>
          <w:szCs w:val="24"/>
          <w:highlight w:val="none"/>
        </w:rPr>
      </w:pPr>
      <w:r>
        <w:rPr>
          <w:rFonts w:hint="eastAsia" w:cs="宋体"/>
          <w:szCs w:val="24"/>
          <w:highlight w:val="none"/>
        </w:rPr>
        <w:t>说明：当采用非招标方式进行全流程电子采购活动时，按照本规定执行，其中本要求“供应商”按“</w:t>
      </w:r>
      <w:r>
        <w:rPr>
          <w:rFonts w:hint="eastAsia"/>
          <w:szCs w:val="18"/>
          <w:highlight w:val="none"/>
        </w:rPr>
        <w:t>供应商</w:t>
      </w:r>
      <w:r>
        <w:rPr>
          <w:rFonts w:hint="eastAsia" w:cs="宋体"/>
          <w:szCs w:val="24"/>
          <w:highlight w:val="none"/>
        </w:rPr>
        <w:t>”理解，“投标文件”按“响应文件”理解，“招标文件”按“采购文件”理解，“投标文件递交截止时间”按“首次递交响应文件截止时间”理解，“开标”按“开启响应文件”理解，“评审委员会”按“评审小组”理解，“投标无效”按“响应文件无效”理解。</w:t>
      </w:r>
    </w:p>
    <w:p w14:paraId="692CC5BE">
      <w:pPr>
        <w:spacing w:line="400" w:lineRule="exact"/>
        <w:ind w:firstLine="480"/>
        <w:rPr>
          <w:rFonts w:cs="宋体"/>
          <w:szCs w:val="24"/>
          <w:highlight w:val="none"/>
        </w:rPr>
      </w:pPr>
    </w:p>
    <w:p w14:paraId="5EADBBD3">
      <w:pPr>
        <w:spacing w:line="400" w:lineRule="exact"/>
        <w:ind w:firstLine="480"/>
        <w:rPr>
          <w:rFonts w:cs="宋体"/>
          <w:szCs w:val="24"/>
          <w:highlight w:val="none"/>
        </w:rPr>
      </w:pPr>
      <w:r>
        <w:rPr>
          <w:rFonts w:hint="eastAsia" w:cs="宋体"/>
          <w:szCs w:val="24"/>
          <w:highlight w:val="none"/>
        </w:rPr>
        <w:t>一、</w:t>
      </w:r>
      <w:r>
        <w:rPr>
          <w:rFonts w:hint="eastAsia" w:cs="宋体"/>
          <w:highlight w:val="none"/>
        </w:rPr>
        <w:t>CA</w:t>
      </w:r>
      <w:r>
        <w:rPr>
          <w:rFonts w:hint="eastAsia" w:cs="宋体"/>
          <w:szCs w:val="24"/>
          <w:highlight w:val="none"/>
        </w:rPr>
        <w:t>证书办理和注意事项</w:t>
      </w:r>
    </w:p>
    <w:p w14:paraId="51B186BA">
      <w:pPr>
        <w:spacing w:line="400" w:lineRule="exact"/>
        <w:ind w:firstLine="480"/>
        <w:rPr>
          <w:rFonts w:cs="宋体"/>
          <w:highlight w:val="none"/>
        </w:rPr>
      </w:pPr>
      <w:r>
        <w:rPr>
          <w:rFonts w:hint="eastAsia" w:cs="宋体"/>
          <w:szCs w:val="24"/>
          <w:highlight w:val="none"/>
        </w:rPr>
        <w:t>1.本项目采用全流程电子招标采购方式，</w:t>
      </w:r>
      <w:r>
        <w:rPr>
          <w:rFonts w:hint="eastAsia" w:cs="宋体"/>
          <w:highlight w:val="none"/>
        </w:rPr>
        <w:t>潜在</w:t>
      </w:r>
      <w:r>
        <w:rPr>
          <w:rFonts w:hint="eastAsia"/>
          <w:szCs w:val="18"/>
          <w:highlight w:val="none"/>
        </w:rPr>
        <w:t>供应商</w:t>
      </w:r>
      <w:r>
        <w:rPr>
          <w:rFonts w:hint="eastAsia" w:cs="宋体"/>
          <w:highlight w:val="none"/>
        </w:rPr>
        <w:t>应及时办理CA证书，用于对投标文件进行电子签章及加、解密。</w:t>
      </w:r>
    </w:p>
    <w:p w14:paraId="3C44A33F">
      <w:pPr>
        <w:spacing w:line="400" w:lineRule="exact"/>
        <w:ind w:firstLine="480"/>
        <w:rPr>
          <w:rFonts w:cs="宋体"/>
          <w:bCs/>
          <w:highlight w:val="none"/>
        </w:rPr>
      </w:pPr>
      <w:r>
        <w:rPr>
          <w:rFonts w:hint="eastAsia" w:cs="宋体"/>
          <w:szCs w:val="24"/>
          <w:highlight w:val="none"/>
        </w:rPr>
        <w:t>2.CA</w:t>
      </w:r>
      <w:r>
        <w:rPr>
          <w:rFonts w:hint="eastAsia" w:cs="宋体"/>
          <w:highlight w:val="none"/>
        </w:rPr>
        <w:t>证书</w:t>
      </w:r>
      <w:r>
        <w:rPr>
          <w:rFonts w:hint="eastAsia" w:cs="宋体"/>
          <w:szCs w:val="24"/>
          <w:highlight w:val="none"/>
        </w:rPr>
        <w:t>办理详见</w:t>
      </w:r>
      <w:r>
        <w:rPr>
          <w:rFonts w:hint="eastAsia" w:cs="宋体"/>
          <w:bCs/>
          <w:highlight w:val="none"/>
        </w:rPr>
        <w:t>《优质采平台CA数字证书办理说明》：</w:t>
      </w:r>
    </w:p>
    <w:p w14:paraId="5E14B719">
      <w:pPr>
        <w:spacing w:line="400" w:lineRule="exact"/>
        <w:ind w:firstLine="480"/>
        <w:rPr>
          <w:rFonts w:cs="宋体"/>
          <w:b/>
          <w:bCs/>
          <w:highlight w:val="none"/>
        </w:rPr>
      </w:pPr>
      <w:r>
        <w:rPr>
          <w:highlight w:val="none"/>
        </w:rPr>
        <w:fldChar w:fldCharType="begin"/>
      </w:r>
      <w:r>
        <w:rPr>
          <w:highlight w:val="none"/>
        </w:rPr>
        <w:instrText xml:space="preserve"> HYPERLINK "http://www.youzhicai.com/ActivityTopic/AdviceDetail/8f80a7ec-911f-4c4d-a123-f8849880f045" </w:instrText>
      </w:r>
      <w:r>
        <w:rPr>
          <w:highlight w:val="none"/>
        </w:rPr>
        <w:fldChar w:fldCharType="separate"/>
      </w:r>
      <w:r>
        <w:rPr>
          <w:rStyle w:val="18"/>
          <w:rFonts w:hint="eastAsia" w:cs="宋体"/>
          <w:bCs/>
          <w:color w:val="auto"/>
          <w:highlight w:val="none"/>
        </w:rPr>
        <w:t>http://www.youzhicai.com/ActivityTopic/AdviceDetail/8f80a7ec-911f-4c4d-a123-f</w:t>
      </w:r>
      <w:bookmarkStart w:id="43" w:name="_Hlt105085547"/>
      <w:bookmarkStart w:id="44" w:name="_Hlt105085548"/>
      <w:r>
        <w:rPr>
          <w:rStyle w:val="18"/>
          <w:rFonts w:hint="eastAsia" w:cs="宋体"/>
          <w:bCs/>
          <w:color w:val="auto"/>
          <w:highlight w:val="none"/>
        </w:rPr>
        <w:t>8</w:t>
      </w:r>
      <w:bookmarkEnd w:id="43"/>
      <w:bookmarkEnd w:id="44"/>
      <w:r>
        <w:rPr>
          <w:rStyle w:val="18"/>
          <w:rFonts w:hint="eastAsia" w:cs="宋体"/>
          <w:bCs/>
          <w:color w:val="auto"/>
          <w:highlight w:val="none"/>
        </w:rPr>
        <w:t>849880f045</w:t>
      </w:r>
      <w:r>
        <w:rPr>
          <w:rStyle w:val="18"/>
          <w:rFonts w:hint="eastAsia" w:cs="宋体"/>
          <w:bCs/>
          <w:color w:val="auto"/>
          <w:highlight w:val="none"/>
        </w:rPr>
        <w:fldChar w:fldCharType="end"/>
      </w:r>
      <w:r>
        <w:rPr>
          <w:rFonts w:hint="eastAsia" w:cs="宋体"/>
          <w:bCs/>
          <w:highlight w:val="none"/>
        </w:rPr>
        <w:t>。</w:t>
      </w:r>
    </w:p>
    <w:p w14:paraId="55030D3B">
      <w:pPr>
        <w:spacing w:line="400" w:lineRule="exact"/>
        <w:ind w:firstLine="480"/>
        <w:rPr>
          <w:rFonts w:cs="宋体"/>
          <w:highlight w:val="none"/>
        </w:rPr>
      </w:pPr>
      <w:r>
        <w:rPr>
          <w:rFonts w:hint="eastAsia" w:cs="宋体"/>
          <w:szCs w:val="24"/>
          <w:highlight w:val="none"/>
        </w:rPr>
        <w:t>3.CA</w:t>
      </w:r>
      <w:r>
        <w:rPr>
          <w:rFonts w:hint="eastAsia" w:cs="宋体"/>
          <w:highlight w:val="none"/>
        </w:rPr>
        <w:t>证书</w:t>
      </w:r>
      <w:r>
        <w:rPr>
          <w:rFonts w:hint="eastAsia" w:cs="宋体"/>
          <w:szCs w:val="24"/>
          <w:highlight w:val="none"/>
        </w:rPr>
        <w:t>到期或即将到期，须在递交投标文件前办理续期。</w:t>
      </w:r>
    </w:p>
    <w:p w14:paraId="3969683C">
      <w:pPr>
        <w:spacing w:line="400" w:lineRule="exact"/>
        <w:ind w:firstLine="480"/>
        <w:rPr>
          <w:rFonts w:cs="宋体"/>
          <w:highlight w:val="none"/>
        </w:rPr>
      </w:pPr>
      <w:r>
        <w:rPr>
          <w:rFonts w:hint="eastAsia" w:cs="宋体"/>
          <w:szCs w:val="24"/>
          <w:highlight w:val="none"/>
        </w:rPr>
        <w:t>4.CA锁</w:t>
      </w:r>
      <w:r>
        <w:rPr>
          <w:rFonts w:hint="eastAsia" w:cs="宋体"/>
          <w:highlight w:val="none"/>
        </w:rPr>
        <w:t>遗失、损坏等无法使用，须在递交投标文件前补办CA锁。</w:t>
      </w:r>
    </w:p>
    <w:p w14:paraId="720BD7CE">
      <w:pPr>
        <w:spacing w:line="400" w:lineRule="exact"/>
        <w:ind w:firstLine="480"/>
        <w:rPr>
          <w:rFonts w:cs="宋体"/>
          <w:highlight w:val="none"/>
        </w:rPr>
      </w:pPr>
      <w:r>
        <w:rPr>
          <w:rFonts w:hint="eastAsia" w:cs="宋体"/>
          <w:szCs w:val="24"/>
          <w:highlight w:val="none"/>
        </w:rPr>
        <w:t>5.企业</w:t>
      </w:r>
      <w:r>
        <w:rPr>
          <w:rFonts w:hint="eastAsia" w:cs="宋体"/>
          <w:highlight w:val="none"/>
        </w:rPr>
        <w:t>信息（包括但不限于企业名称和法定代表人信息）发生变更的，须在递交投标文件前变更CA证书。</w:t>
      </w:r>
    </w:p>
    <w:p w14:paraId="520B1EFC">
      <w:pPr>
        <w:spacing w:line="400" w:lineRule="exact"/>
        <w:ind w:firstLine="480"/>
        <w:rPr>
          <w:rFonts w:cs="宋体"/>
          <w:szCs w:val="24"/>
          <w:highlight w:val="none"/>
        </w:rPr>
      </w:pPr>
      <w:r>
        <w:rPr>
          <w:rFonts w:hint="eastAsia" w:cs="宋体"/>
          <w:szCs w:val="24"/>
          <w:highlight w:val="none"/>
        </w:rPr>
        <w:tab/>
      </w:r>
      <w:r>
        <w:rPr>
          <w:rFonts w:hint="eastAsia" w:cs="宋体"/>
          <w:szCs w:val="24"/>
          <w:highlight w:val="none"/>
        </w:rPr>
        <w:t>6.</w:t>
      </w:r>
      <w:r>
        <w:rPr>
          <w:rFonts w:hint="eastAsia"/>
          <w:szCs w:val="18"/>
          <w:highlight w:val="none"/>
        </w:rPr>
        <w:t xml:space="preserve"> 供应商</w:t>
      </w:r>
      <w:r>
        <w:rPr>
          <w:rFonts w:hint="eastAsia" w:cs="宋体"/>
          <w:szCs w:val="24"/>
          <w:highlight w:val="none"/>
        </w:rPr>
        <w:t>由于</w:t>
      </w:r>
      <w:r>
        <w:rPr>
          <w:rFonts w:hint="eastAsia" w:cs="宋体"/>
          <w:highlight w:val="none"/>
        </w:rPr>
        <w:t>CA证书</w:t>
      </w:r>
      <w:r>
        <w:rPr>
          <w:rFonts w:hint="eastAsia" w:cs="宋体"/>
          <w:szCs w:val="24"/>
          <w:highlight w:val="none"/>
        </w:rPr>
        <w:t>遗失、损坏、更换、续期、企业信息变更等情况导致投标文件无法解密的，由</w:t>
      </w:r>
      <w:r>
        <w:rPr>
          <w:rFonts w:hint="eastAsia"/>
          <w:szCs w:val="18"/>
          <w:highlight w:val="none"/>
        </w:rPr>
        <w:t>供应商</w:t>
      </w:r>
      <w:r>
        <w:rPr>
          <w:rFonts w:hint="eastAsia" w:cs="宋体"/>
          <w:szCs w:val="24"/>
          <w:highlight w:val="none"/>
        </w:rPr>
        <w:t>自行承担责任；</w:t>
      </w:r>
    </w:p>
    <w:p w14:paraId="1EF3A2B1">
      <w:pPr>
        <w:spacing w:line="400" w:lineRule="exact"/>
        <w:ind w:firstLine="480"/>
        <w:rPr>
          <w:rFonts w:cs="宋体"/>
          <w:szCs w:val="24"/>
          <w:highlight w:val="none"/>
        </w:rPr>
      </w:pPr>
      <w:r>
        <w:rPr>
          <w:rFonts w:hint="eastAsia" w:cs="宋体"/>
          <w:szCs w:val="24"/>
          <w:highlight w:val="none"/>
        </w:rPr>
        <w:t>7.加密和解密投标文件</w:t>
      </w:r>
      <w:r>
        <w:rPr>
          <w:rFonts w:hint="eastAsia" w:cs="宋体"/>
          <w:highlight w:val="none"/>
        </w:rPr>
        <w:t>必须使用同一个CA证书</w:t>
      </w:r>
      <w:r>
        <w:rPr>
          <w:rFonts w:hint="eastAsia" w:cs="宋体"/>
          <w:szCs w:val="24"/>
          <w:highlight w:val="none"/>
        </w:rPr>
        <w:t>。</w:t>
      </w:r>
    </w:p>
    <w:p w14:paraId="46058F13">
      <w:pPr>
        <w:spacing w:line="400" w:lineRule="exact"/>
        <w:ind w:firstLine="480"/>
        <w:rPr>
          <w:rFonts w:cs="宋体"/>
          <w:szCs w:val="24"/>
          <w:highlight w:val="none"/>
        </w:rPr>
      </w:pPr>
      <w:r>
        <w:rPr>
          <w:rFonts w:hint="eastAsia" w:cs="宋体"/>
          <w:szCs w:val="24"/>
          <w:highlight w:val="none"/>
        </w:rPr>
        <w:t>二、制作、签章、加密、上传电子投标文件</w:t>
      </w:r>
    </w:p>
    <w:p w14:paraId="04672AEB">
      <w:pPr>
        <w:spacing w:line="400" w:lineRule="exact"/>
        <w:ind w:firstLine="480"/>
        <w:rPr>
          <w:rStyle w:val="18"/>
          <w:rFonts w:cs="宋体"/>
          <w:color w:val="auto"/>
          <w:highlight w:val="none"/>
        </w:rPr>
      </w:pPr>
      <w:r>
        <w:rPr>
          <w:rFonts w:hint="eastAsia" w:cs="宋体"/>
          <w:szCs w:val="24"/>
          <w:highlight w:val="none"/>
        </w:rPr>
        <w:t>8.本项目采用全流程电子化招标采购方式，潜在</w:t>
      </w:r>
      <w:r>
        <w:rPr>
          <w:rFonts w:hint="eastAsia"/>
          <w:szCs w:val="18"/>
          <w:highlight w:val="none"/>
        </w:rPr>
        <w:t>供应商</w:t>
      </w:r>
      <w:r>
        <w:rPr>
          <w:rFonts w:hint="eastAsia" w:cs="宋体"/>
          <w:highlight w:val="none"/>
        </w:rPr>
        <w:t>需使用</w:t>
      </w:r>
      <w:r>
        <w:rPr>
          <w:rFonts w:hint="eastAsia" w:cs="宋体"/>
          <w:szCs w:val="24"/>
          <w:highlight w:val="none"/>
        </w:rPr>
        <w:t>“优质采投标工具客户端”（以下简称“投标工具”）制作</w:t>
      </w:r>
      <w:r>
        <w:rPr>
          <w:rFonts w:hint="eastAsia" w:cs="宋体"/>
          <w:highlight w:val="none"/>
        </w:rPr>
        <w:t>电子投标文件，</w:t>
      </w:r>
      <w:r>
        <w:rPr>
          <w:rFonts w:hint="eastAsia" w:cs="宋体"/>
          <w:szCs w:val="24"/>
          <w:highlight w:val="none"/>
        </w:rPr>
        <w:t>投标工具及操作说明下载地址：</w:t>
      </w:r>
      <w:r>
        <w:rPr>
          <w:highlight w:val="none"/>
        </w:rPr>
        <w:fldChar w:fldCharType="begin"/>
      </w:r>
      <w:r>
        <w:rPr>
          <w:highlight w:val="none"/>
        </w:rPr>
        <w:instrText xml:space="preserve"> HYPERLINK "https://toolcdn.youzhicai.com/tools/BidderTools.zip" </w:instrText>
      </w:r>
      <w:r>
        <w:rPr>
          <w:highlight w:val="none"/>
        </w:rPr>
        <w:fldChar w:fldCharType="separate"/>
      </w:r>
      <w:r>
        <w:rPr>
          <w:rStyle w:val="18"/>
          <w:rFonts w:hint="eastAsia" w:cs="宋体"/>
          <w:color w:val="auto"/>
          <w:highlight w:val="none"/>
        </w:rPr>
        <w:t>https://toolcdn.youzhicai.com/tools/BidderTools.zip</w:t>
      </w:r>
      <w:r>
        <w:rPr>
          <w:rStyle w:val="18"/>
          <w:rFonts w:hint="eastAsia" w:cs="宋体"/>
          <w:color w:val="auto"/>
          <w:highlight w:val="none"/>
        </w:rPr>
        <w:fldChar w:fldCharType="end"/>
      </w:r>
      <w:r>
        <w:rPr>
          <w:rStyle w:val="18"/>
          <w:rFonts w:hint="eastAsia" w:cs="宋体"/>
          <w:color w:val="auto"/>
          <w:highlight w:val="none"/>
        </w:rPr>
        <w:t>。</w:t>
      </w:r>
    </w:p>
    <w:p w14:paraId="4F15DAFA">
      <w:pPr>
        <w:spacing w:line="400" w:lineRule="exact"/>
        <w:ind w:firstLine="480"/>
        <w:rPr>
          <w:rStyle w:val="18"/>
          <w:rFonts w:cs="宋体"/>
          <w:color w:val="auto"/>
          <w:highlight w:val="none"/>
          <w:u w:val="none"/>
        </w:rPr>
      </w:pPr>
      <w:r>
        <w:rPr>
          <w:rStyle w:val="18"/>
          <w:rFonts w:hint="eastAsia" w:cs="宋体"/>
          <w:color w:val="auto"/>
          <w:highlight w:val="none"/>
          <w:u w:val="none"/>
        </w:rPr>
        <w:tab/>
      </w:r>
      <w:r>
        <w:rPr>
          <w:rStyle w:val="18"/>
          <w:rFonts w:hint="eastAsia" w:cs="宋体"/>
          <w:color w:val="auto"/>
          <w:highlight w:val="none"/>
          <w:u w:val="none"/>
        </w:rPr>
        <w:t>8.1.投标工具建议在window7或windows10操作系统下使用；</w:t>
      </w:r>
    </w:p>
    <w:p w14:paraId="3B3E8DEE">
      <w:pPr>
        <w:spacing w:line="400" w:lineRule="exact"/>
        <w:ind w:firstLine="480"/>
        <w:rPr>
          <w:rFonts w:cs="宋体"/>
          <w:bCs/>
          <w:sz w:val="18"/>
          <w:highlight w:val="none"/>
        </w:rPr>
      </w:pPr>
      <w:r>
        <w:rPr>
          <w:rStyle w:val="18"/>
          <w:rFonts w:hint="eastAsia" w:cs="宋体"/>
          <w:color w:val="auto"/>
          <w:highlight w:val="none"/>
          <w:u w:val="none"/>
        </w:rPr>
        <w:tab/>
      </w:r>
      <w:r>
        <w:rPr>
          <w:rStyle w:val="18"/>
          <w:rFonts w:hint="eastAsia" w:cs="宋体"/>
          <w:color w:val="auto"/>
          <w:highlight w:val="none"/>
          <w:u w:val="none"/>
        </w:rPr>
        <w:t>8.2.电子投标文件编制建议使用</w:t>
      </w:r>
      <w:r>
        <w:rPr>
          <w:rFonts w:hint="eastAsia" w:cs="宋体"/>
          <w:highlight w:val="none"/>
        </w:rPr>
        <w:t>office2010版本。</w:t>
      </w:r>
    </w:p>
    <w:p w14:paraId="380D82A8">
      <w:pPr>
        <w:wordWrap w:val="0"/>
        <w:spacing w:line="400" w:lineRule="exact"/>
        <w:ind w:firstLine="480"/>
        <w:rPr>
          <w:rFonts w:cs="宋体"/>
          <w:bCs/>
          <w:highlight w:val="none"/>
          <w:u w:val="single"/>
        </w:rPr>
      </w:pPr>
      <w:r>
        <w:rPr>
          <w:rFonts w:hint="eastAsia" w:cs="宋体"/>
          <w:szCs w:val="24"/>
          <w:highlight w:val="none"/>
        </w:rPr>
        <w:tab/>
      </w:r>
      <w:r>
        <w:rPr>
          <w:rFonts w:hint="eastAsia" w:cs="宋体"/>
          <w:szCs w:val="24"/>
          <w:highlight w:val="none"/>
        </w:rPr>
        <w:t>9.</w:t>
      </w:r>
      <w:r>
        <w:rPr>
          <w:rFonts w:hint="eastAsia" w:cs="宋体"/>
          <w:highlight w:val="none"/>
        </w:rPr>
        <w:t>潜在</w:t>
      </w:r>
      <w:r>
        <w:rPr>
          <w:rFonts w:hint="eastAsia"/>
          <w:szCs w:val="18"/>
          <w:highlight w:val="none"/>
        </w:rPr>
        <w:t>供应商</w:t>
      </w:r>
      <w:r>
        <w:rPr>
          <w:rFonts w:hint="eastAsia" w:cs="宋体"/>
          <w:highlight w:val="none"/>
        </w:rPr>
        <w:t>制作电子投标文件后，需在</w:t>
      </w:r>
      <w:r>
        <w:rPr>
          <w:rFonts w:hint="eastAsia" w:cs="宋体"/>
          <w:szCs w:val="24"/>
          <w:highlight w:val="none"/>
        </w:rPr>
        <w:t>投标工具</w:t>
      </w:r>
      <w:r>
        <w:rPr>
          <w:rFonts w:hint="eastAsia" w:cs="宋体"/>
          <w:highlight w:val="none"/>
        </w:rPr>
        <w:t>对电子投标文件进行电子签章（项目有特殊说明的除外），并使用CA</w:t>
      </w:r>
      <w:r>
        <w:rPr>
          <w:rFonts w:hint="eastAsia" w:cs="宋体"/>
          <w:szCs w:val="24"/>
          <w:highlight w:val="none"/>
        </w:rPr>
        <w:t>证书进行</w:t>
      </w:r>
      <w:r>
        <w:rPr>
          <w:rFonts w:hint="eastAsia" w:cs="宋体"/>
          <w:highlight w:val="none"/>
        </w:rPr>
        <w:t>加密。在</w:t>
      </w:r>
      <w:r>
        <w:rPr>
          <w:rFonts w:hint="eastAsia" w:cs="宋体"/>
          <w:szCs w:val="24"/>
          <w:highlight w:val="none"/>
        </w:rPr>
        <w:t>投标工具使用CA证书</w:t>
      </w:r>
      <w:r>
        <w:rPr>
          <w:rFonts w:hint="eastAsia" w:cs="宋体"/>
          <w:highlight w:val="none"/>
        </w:rPr>
        <w:t>时需安装“优质采数字证书助手”</w:t>
      </w:r>
      <w:r>
        <w:rPr>
          <w:rFonts w:hint="eastAsia" w:cs="宋体"/>
          <w:szCs w:val="24"/>
          <w:highlight w:val="none"/>
        </w:rPr>
        <w:t xml:space="preserve"> （即数字证书驱动）</w:t>
      </w:r>
      <w:r>
        <w:rPr>
          <w:rFonts w:hint="eastAsia" w:cs="宋体"/>
          <w:highlight w:val="none"/>
        </w:rPr>
        <w:t>，下载地址：</w:t>
      </w:r>
      <w:r>
        <w:rPr>
          <w:highlight w:val="none"/>
        </w:rPr>
        <w:fldChar w:fldCharType="begin"/>
      </w:r>
      <w:r>
        <w:rPr>
          <w:highlight w:val="none"/>
        </w:rPr>
        <w:instrText xml:space="preserve"> HYPERLINK "https://toolcdn.youzhicai.com/ca.zip" </w:instrText>
      </w:r>
      <w:r>
        <w:rPr>
          <w:highlight w:val="none"/>
        </w:rPr>
        <w:fldChar w:fldCharType="separate"/>
      </w:r>
      <w:r>
        <w:rPr>
          <w:rStyle w:val="18"/>
          <w:rFonts w:hint="eastAsia" w:cs="宋体"/>
          <w:color w:val="auto"/>
          <w:highlight w:val="none"/>
        </w:rPr>
        <w:t>https://toolcdn.youzhicai.com/ca.zip</w:t>
      </w:r>
      <w:r>
        <w:rPr>
          <w:rStyle w:val="18"/>
          <w:rFonts w:hint="eastAsia" w:cs="宋体"/>
          <w:color w:val="auto"/>
          <w:highlight w:val="none"/>
        </w:rPr>
        <w:fldChar w:fldCharType="end"/>
      </w:r>
      <w:r>
        <w:rPr>
          <w:rStyle w:val="18"/>
          <w:rFonts w:hint="eastAsia" w:cs="宋体"/>
          <w:color w:val="auto"/>
          <w:highlight w:val="none"/>
        </w:rPr>
        <w:t>。</w:t>
      </w:r>
    </w:p>
    <w:p w14:paraId="3EB87058">
      <w:pPr>
        <w:wordWrap w:val="0"/>
        <w:spacing w:line="400" w:lineRule="exact"/>
        <w:ind w:firstLine="480"/>
        <w:rPr>
          <w:rFonts w:cs="宋体"/>
          <w:szCs w:val="24"/>
          <w:highlight w:val="none"/>
        </w:rPr>
      </w:pPr>
      <w:r>
        <w:rPr>
          <w:rFonts w:hint="eastAsia" w:cs="宋体"/>
          <w:highlight w:val="none"/>
        </w:rPr>
        <w:tab/>
      </w:r>
      <w:r>
        <w:rPr>
          <w:rFonts w:hint="eastAsia" w:cs="宋体"/>
          <w:szCs w:val="24"/>
          <w:highlight w:val="none"/>
        </w:rPr>
        <w:t>10.潜在</w:t>
      </w:r>
      <w:r>
        <w:rPr>
          <w:rFonts w:hint="eastAsia"/>
          <w:szCs w:val="18"/>
          <w:highlight w:val="none"/>
        </w:rPr>
        <w:t>供应商</w:t>
      </w:r>
      <w:r>
        <w:rPr>
          <w:rFonts w:hint="eastAsia" w:cs="宋体"/>
          <w:szCs w:val="24"/>
          <w:highlight w:val="none"/>
        </w:rPr>
        <w:t>完成制作、签章、加密投标文件后，需在</w:t>
      </w:r>
      <w:r>
        <w:rPr>
          <w:rFonts w:hint="eastAsia" w:cs="宋体"/>
          <w:highlight w:val="none"/>
        </w:rPr>
        <w:t>招标文件规定的投标截止时间前在</w:t>
      </w:r>
      <w:r>
        <w:rPr>
          <w:rFonts w:hint="eastAsia" w:cs="宋体"/>
          <w:szCs w:val="24"/>
          <w:highlight w:val="none"/>
        </w:rPr>
        <w:t>投标工具</w:t>
      </w:r>
      <w:r>
        <w:rPr>
          <w:rFonts w:hint="eastAsia" w:cs="宋体"/>
          <w:highlight w:val="none"/>
        </w:rPr>
        <w:t>完成上传。</w:t>
      </w:r>
      <w:r>
        <w:rPr>
          <w:rFonts w:hint="eastAsia" w:cs="宋体"/>
          <w:szCs w:val="24"/>
          <w:highlight w:val="none"/>
        </w:rPr>
        <w:t>投标截止时间以优质采云采购平台（</w:t>
      </w:r>
      <w:r>
        <w:rPr>
          <w:rFonts w:cs="宋体"/>
          <w:szCs w:val="24"/>
          <w:highlight w:val="none"/>
        </w:rPr>
        <w:t>http://www.youzhicai.com/</w:t>
      </w:r>
      <w:r>
        <w:rPr>
          <w:rFonts w:hint="eastAsia" w:cs="宋体"/>
          <w:szCs w:val="24"/>
          <w:highlight w:val="none"/>
        </w:rPr>
        <w:t>）系统的时间为准，如未在投标截止时间前完成电子投标文件上传，系统将自动关闭上传通道。潜在</w:t>
      </w:r>
      <w:r>
        <w:rPr>
          <w:rFonts w:hint="eastAsia"/>
          <w:szCs w:val="18"/>
          <w:highlight w:val="none"/>
        </w:rPr>
        <w:t>供应商</w:t>
      </w:r>
      <w:r>
        <w:rPr>
          <w:rFonts w:hint="eastAsia" w:cs="宋体"/>
          <w:szCs w:val="24"/>
          <w:highlight w:val="none"/>
        </w:rPr>
        <w:t>未完成电子投标文件上传的，视为没有递交投标文件。</w:t>
      </w:r>
    </w:p>
    <w:p w14:paraId="104E372B">
      <w:pPr>
        <w:wordWrap w:val="0"/>
        <w:spacing w:line="400" w:lineRule="exact"/>
        <w:ind w:firstLine="480"/>
        <w:rPr>
          <w:rFonts w:cs="宋体"/>
          <w:szCs w:val="24"/>
          <w:highlight w:val="none"/>
        </w:rPr>
      </w:pPr>
      <w:r>
        <w:rPr>
          <w:rFonts w:hint="eastAsia" w:cs="宋体"/>
          <w:szCs w:val="24"/>
          <w:highlight w:val="none"/>
        </w:rPr>
        <w:t>11.潜在</w:t>
      </w:r>
      <w:r>
        <w:rPr>
          <w:rFonts w:hint="eastAsia"/>
          <w:szCs w:val="18"/>
          <w:highlight w:val="none"/>
        </w:rPr>
        <w:t>供应商</w:t>
      </w:r>
      <w:r>
        <w:rPr>
          <w:rFonts w:hint="eastAsia" w:cs="宋体"/>
          <w:szCs w:val="24"/>
          <w:highlight w:val="none"/>
        </w:rPr>
        <w:t>在投标文件递交截止时间前，可以对其所递交的电子投标文件进行撤回，修改后重新上传。</w:t>
      </w:r>
    </w:p>
    <w:p w14:paraId="1B9D9706">
      <w:pPr>
        <w:spacing w:line="400" w:lineRule="exact"/>
        <w:ind w:firstLine="480"/>
        <w:rPr>
          <w:rFonts w:cs="宋体"/>
          <w:szCs w:val="24"/>
          <w:highlight w:val="none"/>
        </w:rPr>
      </w:pPr>
      <w:r>
        <w:rPr>
          <w:rFonts w:hint="eastAsia" w:cs="宋体"/>
          <w:szCs w:val="24"/>
          <w:highlight w:val="none"/>
        </w:rPr>
        <w:t>12.潜在</w:t>
      </w:r>
      <w:r>
        <w:rPr>
          <w:rFonts w:hint="eastAsia"/>
          <w:szCs w:val="18"/>
          <w:highlight w:val="none"/>
        </w:rPr>
        <w:t>供应商</w:t>
      </w:r>
      <w:r>
        <w:rPr>
          <w:rFonts w:hint="eastAsia" w:cs="宋体"/>
          <w:szCs w:val="24"/>
          <w:highlight w:val="none"/>
        </w:rPr>
        <w:t>在制作、签章、加密、上传电子投标文件过程中，若存在技术操作问题，请及时联系优质采云采购平台客服人员，客服电话：400-0099-555，0551-62220164。</w:t>
      </w:r>
    </w:p>
    <w:p w14:paraId="0D4E3339">
      <w:pPr>
        <w:spacing w:line="400" w:lineRule="exact"/>
        <w:ind w:firstLine="480"/>
        <w:rPr>
          <w:rFonts w:cs="宋体"/>
          <w:szCs w:val="24"/>
          <w:highlight w:val="none"/>
        </w:rPr>
      </w:pPr>
      <w:r>
        <w:rPr>
          <w:rFonts w:hint="eastAsia" w:cs="宋体"/>
          <w:szCs w:val="24"/>
          <w:highlight w:val="none"/>
        </w:rPr>
        <w:t>三、开标和解密</w:t>
      </w:r>
    </w:p>
    <w:p w14:paraId="0E3584B9">
      <w:pPr>
        <w:spacing w:line="400" w:lineRule="exact"/>
        <w:ind w:firstLine="480"/>
        <w:rPr>
          <w:rFonts w:cs="宋体"/>
          <w:szCs w:val="24"/>
          <w:highlight w:val="none"/>
        </w:rPr>
      </w:pPr>
      <w:r>
        <w:rPr>
          <w:rFonts w:hint="eastAsia" w:cs="宋体"/>
          <w:szCs w:val="24"/>
          <w:highlight w:val="none"/>
        </w:rPr>
        <w:t>13.</w:t>
      </w:r>
      <w:r>
        <w:rPr>
          <w:rFonts w:hint="eastAsia"/>
          <w:szCs w:val="18"/>
          <w:highlight w:val="none"/>
        </w:rPr>
        <w:t>业主单位</w:t>
      </w:r>
      <w:r>
        <w:rPr>
          <w:rFonts w:hint="eastAsia" w:cs="宋体"/>
          <w:szCs w:val="24"/>
          <w:highlight w:val="none"/>
        </w:rPr>
        <w:t>或代理机构工作人员（以下简称工作人员）根据有关规定登录系统组织开标。投标文件递交截止时间后由</w:t>
      </w:r>
      <w:r>
        <w:rPr>
          <w:rFonts w:hint="eastAsia"/>
          <w:szCs w:val="18"/>
          <w:highlight w:val="none"/>
        </w:rPr>
        <w:t>供应商</w:t>
      </w:r>
      <w:r>
        <w:rPr>
          <w:rFonts w:hint="eastAsia" w:cs="宋体"/>
          <w:szCs w:val="24"/>
          <w:highlight w:val="none"/>
        </w:rPr>
        <w:t>使用</w:t>
      </w:r>
      <w:r>
        <w:rPr>
          <w:rFonts w:hint="eastAsia" w:cs="宋体"/>
          <w:highlight w:val="none"/>
        </w:rPr>
        <w:t>CA证书</w:t>
      </w:r>
      <w:r>
        <w:rPr>
          <w:rFonts w:hint="eastAsia" w:cs="宋体"/>
          <w:szCs w:val="24"/>
          <w:highlight w:val="none"/>
        </w:rPr>
        <w:t>解密投标文件，工作人员导入已解密投标文件并公布开标结果。</w:t>
      </w:r>
    </w:p>
    <w:p w14:paraId="43E76742">
      <w:pPr>
        <w:spacing w:line="400" w:lineRule="exact"/>
        <w:ind w:firstLine="480"/>
        <w:rPr>
          <w:rFonts w:cs="宋体"/>
          <w:szCs w:val="24"/>
          <w:highlight w:val="none"/>
        </w:rPr>
      </w:pPr>
      <w:r>
        <w:rPr>
          <w:rFonts w:hint="eastAsia" w:cs="宋体"/>
          <w:szCs w:val="24"/>
          <w:highlight w:val="none"/>
        </w:rPr>
        <w:t>14.投标文件可远程解密，</w:t>
      </w:r>
      <w:r>
        <w:rPr>
          <w:rFonts w:hint="eastAsia"/>
          <w:szCs w:val="18"/>
          <w:highlight w:val="none"/>
        </w:rPr>
        <w:t>供应商</w:t>
      </w:r>
      <w:r>
        <w:rPr>
          <w:rFonts w:hint="eastAsia" w:cs="宋体"/>
          <w:szCs w:val="24"/>
          <w:highlight w:val="none"/>
        </w:rPr>
        <w:t>无需到达开标现场。招标文件“</w:t>
      </w:r>
      <w:r>
        <w:rPr>
          <w:rFonts w:hint="eastAsia"/>
          <w:szCs w:val="18"/>
          <w:highlight w:val="none"/>
        </w:rPr>
        <w:t>供应商</w:t>
      </w:r>
      <w:r>
        <w:rPr>
          <w:rFonts w:hint="eastAsia" w:cs="宋体"/>
          <w:szCs w:val="24"/>
          <w:highlight w:val="none"/>
        </w:rPr>
        <w:t>须知”中另有规定的，从其规定。</w:t>
      </w:r>
    </w:p>
    <w:p w14:paraId="26AA3718">
      <w:pPr>
        <w:spacing w:line="400" w:lineRule="exact"/>
        <w:ind w:firstLine="480"/>
        <w:rPr>
          <w:rFonts w:cs="宋体"/>
          <w:szCs w:val="24"/>
          <w:highlight w:val="none"/>
        </w:rPr>
      </w:pPr>
      <w:r>
        <w:rPr>
          <w:rFonts w:hint="eastAsia" w:cs="宋体"/>
          <w:szCs w:val="24"/>
          <w:highlight w:val="none"/>
        </w:rPr>
        <w:t>15.潜在</w:t>
      </w:r>
      <w:r>
        <w:rPr>
          <w:rFonts w:hint="eastAsia"/>
          <w:szCs w:val="18"/>
          <w:highlight w:val="none"/>
        </w:rPr>
        <w:t>供应商</w:t>
      </w:r>
      <w:r>
        <w:rPr>
          <w:rFonts w:hint="eastAsia" w:cs="宋体"/>
          <w:szCs w:val="24"/>
          <w:highlight w:val="none"/>
        </w:rPr>
        <w:t>须按照招标文件的要求在投标文件递交截止时间前登录投标工具并保持在线，关注开标互动大厅消息直到项目评审结束。</w:t>
      </w:r>
    </w:p>
    <w:p w14:paraId="61CF39F3">
      <w:pPr>
        <w:spacing w:line="400" w:lineRule="exact"/>
        <w:ind w:firstLine="480"/>
        <w:rPr>
          <w:rFonts w:cs="宋体"/>
          <w:szCs w:val="24"/>
          <w:highlight w:val="none"/>
        </w:rPr>
      </w:pPr>
      <w:r>
        <w:rPr>
          <w:rFonts w:hint="eastAsia" w:cs="宋体"/>
          <w:szCs w:val="24"/>
          <w:highlight w:val="none"/>
        </w:rPr>
        <w:t>16.投标文件解密时限为投标文件递交截止时间后30分钟（招标文件“</w:t>
      </w:r>
      <w:r>
        <w:rPr>
          <w:rFonts w:hint="eastAsia"/>
          <w:szCs w:val="18"/>
          <w:highlight w:val="none"/>
        </w:rPr>
        <w:t>供应商</w:t>
      </w:r>
      <w:r>
        <w:rPr>
          <w:rFonts w:hint="eastAsia" w:cs="宋体"/>
          <w:szCs w:val="24"/>
          <w:highlight w:val="none"/>
        </w:rPr>
        <w:t>须知”中另有规定的，从其规定）。潜在</w:t>
      </w:r>
      <w:r>
        <w:rPr>
          <w:rFonts w:hint="eastAsia"/>
          <w:szCs w:val="18"/>
          <w:highlight w:val="none"/>
        </w:rPr>
        <w:t>供应商</w:t>
      </w:r>
      <w:r>
        <w:rPr>
          <w:rFonts w:hint="eastAsia" w:cs="宋体"/>
          <w:szCs w:val="24"/>
          <w:highlight w:val="none"/>
        </w:rPr>
        <w:t>须在投标文件解密时限内完成投标文件解密，未能成功解密的视为放弃投标。招标文件“</w:t>
      </w:r>
      <w:r>
        <w:rPr>
          <w:rFonts w:hint="eastAsia"/>
          <w:szCs w:val="18"/>
          <w:highlight w:val="none"/>
        </w:rPr>
        <w:t>供应商</w:t>
      </w:r>
      <w:r>
        <w:rPr>
          <w:rFonts w:hint="eastAsia" w:cs="宋体"/>
          <w:szCs w:val="24"/>
          <w:highlight w:val="none"/>
        </w:rPr>
        <w:t>须知”中对投标文件解密设有线下补救方案的，执行该补救方案。</w:t>
      </w:r>
    </w:p>
    <w:p w14:paraId="5896CFC6">
      <w:pPr>
        <w:spacing w:line="400" w:lineRule="exact"/>
        <w:ind w:firstLine="480"/>
        <w:rPr>
          <w:rFonts w:cs="宋体"/>
          <w:szCs w:val="24"/>
          <w:highlight w:val="none"/>
        </w:rPr>
      </w:pPr>
      <w:r>
        <w:rPr>
          <w:rFonts w:hint="eastAsia" w:cs="宋体"/>
          <w:szCs w:val="24"/>
          <w:highlight w:val="none"/>
        </w:rPr>
        <w:t>四、评审和询标</w:t>
      </w:r>
    </w:p>
    <w:p w14:paraId="6B8EFCA6">
      <w:pPr>
        <w:spacing w:line="400" w:lineRule="exact"/>
        <w:ind w:firstLine="480"/>
        <w:rPr>
          <w:rFonts w:cs="宋体"/>
          <w:szCs w:val="24"/>
          <w:highlight w:val="none"/>
        </w:rPr>
      </w:pPr>
      <w:r>
        <w:rPr>
          <w:rFonts w:hint="eastAsia" w:cs="宋体"/>
          <w:szCs w:val="24"/>
          <w:highlight w:val="none"/>
        </w:rPr>
        <w:t>17.评审委员会通过优质采电子评审工具将需要澄清、说明或补正的内容以询标函的形式发送给</w:t>
      </w:r>
      <w:r>
        <w:rPr>
          <w:rFonts w:hint="eastAsia"/>
          <w:szCs w:val="18"/>
          <w:highlight w:val="none"/>
        </w:rPr>
        <w:t>供应商</w:t>
      </w:r>
      <w:r>
        <w:rPr>
          <w:rFonts w:hint="eastAsia" w:cs="宋体"/>
          <w:szCs w:val="24"/>
          <w:highlight w:val="none"/>
        </w:rPr>
        <w:t>，</w:t>
      </w:r>
      <w:r>
        <w:rPr>
          <w:rFonts w:hint="eastAsia"/>
          <w:szCs w:val="18"/>
          <w:highlight w:val="none"/>
        </w:rPr>
        <w:t>供应商</w:t>
      </w:r>
      <w:r>
        <w:rPr>
          <w:rFonts w:hint="eastAsia" w:cs="宋体"/>
          <w:szCs w:val="24"/>
          <w:highlight w:val="none"/>
        </w:rPr>
        <w:t>应登录投标工具并保持在线状态，以便及时接收评审委员会可能发出的询标函，并在询标函载明的时间内回复，若</w:t>
      </w:r>
      <w:r>
        <w:rPr>
          <w:rFonts w:hint="eastAsia"/>
          <w:szCs w:val="18"/>
          <w:highlight w:val="none"/>
        </w:rPr>
        <w:t>供应商</w:t>
      </w:r>
      <w:r>
        <w:rPr>
          <w:rFonts w:hint="eastAsia" w:cs="宋体"/>
          <w:szCs w:val="24"/>
          <w:highlight w:val="none"/>
        </w:rPr>
        <w:t>未及时回复，视为放弃澄清。</w:t>
      </w:r>
    </w:p>
    <w:p w14:paraId="560E4F4E">
      <w:pPr>
        <w:spacing w:line="400" w:lineRule="exact"/>
        <w:ind w:firstLine="480"/>
        <w:rPr>
          <w:rFonts w:cs="宋体"/>
          <w:highlight w:val="none"/>
        </w:rPr>
      </w:pPr>
      <w:r>
        <w:rPr>
          <w:rFonts w:hint="eastAsia" w:cs="宋体"/>
          <w:highlight w:val="none"/>
        </w:rPr>
        <w:t>五、异常情形</w:t>
      </w:r>
    </w:p>
    <w:p w14:paraId="608FB1C0">
      <w:pPr>
        <w:spacing w:line="400" w:lineRule="exact"/>
        <w:ind w:firstLine="480"/>
        <w:rPr>
          <w:rFonts w:cs="宋体"/>
          <w:szCs w:val="24"/>
          <w:highlight w:val="none"/>
        </w:rPr>
      </w:pPr>
      <w:r>
        <w:rPr>
          <w:rFonts w:hint="eastAsia" w:cs="宋体"/>
          <w:szCs w:val="24"/>
          <w:highlight w:val="none"/>
        </w:rPr>
        <w:t>18.出现下列情形导致电子交易系统无法正常运行，影响招投标过程的公平、公正和信息安全，经第三方机构认定后，各方当事人免责：</w:t>
      </w:r>
    </w:p>
    <w:p w14:paraId="7BBCEAF6">
      <w:pPr>
        <w:spacing w:line="400" w:lineRule="exact"/>
        <w:ind w:firstLine="480"/>
        <w:rPr>
          <w:rFonts w:cs="宋体"/>
          <w:szCs w:val="24"/>
          <w:highlight w:val="none"/>
        </w:rPr>
      </w:pPr>
      <w:r>
        <w:rPr>
          <w:rFonts w:hint="eastAsia" w:cs="宋体"/>
          <w:szCs w:val="24"/>
          <w:highlight w:val="none"/>
        </w:rPr>
        <w:t>(1)网络、服务器、数据库发生故障造成无法访问或使用的；</w:t>
      </w:r>
    </w:p>
    <w:p w14:paraId="3651052C">
      <w:pPr>
        <w:spacing w:line="400" w:lineRule="exact"/>
        <w:ind w:firstLine="480"/>
        <w:rPr>
          <w:rFonts w:cs="宋体"/>
          <w:szCs w:val="24"/>
          <w:highlight w:val="none"/>
        </w:rPr>
      </w:pPr>
      <w:r>
        <w:rPr>
          <w:rFonts w:hint="eastAsia" w:cs="宋体"/>
          <w:szCs w:val="24"/>
          <w:highlight w:val="none"/>
        </w:rPr>
        <w:t>(2)电力系统发生故障导致电子服务系统或电子交易系统无法运行；</w:t>
      </w:r>
    </w:p>
    <w:p w14:paraId="4F955ABA">
      <w:pPr>
        <w:spacing w:line="400" w:lineRule="exact"/>
        <w:ind w:firstLine="480"/>
        <w:rPr>
          <w:rFonts w:cs="宋体"/>
          <w:szCs w:val="24"/>
          <w:highlight w:val="none"/>
        </w:rPr>
      </w:pPr>
      <w:r>
        <w:rPr>
          <w:rFonts w:hint="eastAsia" w:cs="宋体"/>
          <w:szCs w:val="24"/>
          <w:highlight w:val="none"/>
        </w:rPr>
        <w:t>(3)出现网络攻击、病毒入侵以及电子服务系统或电子交易系统安全漏洞导致无法正常提供服务的；</w:t>
      </w:r>
    </w:p>
    <w:p w14:paraId="4BB17F1A">
      <w:pPr>
        <w:spacing w:line="400" w:lineRule="exact"/>
        <w:ind w:firstLine="480"/>
        <w:rPr>
          <w:rFonts w:cs="宋体"/>
          <w:szCs w:val="24"/>
          <w:highlight w:val="none"/>
        </w:rPr>
      </w:pPr>
      <w:r>
        <w:rPr>
          <w:rFonts w:hint="eastAsia" w:cs="宋体"/>
          <w:szCs w:val="24"/>
          <w:highlight w:val="none"/>
        </w:rPr>
        <w:t>(4)其他无法保证招投标过程公平、公正和信息安全的情形。</w:t>
      </w:r>
    </w:p>
    <w:p w14:paraId="77FEFFD7">
      <w:pPr>
        <w:spacing w:line="400" w:lineRule="exact"/>
        <w:ind w:firstLine="480"/>
        <w:rPr>
          <w:rFonts w:cs="宋体"/>
          <w:highlight w:val="none"/>
        </w:rPr>
      </w:pPr>
      <w:r>
        <w:rPr>
          <w:rFonts w:hint="eastAsia" w:cs="宋体"/>
          <w:highlight w:val="none"/>
        </w:rPr>
        <w:t>六、异常情形处理</w:t>
      </w:r>
    </w:p>
    <w:p w14:paraId="23CD2C8F">
      <w:pPr>
        <w:spacing w:line="400" w:lineRule="exact"/>
        <w:ind w:firstLine="480"/>
        <w:rPr>
          <w:rFonts w:cs="宋体"/>
          <w:highlight w:val="none"/>
        </w:rPr>
      </w:pPr>
      <w:r>
        <w:rPr>
          <w:rFonts w:hint="eastAsia" w:cs="宋体"/>
          <w:highlight w:val="none"/>
        </w:rPr>
        <w:t>19.出现上述情形，优质采平台及时组织相关方查明原因，排除故障。若能保证在开标前恢复系统运行的，招投标程序继续进行；若导致开评审程序无法按时开展，但能在原开标时间后2小时内恢复系统运行的，招投标程序继续进行；若导致开评审程序无法按时开展，在原开标时间后2小时内无法恢复系统运行的，按以下程序操作：</w:t>
      </w:r>
    </w:p>
    <w:p w14:paraId="6EFDFD32">
      <w:pPr>
        <w:spacing w:line="400" w:lineRule="exact"/>
        <w:ind w:firstLine="480"/>
        <w:rPr>
          <w:rFonts w:cs="宋体"/>
          <w:highlight w:val="none"/>
        </w:rPr>
      </w:pPr>
      <w:r>
        <w:rPr>
          <w:rFonts w:hint="eastAsia" w:cs="宋体"/>
          <w:highlight w:val="none"/>
        </w:rPr>
        <w:t>（1）项目中止，中止期限由</w:t>
      </w:r>
      <w:r>
        <w:rPr>
          <w:rFonts w:hint="eastAsia"/>
          <w:szCs w:val="18"/>
          <w:highlight w:val="none"/>
        </w:rPr>
        <w:t>业主单位</w:t>
      </w:r>
      <w:r>
        <w:rPr>
          <w:rFonts w:hint="eastAsia" w:cs="宋体"/>
          <w:highlight w:val="none"/>
        </w:rPr>
        <w:t>或代理机构根据项目具体情况确定。中止期限届满后中止情形尚未消除的，</w:t>
      </w:r>
      <w:r>
        <w:rPr>
          <w:rFonts w:hint="eastAsia"/>
          <w:szCs w:val="18"/>
          <w:highlight w:val="none"/>
        </w:rPr>
        <w:t>业主单位</w:t>
      </w:r>
      <w:r>
        <w:rPr>
          <w:rFonts w:hint="eastAsia" w:cs="宋体"/>
          <w:highlight w:val="none"/>
        </w:rPr>
        <w:t>或代理机构可以根据实际情况决定延长中止期限。决定延长中止期限的，应向</w:t>
      </w:r>
      <w:r>
        <w:rPr>
          <w:rFonts w:hint="eastAsia"/>
          <w:szCs w:val="18"/>
          <w:highlight w:val="none"/>
        </w:rPr>
        <w:t>供应商</w:t>
      </w:r>
      <w:r>
        <w:rPr>
          <w:rFonts w:hint="eastAsia" w:cs="宋体"/>
          <w:highlight w:val="none"/>
        </w:rPr>
        <w:t>发出延长中止期限通知，并发布公布。</w:t>
      </w:r>
    </w:p>
    <w:p w14:paraId="6F42D73E">
      <w:pPr>
        <w:spacing w:line="400" w:lineRule="exact"/>
        <w:ind w:firstLine="480"/>
        <w:rPr>
          <w:rFonts w:cs="宋体"/>
          <w:highlight w:val="none"/>
        </w:rPr>
      </w:pPr>
      <w:r>
        <w:rPr>
          <w:rFonts w:hint="eastAsia" w:cs="宋体"/>
          <w:highlight w:val="none"/>
        </w:rPr>
        <w:t>（2）项目恢复，导致项目中止的情形消除后，</w:t>
      </w:r>
      <w:r>
        <w:rPr>
          <w:rFonts w:hint="eastAsia"/>
          <w:szCs w:val="18"/>
          <w:highlight w:val="none"/>
        </w:rPr>
        <w:t>业主单位</w:t>
      </w:r>
      <w:r>
        <w:rPr>
          <w:rFonts w:hint="eastAsia" w:cs="宋体"/>
          <w:highlight w:val="none"/>
        </w:rPr>
        <w:t>或代理机构应当尽快恢复招投标程序，向</w:t>
      </w:r>
      <w:r>
        <w:rPr>
          <w:rFonts w:hint="eastAsia"/>
          <w:szCs w:val="18"/>
          <w:highlight w:val="none"/>
        </w:rPr>
        <w:t>供应商</w:t>
      </w:r>
      <w:r>
        <w:rPr>
          <w:rFonts w:hint="eastAsia" w:cs="宋体"/>
          <w:highlight w:val="none"/>
        </w:rPr>
        <w:t>发出恢复交易通知，并发布公布；已发出延长中止期限通知的，按通知执行。</w:t>
      </w:r>
    </w:p>
    <w:p w14:paraId="0CAAACC9">
      <w:pPr>
        <w:ind w:firstLine="480"/>
        <w:rPr>
          <w:highlight w:val="none"/>
        </w:rPr>
      </w:pPr>
    </w:p>
    <w:p w14:paraId="1A64E9D5">
      <w:pPr>
        <w:ind w:firstLine="721"/>
        <w:jc w:val="center"/>
        <w:rPr>
          <w:rFonts w:ascii="华文宋体" w:hAnsi="华文宋体" w:eastAsia="华文宋体" w:cs="华文宋体"/>
          <w:b/>
          <w:bCs/>
          <w:sz w:val="36"/>
          <w:szCs w:val="44"/>
          <w:highlight w:val="none"/>
        </w:rPr>
      </w:pPr>
    </w:p>
    <w:p w14:paraId="049C4084">
      <w:pPr>
        <w:ind w:firstLine="721"/>
        <w:jc w:val="center"/>
        <w:rPr>
          <w:rFonts w:ascii="华文宋体" w:hAnsi="华文宋体" w:eastAsia="华文宋体" w:cs="华文宋体"/>
          <w:b/>
          <w:bCs/>
          <w:sz w:val="36"/>
          <w:szCs w:val="44"/>
          <w:highlight w:val="none"/>
        </w:rPr>
      </w:pPr>
    </w:p>
    <w:p w14:paraId="796D6491">
      <w:pPr>
        <w:ind w:firstLine="721"/>
        <w:jc w:val="center"/>
        <w:rPr>
          <w:rFonts w:ascii="华文宋体" w:hAnsi="华文宋体" w:eastAsia="华文宋体" w:cs="华文宋体"/>
          <w:b/>
          <w:bCs/>
          <w:sz w:val="36"/>
          <w:szCs w:val="44"/>
          <w:highlight w:val="none"/>
        </w:rPr>
      </w:pPr>
    </w:p>
    <w:p w14:paraId="7DB0433E">
      <w:pPr>
        <w:ind w:firstLine="721"/>
        <w:jc w:val="center"/>
        <w:rPr>
          <w:rFonts w:ascii="华文宋体" w:hAnsi="华文宋体" w:eastAsia="华文宋体" w:cs="华文宋体"/>
          <w:b/>
          <w:bCs/>
          <w:sz w:val="36"/>
          <w:szCs w:val="44"/>
          <w:highlight w:val="none"/>
        </w:rPr>
      </w:pPr>
    </w:p>
    <w:p w14:paraId="403F934F">
      <w:pPr>
        <w:ind w:firstLine="721"/>
        <w:jc w:val="center"/>
        <w:rPr>
          <w:rFonts w:ascii="华文宋体" w:hAnsi="华文宋体" w:eastAsia="华文宋体" w:cs="华文宋体"/>
          <w:b/>
          <w:bCs/>
          <w:sz w:val="36"/>
          <w:szCs w:val="44"/>
          <w:highlight w:val="none"/>
        </w:rPr>
      </w:pPr>
    </w:p>
    <w:p w14:paraId="78910512">
      <w:pPr>
        <w:ind w:firstLine="721"/>
        <w:jc w:val="center"/>
        <w:rPr>
          <w:rFonts w:ascii="华文宋体" w:hAnsi="华文宋体" w:eastAsia="华文宋体" w:cs="华文宋体"/>
          <w:b/>
          <w:bCs/>
          <w:sz w:val="36"/>
          <w:szCs w:val="44"/>
          <w:highlight w:val="none"/>
        </w:rPr>
      </w:pPr>
    </w:p>
    <w:p w14:paraId="5B176911">
      <w:pPr>
        <w:ind w:firstLine="721"/>
        <w:jc w:val="center"/>
        <w:rPr>
          <w:rFonts w:ascii="华文宋体" w:hAnsi="华文宋体" w:eastAsia="华文宋体" w:cs="华文宋体"/>
          <w:b/>
          <w:bCs/>
          <w:sz w:val="36"/>
          <w:szCs w:val="44"/>
          <w:highlight w:val="none"/>
        </w:rPr>
      </w:pPr>
    </w:p>
    <w:p w14:paraId="7331CCA9">
      <w:pPr>
        <w:ind w:firstLine="721"/>
        <w:jc w:val="center"/>
        <w:rPr>
          <w:rFonts w:ascii="华文宋体" w:hAnsi="华文宋体" w:eastAsia="华文宋体" w:cs="华文宋体"/>
          <w:b/>
          <w:bCs/>
          <w:sz w:val="36"/>
          <w:szCs w:val="44"/>
          <w:highlight w:val="none"/>
        </w:rPr>
      </w:pPr>
    </w:p>
    <w:p w14:paraId="2C73A52D">
      <w:pPr>
        <w:ind w:firstLine="721"/>
        <w:jc w:val="center"/>
        <w:rPr>
          <w:rFonts w:ascii="华文宋体" w:hAnsi="华文宋体" w:eastAsia="华文宋体" w:cs="华文宋体"/>
          <w:b/>
          <w:bCs/>
          <w:sz w:val="36"/>
          <w:szCs w:val="44"/>
          <w:highlight w:val="none"/>
        </w:rPr>
      </w:pPr>
    </w:p>
    <w:p w14:paraId="472ADE07">
      <w:pPr>
        <w:ind w:firstLine="721"/>
        <w:jc w:val="center"/>
        <w:rPr>
          <w:rFonts w:ascii="华文宋体" w:hAnsi="华文宋体" w:eastAsia="华文宋体" w:cs="华文宋体"/>
          <w:b/>
          <w:bCs/>
          <w:sz w:val="36"/>
          <w:szCs w:val="44"/>
          <w:highlight w:val="none"/>
        </w:rPr>
      </w:pPr>
    </w:p>
    <w:p w14:paraId="6FF59E73">
      <w:pPr>
        <w:ind w:firstLine="721"/>
        <w:jc w:val="center"/>
        <w:rPr>
          <w:rFonts w:ascii="华文宋体" w:hAnsi="华文宋体" w:eastAsia="华文宋体" w:cs="华文宋体"/>
          <w:b/>
          <w:bCs/>
          <w:sz w:val="36"/>
          <w:szCs w:val="44"/>
          <w:highlight w:val="none"/>
        </w:rPr>
      </w:pPr>
    </w:p>
    <w:p w14:paraId="1C36DD6F">
      <w:pPr>
        <w:ind w:firstLine="721"/>
        <w:jc w:val="center"/>
        <w:rPr>
          <w:rFonts w:ascii="华文宋体" w:hAnsi="华文宋体" w:eastAsia="华文宋体" w:cs="华文宋体"/>
          <w:b/>
          <w:bCs/>
          <w:sz w:val="36"/>
          <w:szCs w:val="44"/>
          <w:highlight w:val="none"/>
        </w:rPr>
      </w:pPr>
    </w:p>
    <w:p w14:paraId="22DC331A">
      <w:pPr>
        <w:ind w:firstLine="721"/>
        <w:jc w:val="center"/>
        <w:rPr>
          <w:rFonts w:ascii="华文宋体" w:hAnsi="华文宋体" w:eastAsia="华文宋体" w:cs="华文宋体"/>
          <w:b/>
          <w:bCs/>
          <w:sz w:val="36"/>
          <w:szCs w:val="44"/>
          <w:highlight w:val="none"/>
        </w:rPr>
      </w:pPr>
    </w:p>
    <w:p w14:paraId="3C469D60">
      <w:pPr>
        <w:ind w:left="0" w:leftChars="0" w:firstLine="0" w:firstLineChars="0"/>
      </w:pPr>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宋体"/>
    <w:panose1 w:val="00000000000000000000"/>
    <w:charset w:val="86"/>
    <w:family w:val="auto"/>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宋体">
    <w:panose1 w:val="02010600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方正兰亭黑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8AABB">
    <w:pPr>
      <w:pStyle w:val="8"/>
      <w:ind w:firstLine="360"/>
      <w:jc w:val="center"/>
    </w:pPr>
  </w:p>
  <w:p w14:paraId="23625D72">
    <w:pPr>
      <w:pStyle w:val="8"/>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E9D44">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28C51">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530867"/>
    </w:sdtPr>
    <w:sdtContent>
      <w:p w14:paraId="3DD51B8F">
        <w:pPr>
          <w:pStyle w:val="8"/>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ind w:firstLine="480"/>
      </w:pPr>
      <w:r>
        <w:separator/>
      </w:r>
    </w:p>
  </w:footnote>
  <w:footnote w:type="continuationSeparator" w:id="3">
    <w:p>
      <w:pPr>
        <w:spacing w:line="360" w:lineRule="auto"/>
        <w:ind w:firstLine="480"/>
      </w:pPr>
      <w:r>
        <w:continuationSeparator/>
      </w:r>
    </w:p>
  </w:footnote>
  <w:footnote w:id="0">
    <w:p w14:paraId="5E737F4F">
      <w:pPr>
        <w:pStyle w:val="10"/>
        <w:ind w:firstLine="360"/>
      </w:pPr>
      <w:r>
        <w:rPr>
          <w:rStyle w:val="19"/>
        </w:rPr>
        <w:footnoteRef/>
      </w:r>
      <w:r>
        <w:rPr>
          <w:rFonts w:hint="eastAsia"/>
        </w:rPr>
        <w:t>解密、询标时间可以根据项目情况予以调整。其他内容如需调整，请联系优质采后予以办理。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7711F">
    <w:pPr>
      <w:pStyle w:val="9"/>
      <w:ind w:firstLine="360"/>
      <w:jc w:val="left"/>
      <w:rPr>
        <w:rFonts w:eastAsiaTheme="minorEastAsia"/>
      </w:rPr>
    </w:pPr>
    <w:r>
      <w:rPr>
        <w:rFonts w:hint="eastAsia"/>
      </w:rPr>
      <w:t>磋商文件示范文本—服务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A000F">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7C885">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13FD0">
    <w:pPr>
      <w:pStyle w:val="9"/>
      <w:pBdr>
        <w:bottom w:val="single" w:color="auto" w:sz="4" w:space="1"/>
      </w:pBdr>
      <w:ind w:firstLine="360"/>
      <w:jc w:val="left"/>
    </w:pPr>
    <w:r>
      <w:rPr>
        <w:rFonts w:hint="eastAsia"/>
      </w:rPr>
      <w:t>磋商文件示范文本—服务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F16BB"/>
    <w:multiLevelType w:val="singleLevel"/>
    <w:tmpl w:val="9EBF16BB"/>
    <w:lvl w:ilvl="0" w:tentative="0">
      <w:start w:val="5"/>
      <w:numFmt w:val="decimal"/>
      <w:lvlText w:val="%1."/>
      <w:lvlJc w:val="left"/>
      <w:pPr>
        <w:tabs>
          <w:tab w:val="left" w:pos="312"/>
        </w:tabs>
      </w:pPr>
    </w:lvl>
  </w:abstractNum>
  <w:abstractNum w:abstractNumId="1">
    <w:nsid w:val="BC5BF4D1"/>
    <w:multiLevelType w:val="singleLevel"/>
    <w:tmpl w:val="BC5BF4D1"/>
    <w:lvl w:ilvl="0" w:tentative="0">
      <w:start w:val="1"/>
      <w:numFmt w:val="chineseCounting"/>
      <w:suff w:val="nothing"/>
      <w:lvlText w:val="（%1）"/>
      <w:lvlJc w:val="left"/>
      <w:rPr>
        <w:rFonts w:hint="eastAsia"/>
      </w:rPr>
    </w:lvl>
  </w:abstractNum>
  <w:abstractNum w:abstractNumId="2">
    <w:nsid w:val="F71D34CA"/>
    <w:multiLevelType w:val="singleLevel"/>
    <w:tmpl w:val="F71D34CA"/>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16340"/>
    <w:rsid w:val="035C6DF3"/>
    <w:rsid w:val="0EB16340"/>
    <w:rsid w:val="0FE4264A"/>
    <w:rsid w:val="1AA54498"/>
    <w:rsid w:val="29C27A8F"/>
    <w:rsid w:val="341C1B03"/>
    <w:rsid w:val="3BC767F9"/>
    <w:rsid w:val="3D904440"/>
    <w:rsid w:val="42310E70"/>
    <w:rsid w:val="59616A35"/>
    <w:rsid w:val="602C4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宋体" w:hAnsi="宋体" w:eastAsia="宋体" w:cstheme="minorBidi"/>
      <w:sz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rPr>
      <w:rFonts w:ascii="@微软简标宋" w:hAnsi="@微软简标宋" w:eastAsia="@微软简标宋" w:cs="@微软简标宋"/>
      <w:szCs w:val="24"/>
      <w:lang w:val="zh-CN"/>
    </w:rPr>
  </w:style>
  <w:style w:type="paragraph" w:styleId="5">
    <w:name w:val="Body Text Indent"/>
    <w:basedOn w:val="1"/>
    <w:next w:val="6"/>
    <w:unhideWhenUsed/>
    <w:qFormat/>
    <w:uiPriority w:val="0"/>
    <w:pPr>
      <w:spacing w:after="120"/>
      <w:ind w:left="420" w:leftChars="200"/>
    </w:pPr>
    <w:rPr>
      <w:rFonts w:asciiTheme="minorHAnsi" w:hAnsiTheme="minorHAnsi"/>
      <w:kern w:val="2"/>
      <w:sz w:val="21"/>
      <w:szCs w:val="22"/>
    </w:rPr>
  </w:style>
  <w:style w:type="paragraph" w:styleId="6">
    <w:name w:val="envelope return"/>
    <w:basedOn w:val="1"/>
    <w:qFormat/>
    <w:uiPriority w:val="0"/>
  </w:style>
  <w:style w:type="paragraph" w:styleId="7">
    <w:name w:val="Plain Text"/>
    <w:basedOn w:val="1"/>
    <w:qFormat/>
    <w:uiPriority w:val="0"/>
    <w:rPr>
      <w:rFonts w:hAnsi="Courier New" w:eastAsiaTheme="minorEastAsia"/>
      <w:szCs w:val="22"/>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unhideWhenUsed/>
    <w:qFormat/>
    <w:uiPriority w:val="0"/>
    <w:pPr>
      <w:snapToGrid w:val="0"/>
      <w:jc w:val="left"/>
    </w:pPr>
    <w:rPr>
      <w:rFonts w:ascii="Times New Roman" w:hAnsi="Times New Roman" w:cs="Times New Roman"/>
      <w:kern w:val="2"/>
      <w:sz w:val="18"/>
      <w:szCs w:val="18"/>
      <w:lang w:val="zh-CN"/>
    </w:rPr>
  </w:style>
  <w:style w:type="paragraph" w:styleId="11">
    <w:name w:val="toc 2"/>
    <w:basedOn w:val="1"/>
    <w:next w:val="1"/>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4"/>
    <w:unhideWhenUsed/>
    <w:qFormat/>
    <w:uiPriority w:val="99"/>
    <w:pPr>
      <w:ind w:firstLine="420" w:firstLineChars="100"/>
    </w:pPr>
  </w:style>
  <w:style w:type="paragraph" w:styleId="14">
    <w:name w:val="Body Text First Indent 2"/>
    <w:basedOn w:val="5"/>
    <w:next w:val="1"/>
    <w:qFormat/>
    <w:uiPriority w:val="0"/>
    <w:pPr>
      <w:ind w:left="420" w:firstLine="420" w:firstLineChars="200"/>
    </w:pPr>
  </w:style>
  <w:style w:type="table" w:styleId="16">
    <w:name w:val="Table Grid"/>
    <w:basedOn w:val="15"/>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026E5" w:themeColor="hyperlink"/>
      <w:u w:val="single"/>
      <w14:textFill>
        <w14:solidFill>
          <w14:schemeClr w14:val="hlink"/>
        </w14:solidFill>
      </w14:textFill>
    </w:rPr>
  </w:style>
  <w:style w:type="character" w:styleId="19">
    <w:name w:val="footnote reference"/>
    <w:unhideWhenUsed/>
    <w:qFormat/>
    <w:uiPriority w:val="0"/>
    <w:rPr>
      <w:vertAlign w:val="superscript"/>
    </w:rPr>
  </w:style>
  <w:style w:type="paragraph" w:customStyle="1" w:styleId="20">
    <w:name w:val="五级目录"/>
    <w:basedOn w:val="1"/>
    <w:qFormat/>
    <w:uiPriority w:val="0"/>
    <w:pPr>
      <w:ind w:left="150" w:leftChars="150"/>
      <w:outlineLvl w:val="4"/>
    </w:pPr>
    <w:rPr>
      <w:rFonts w:ascii="黑体" w:hAnsi="Times New Roman"/>
      <w:szCs w:val="28"/>
    </w:rPr>
  </w:style>
  <w:style w:type="paragraph" w:customStyle="1" w:styleId="21">
    <w:name w:val="正文（缩进）"/>
    <w:basedOn w:val="1"/>
    <w:qFormat/>
    <w:uiPriority w:val="0"/>
    <w:pPr>
      <w:widowControl/>
      <w:spacing w:before="156" w:after="156"/>
      <w:ind w:firstLine="480"/>
      <w:jc w:val="left"/>
    </w:pPr>
    <w:rPr>
      <w:szCs w:val="24"/>
    </w:rPr>
  </w:style>
  <w:style w:type="paragraph" w:customStyle="1" w:styleId="22">
    <w:name w:val="xl31"/>
    <w:basedOn w:val="1"/>
    <w:qFormat/>
    <w:uiPriority w:val="0"/>
    <w:pPr>
      <w:ind w:firstLine="0" w:firstLineChars="0"/>
    </w:pPr>
    <w:rPr>
      <w:rFonts w:cs="宋体"/>
      <w:bCs/>
      <w:color w:val="000000" w:themeColor="text1"/>
      <w:szCs w:val="24"/>
      <w14:textFill>
        <w14:solidFill>
          <w14:schemeClr w14:val="tx1"/>
        </w14:solidFill>
      </w14:textFill>
    </w:rPr>
  </w:style>
  <w:style w:type="paragraph" w:customStyle="1" w:styleId="23">
    <w:name w:val="D&amp;L"/>
    <w:basedOn w:val="9"/>
    <w:qFormat/>
    <w:uiPriority w:val="0"/>
    <w:pPr>
      <w:pBdr>
        <w:bottom w:val="none" w:color="auto" w:sz="0" w:space="0"/>
      </w:pBdr>
      <w:snapToGrid/>
    </w:pPr>
    <w:rPr>
      <w:rFonts w:cs="宋体"/>
      <w:bCs/>
      <w:kern w:val="2"/>
      <w:sz w:val="24"/>
      <w:szCs w:val="24"/>
    </w:rPr>
  </w:style>
  <w:style w:type="paragraph" w:customStyle="1" w:styleId="24">
    <w:name w:val="普通 (Web)"/>
    <w:basedOn w:val="1"/>
    <w:qFormat/>
    <w:uiPriority w:val="0"/>
    <w:pPr>
      <w:widowControl/>
      <w:tabs>
        <w:tab w:val="left" w:pos="1152"/>
      </w:tabs>
      <w:ind w:firstLine="0" w:firstLineChars="0"/>
      <w:jc w:val="left"/>
    </w:pPr>
    <w:rPr>
      <w:rFonts w:cs="宋体"/>
      <w:b/>
      <w:color w:val="000000" w:themeColor="text1"/>
      <w:szCs w:val="24"/>
      <w14:textFill>
        <w14:solidFill>
          <w14:schemeClr w14:val="tx1"/>
        </w14:solidFill>
      </w14:textFill>
    </w:rPr>
  </w:style>
  <w:style w:type="paragraph" w:customStyle="1" w:styleId="2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cs="宋体"/>
      <w:snapToGrid w:val="0"/>
      <w:color w:val="000000"/>
      <w:szCs w:val="24"/>
      <w:lang w:eastAsia="en-US"/>
    </w:rPr>
  </w:style>
  <w:style w:type="table" w:customStyle="1" w:styleId="27">
    <w:name w:val="Table Normal"/>
    <w:autoRedefine/>
    <w:semiHidden/>
    <w:unhideWhenUsed/>
    <w:qFormat/>
    <w:uiPriority w:val="0"/>
    <w:tblPr>
      <w:tblCellMar>
        <w:top w:w="0" w:type="dxa"/>
        <w:left w:w="0" w:type="dxa"/>
        <w:bottom w:w="0" w:type="dxa"/>
        <w:right w:w="0" w:type="dxa"/>
      </w:tblCellMar>
    </w:tblPr>
  </w:style>
  <w:style w:type="paragraph" w:customStyle="1" w:styleId="28">
    <w:name w:val="BodyText1I"/>
    <w:basedOn w:val="29"/>
    <w:qFormat/>
    <w:uiPriority w:val="0"/>
    <w:pPr>
      <w:ind w:firstLine="420" w:firstLineChars="100"/>
    </w:pPr>
  </w:style>
  <w:style w:type="paragraph" w:customStyle="1" w:styleId="29">
    <w:name w:val="BodyText"/>
    <w:basedOn w:val="1"/>
    <w:next w:val="30"/>
    <w:qFormat/>
    <w:uiPriority w:val="0"/>
    <w:pPr>
      <w:widowControl/>
      <w:snapToGrid w:val="0"/>
      <w:spacing w:line="240" w:lineRule="auto"/>
      <w:jc w:val="left"/>
      <w:textAlignment w:val="baseline"/>
    </w:pPr>
    <w:rPr>
      <w:color w:val="000000"/>
      <w:szCs w:val="24"/>
      <w:lang w:val="zh-CN" w:bidi="zh-CN"/>
    </w:rPr>
  </w:style>
  <w:style w:type="paragraph" w:customStyle="1" w:styleId="30">
    <w:name w:val="Acetate"/>
    <w:basedOn w:val="1"/>
    <w:qFormat/>
    <w:uiPriority w:val="0"/>
    <w:pPr>
      <w:widowControl/>
      <w:snapToGrid w:val="0"/>
      <w:spacing w:line="240" w:lineRule="auto"/>
      <w:jc w:val="left"/>
      <w:textAlignment w:val="baseline"/>
    </w:pPr>
    <w:rPr>
      <w:rFonts w:ascii="Times New Roman" w:hAnsi="Times New Roman" w:eastAsia="Arial"/>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21993</Words>
  <Characters>24050</Characters>
  <Lines>0</Lines>
  <Paragraphs>0</Paragraphs>
  <TotalTime>97</TotalTime>
  <ScaleCrop>false</ScaleCrop>
  <LinksUpToDate>false</LinksUpToDate>
  <CharactersWithSpaces>25264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2026-10-28T07:14:00Z</dcterms:created>
  <dc:creator>唐晶晶</dc:creator>
  <cp:lastModifiedBy>唐晶晶</cp:lastModifiedBy>
  <dcterms:modified xsi:type="dcterms:W3CDTF">2026-10-28T09:02:39Z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4A1F1562FFE44B1F94BFA94A8148E98A_11</vt:lpwstr>
  </property>
  <property fmtid="{D5CDD505-2E9C-101B-9397-08002B2CF9AE}" pid="4" name="KSOTemplateDocerSaveRecord">
    <vt:lpwstr>eyJoZGlkIjoiNGNlMGMwZDBhYWZhOTllNjljOGQ4MzE3OWEwNDRhMWMiLCJ1c2VySWQiOiIxNTY2MDI5NTY5In0=</vt:lpwstr>
  </property>
</Properties>
</file>