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5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第一成交候选人：</w:t>
            </w: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合肥仁义建设工程有限公司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询比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065858CC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具有独立承担民事责任的能力，提供有效的营业执照。</w:t>
            </w:r>
          </w:p>
        </w:tc>
      </w:tr>
    </w:tbl>
    <w:p w14:paraId="39DE269B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3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7"/>
        <w:gridCol w:w="2986"/>
        <w:gridCol w:w="2187"/>
        <w:gridCol w:w="2320"/>
      </w:tblGrid>
      <w:tr w14:paraId="6926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 w14:paraId="55FF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E0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项目名称：市政管养部机械租赁服务单位采购项目（二次）</w:t>
            </w:r>
          </w:p>
        </w:tc>
      </w:tr>
      <w:tr w14:paraId="1BDE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9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项目编号：2026PHBX361-1</w:t>
            </w:r>
          </w:p>
        </w:tc>
      </w:tr>
      <w:tr w14:paraId="426B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6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6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供应商</w:t>
            </w:r>
            <w:bookmarkStart w:id="0" w:name="_GoBack"/>
            <w:bookmarkEnd w:id="0"/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F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9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报价（%）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A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0EF8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8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合肥仁义建设工程有限公司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8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A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9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 w14:paraId="0AE8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7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安徽灏璟建设工程有限公司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8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0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20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F1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0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合肥明安建设工程有限公司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E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3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2D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001BB53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F67B1"/>
    <w:rsid w:val="2D6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2026-07-27T08:38:01Z</dcterms:created>
  <dc:creator>Administrator</dc:creator>
  <cp:lastModifiedBy>在你之上，踏水而歌</cp:lastModifiedBy>
  <dcterms:modified xsi:type="dcterms:W3CDTF">2026-07-27T08:39:06Z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eyJoZGlkIjoiOTlhNDQwZDY5NzYzYTY5YjMyMjZiM2EyNGJhOGQxODEiLCJ1c2VySWQiOiIyMjg5NDI5NDMifQ==</vt:lpwstr>
  </property>
  <property fmtid="{D5CDD505-2E9C-101B-9397-08002B2CF9AE}" pid="4" name="ICV">
    <vt:lpwstr>8CA25EB83E6A4417807AD4ED10C688F9_12</vt:lpwstr>
  </property>
</Properties>
</file>