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171B6">
      <w:pPr>
        <w:tabs>
          <w:tab w:val="left" w:pos="420"/>
        </w:tabs>
        <w:spacing w:line="1700" w:lineRule="exact"/>
        <w:jc w:val="center"/>
        <w:rPr>
          <w:rFonts w:hint="eastAsia" w:ascii="宋体" w:hAnsi="宋体" w:eastAsia="宋体" w:cs="宋体"/>
          <w:b/>
          <w:bCs/>
          <w:color w:val="auto"/>
          <w:sz w:val="52"/>
          <w:szCs w:val="52"/>
          <w:highlight w:val="none"/>
        </w:rPr>
      </w:pPr>
      <w:r>
        <w:rPr>
          <w:rFonts w:hint="eastAsia" w:ascii="宋体" w:hAnsi="宋体" w:cs="宋体"/>
          <w:b/>
          <w:bCs/>
          <w:color w:val="auto"/>
          <w:sz w:val="52"/>
          <w:szCs w:val="52"/>
          <w:highlight w:val="none"/>
          <w:lang w:eastAsia="zh-CN"/>
        </w:rPr>
        <w:t>谈判</w:t>
      </w:r>
      <w:r>
        <w:rPr>
          <w:rFonts w:hint="eastAsia" w:ascii="宋体" w:hAnsi="宋体" w:eastAsia="宋体" w:cs="宋体"/>
          <w:b/>
          <w:bCs/>
          <w:color w:val="auto"/>
          <w:sz w:val="52"/>
          <w:szCs w:val="52"/>
          <w:highlight w:val="none"/>
        </w:rPr>
        <w:t>文件</w:t>
      </w:r>
    </w:p>
    <w:p w14:paraId="3F0DFF8B">
      <w:pPr>
        <w:tabs>
          <w:tab w:val="left" w:pos="315"/>
          <w:tab w:val="left" w:pos="8820"/>
        </w:tabs>
        <w:spacing w:line="500" w:lineRule="exact"/>
        <w:jc w:val="right"/>
        <w:rPr>
          <w:rFonts w:hint="eastAsia" w:ascii="宋体" w:hAnsi="宋体" w:eastAsia="宋体" w:cs="宋体"/>
          <w:bCs/>
          <w:color w:val="auto"/>
          <w:sz w:val="24"/>
          <w:szCs w:val="24"/>
          <w:highlight w:val="none"/>
        </w:rPr>
      </w:pPr>
    </w:p>
    <w:p w14:paraId="47CCF2B0">
      <w:pPr>
        <w:tabs>
          <w:tab w:val="left" w:pos="315"/>
          <w:tab w:val="left" w:pos="8820"/>
        </w:tabs>
        <w:spacing w:line="500" w:lineRule="exact"/>
        <w:jc w:val="right"/>
        <w:rPr>
          <w:rFonts w:hint="eastAsia" w:ascii="宋体" w:hAnsi="宋体" w:eastAsia="宋体" w:cs="宋体"/>
          <w:bCs/>
          <w:color w:val="auto"/>
          <w:sz w:val="24"/>
          <w:szCs w:val="24"/>
          <w:highlight w:val="none"/>
        </w:rPr>
      </w:pPr>
    </w:p>
    <w:p w14:paraId="3D395E9C">
      <w:pPr>
        <w:tabs>
          <w:tab w:val="left" w:pos="315"/>
          <w:tab w:val="left" w:pos="8820"/>
        </w:tabs>
        <w:spacing w:line="500" w:lineRule="exact"/>
        <w:jc w:val="right"/>
        <w:rPr>
          <w:rFonts w:hint="eastAsia" w:ascii="宋体" w:hAnsi="宋体" w:eastAsia="宋体" w:cs="宋体"/>
          <w:bCs/>
          <w:color w:val="auto"/>
          <w:sz w:val="24"/>
          <w:szCs w:val="24"/>
          <w:highlight w:val="none"/>
        </w:rPr>
      </w:pPr>
    </w:p>
    <w:p w14:paraId="4218F515">
      <w:pPr>
        <w:tabs>
          <w:tab w:val="left" w:pos="315"/>
          <w:tab w:val="left" w:pos="8820"/>
        </w:tabs>
        <w:spacing w:line="500" w:lineRule="exact"/>
        <w:jc w:val="right"/>
        <w:rPr>
          <w:rFonts w:hint="eastAsia" w:ascii="宋体" w:hAnsi="宋体" w:eastAsia="宋体" w:cs="宋体"/>
          <w:bCs/>
          <w:color w:val="auto"/>
          <w:sz w:val="24"/>
          <w:szCs w:val="24"/>
          <w:highlight w:val="none"/>
        </w:rPr>
      </w:pPr>
    </w:p>
    <w:p w14:paraId="273D52C7">
      <w:pPr>
        <w:tabs>
          <w:tab w:val="left" w:pos="315"/>
          <w:tab w:val="left" w:pos="8820"/>
        </w:tabs>
        <w:spacing w:line="500" w:lineRule="exact"/>
        <w:jc w:val="right"/>
        <w:rPr>
          <w:rFonts w:hint="eastAsia" w:ascii="宋体" w:hAnsi="宋体" w:eastAsia="宋体" w:cs="宋体"/>
          <w:bCs/>
          <w:color w:val="auto"/>
          <w:sz w:val="24"/>
          <w:szCs w:val="24"/>
          <w:highlight w:val="none"/>
        </w:rPr>
      </w:pPr>
    </w:p>
    <w:p w14:paraId="3DA6E03A">
      <w:pPr>
        <w:spacing w:line="360" w:lineRule="auto"/>
        <w:jc w:val="left"/>
        <w:rPr>
          <w:rFonts w:hint="eastAsia" w:ascii="宋体" w:hAnsi="宋体" w:eastAsia="宋体" w:cs="宋体"/>
          <w:color w:val="auto"/>
          <w:sz w:val="24"/>
          <w:szCs w:val="24"/>
          <w:highlight w:val="none"/>
        </w:rPr>
      </w:pPr>
    </w:p>
    <w:p w14:paraId="2D0A9A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INCLUDEPICTURE "C:\\Users\\018\\Documents\\Tencent Files\\936259992\\Image\\Group\\YMG9IE5S~HAW0XO_}UZVNQG.jpg"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drawing>
          <wp:inline distT="0" distB="0" distL="114300" distR="114300">
            <wp:extent cx="1662430" cy="161417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662430" cy="1614170"/>
                    </a:xfrm>
                    <a:prstGeom prst="rect">
                      <a:avLst/>
                    </a:prstGeom>
                    <a:noFill/>
                    <a:ln>
                      <a:noFill/>
                    </a:ln>
                  </pic:spPr>
                </pic:pic>
              </a:graphicData>
            </a:graphic>
          </wp:inline>
        </w:drawing>
      </w:r>
      <w:r>
        <w:rPr>
          <w:rFonts w:hint="eastAsia" w:ascii="宋体" w:hAnsi="宋体" w:eastAsia="宋体" w:cs="宋体"/>
          <w:color w:val="auto"/>
          <w:highlight w:val="none"/>
        </w:rPr>
        <w:fldChar w:fldCharType="end"/>
      </w:r>
    </w:p>
    <w:p w14:paraId="485414E2">
      <w:pPr>
        <w:tabs>
          <w:tab w:val="left" w:pos="315"/>
          <w:tab w:val="left" w:pos="8820"/>
        </w:tabs>
        <w:spacing w:before="240" w:beforeLines="100" w:after="120" w:afterLines="50" w:line="500" w:lineRule="exact"/>
        <w:ind w:right="25" w:rightChars="12"/>
        <w:jc w:val="center"/>
        <w:rPr>
          <w:rFonts w:hint="eastAsia" w:ascii="宋体" w:hAnsi="宋体" w:eastAsia="宋体" w:cs="宋体"/>
          <w:color w:val="auto"/>
          <w:sz w:val="24"/>
          <w:szCs w:val="24"/>
          <w:highlight w:val="none"/>
        </w:rPr>
      </w:pPr>
    </w:p>
    <w:p w14:paraId="36A4C7F2">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24"/>
          <w:szCs w:val="24"/>
          <w:highlight w:val="none"/>
        </w:rPr>
      </w:pPr>
    </w:p>
    <w:p w14:paraId="5D1BCA1C">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24"/>
          <w:szCs w:val="24"/>
          <w:highlight w:val="none"/>
        </w:rPr>
      </w:pPr>
    </w:p>
    <w:p w14:paraId="092D83EC">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643" w:firstLineChars="200"/>
        <w:textAlignment w:val="auto"/>
        <w:rPr>
          <w:rFonts w:hint="eastAsia" w:ascii="宋体" w:hAnsi="宋体" w:eastAsia="宋体" w:cs="宋体"/>
          <w:b/>
          <w:color w:val="auto"/>
          <w:spacing w:val="0"/>
          <w:kern w:val="28"/>
          <w:sz w:val="32"/>
          <w:szCs w:val="32"/>
          <w:highlight w:val="none"/>
          <w:lang w:eastAsia="zh-CN"/>
        </w:rPr>
      </w:pPr>
      <w:r>
        <w:rPr>
          <w:rFonts w:hint="eastAsia" w:ascii="宋体" w:hAnsi="宋体" w:eastAsia="宋体" w:cs="宋体"/>
          <w:b/>
          <w:color w:val="auto"/>
          <w:spacing w:val="0"/>
          <w:kern w:val="28"/>
          <w:sz w:val="32"/>
          <w:szCs w:val="32"/>
          <w:highlight w:val="none"/>
        </w:rPr>
        <w:t>项目名称：</w:t>
      </w:r>
      <w:r>
        <w:rPr>
          <w:rFonts w:hint="eastAsia" w:ascii="宋体" w:hAnsi="宋体" w:cs="宋体"/>
          <w:b/>
          <w:color w:val="auto"/>
          <w:spacing w:val="0"/>
          <w:kern w:val="28"/>
          <w:sz w:val="32"/>
          <w:szCs w:val="32"/>
          <w:highlight w:val="none"/>
          <w:lang w:eastAsia="zh-CN"/>
        </w:rPr>
        <w:t>紫云湖小学扩建项目第三方检测</w:t>
      </w:r>
    </w:p>
    <w:p w14:paraId="76AB107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643" w:firstLineChars="200"/>
        <w:textAlignment w:val="auto"/>
        <w:rPr>
          <w:rFonts w:hint="eastAsia" w:ascii="宋体" w:hAnsi="宋体" w:cs="宋体"/>
          <w:b/>
          <w:color w:val="auto"/>
          <w:spacing w:val="0"/>
          <w:kern w:val="28"/>
          <w:sz w:val="32"/>
          <w:szCs w:val="32"/>
          <w:highlight w:val="none"/>
          <w:lang w:eastAsia="zh-CN"/>
        </w:rPr>
      </w:pPr>
      <w:r>
        <w:rPr>
          <w:rFonts w:hint="eastAsia" w:ascii="宋体" w:hAnsi="宋体" w:eastAsia="宋体" w:cs="宋体"/>
          <w:b/>
          <w:color w:val="auto"/>
          <w:spacing w:val="0"/>
          <w:kern w:val="28"/>
          <w:sz w:val="32"/>
          <w:szCs w:val="32"/>
          <w:highlight w:val="none"/>
        </w:rPr>
        <w:t>项目编号:</w:t>
      </w:r>
      <w:r>
        <w:rPr>
          <w:rFonts w:hint="eastAsia" w:ascii="宋体" w:hAnsi="宋体" w:cs="宋体"/>
          <w:b/>
          <w:color w:val="auto"/>
          <w:spacing w:val="0"/>
          <w:kern w:val="28"/>
          <w:sz w:val="32"/>
          <w:szCs w:val="32"/>
          <w:highlight w:val="none"/>
          <w:lang w:eastAsia="zh-CN"/>
        </w:rPr>
        <w:t>2026PHBJ211</w:t>
      </w:r>
    </w:p>
    <w:p w14:paraId="565A56A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643" w:firstLineChars="200"/>
        <w:textAlignment w:val="auto"/>
        <w:rPr>
          <w:rFonts w:hint="default" w:ascii="宋体" w:hAnsi="宋体" w:cs="宋体"/>
          <w:b/>
          <w:color w:val="auto"/>
          <w:spacing w:val="0"/>
          <w:kern w:val="28"/>
          <w:sz w:val="32"/>
          <w:szCs w:val="32"/>
          <w:highlight w:val="none"/>
          <w:lang w:val="en-US" w:eastAsia="zh-CN"/>
        </w:rPr>
      </w:pPr>
      <w:r>
        <w:rPr>
          <w:rFonts w:hint="eastAsia" w:ascii="宋体" w:hAnsi="宋体" w:cs="宋体"/>
          <w:b/>
          <w:color w:val="auto"/>
          <w:spacing w:val="0"/>
          <w:kern w:val="28"/>
          <w:sz w:val="32"/>
          <w:szCs w:val="32"/>
          <w:highlight w:val="none"/>
          <w:lang w:eastAsia="zh-CN"/>
        </w:rPr>
        <w:t>采购人</w:t>
      </w:r>
      <w:r>
        <w:rPr>
          <w:rFonts w:hint="eastAsia" w:ascii="宋体" w:hAnsi="宋体" w:eastAsia="宋体" w:cs="宋体"/>
          <w:b/>
          <w:color w:val="auto"/>
          <w:spacing w:val="0"/>
          <w:kern w:val="28"/>
          <w:sz w:val="32"/>
          <w:szCs w:val="32"/>
          <w:highlight w:val="none"/>
        </w:rPr>
        <w:t>：</w:t>
      </w:r>
      <w:r>
        <w:rPr>
          <w:rFonts w:hint="eastAsia" w:ascii="宋体" w:hAnsi="宋体" w:cs="宋体"/>
          <w:b/>
          <w:color w:val="auto"/>
          <w:spacing w:val="0"/>
          <w:kern w:val="28"/>
          <w:sz w:val="32"/>
          <w:szCs w:val="32"/>
          <w:highlight w:val="none"/>
          <w:lang w:val="en-US" w:eastAsia="zh-CN"/>
        </w:rPr>
        <w:t>肥西县教育体育局</w:t>
      </w:r>
    </w:p>
    <w:p w14:paraId="1776A215">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643" w:firstLineChars="200"/>
        <w:textAlignment w:val="auto"/>
        <w:rPr>
          <w:rFonts w:hint="eastAsia" w:ascii="宋体" w:hAnsi="宋体" w:cs="宋体"/>
          <w:b/>
          <w:color w:val="auto"/>
          <w:spacing w:val="0"/>
          <w:kern w:val="28"/>
          <w:sz w:val="32"/>
          <w:szCs w:val="32"/>
          <w:highlight w:val="none"/>
          <w:lang w:eastAsia="zh-CN"/>
        </w:rPr>
      </w:pPr>
      <w:r>
        <w:rPr>
          <w:rFonts w:hint="eastAsia" w:ascii="宋体" w:hAnsi="宋体" w:cs="宋体"/>
          <w:b/>
          <w:color w:val="auto"/>
          <w:spacing w:val="0"/>
          <w:kern w:val="28"/>
          <w:sz w:val="32"/>
          <w:szCs w:val="32"/>
          <w:highlight w:val="none"/>
          <w:lang w:eastAsia="zh-CN"/>
        </w:rPr>
        <w:t>代理机构</w:t>
      </w:r>
      <w:r>
        <w:rPr>
          <w:rFonts w:hint="eastAsia" w:ascii="宋体" w:hAnsi="宋体" w:eastAsia="宋体" w:cs="宋体"/>
          <w:b/>
          <w:color w:val="auto"/>
          <w:spacing w:val="0"/>
          <w:kern w:val="28"/>
          <w:sz w:val="32"/>
          <w:szCs w:val="32"/>
          <w:highlight w:val="none"/>
        </w:rPr>
        <w:t>：</w:t>
      </w:r>
      <w:r>
        <w:rPr>
          <w:rFonts w:hint="eastAsia" w:ascii="宋体" w:hAnsi="宋体" w:cs="宋体"/>
          <w:b/>
          <w:color w:val="auto"/>
          <w:spacing w:val="0"/>
          <w:kern w:val="28"/>
          <w:sz w:val="32"/>
          <w:szCs w:val="32"/>
          <w:highlight w:val="none"/>
          <w:lang w:eastAsia="zh-CN"/>
        </w:rPr>
        <w:t>肥西县公共资源交易有限责任公司</w:t>
      </w:r>
    </w:p>
    <w:p w14:paraId="1562C38B">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643" w:firstLineChars="200"/>
        <w:textAlignment w:val="auto"/>
        <w:rPr>
          <w:rFonts w:hint="eastAsia" w:ascii="宋体" w:hAnsi="宋体" w:cs="宋体"/>
          <w:b/>
          <w:color w:val="auto"/>
          <w:spacing w:val="0"/>
          <w:kern w:val="28"/>
          <w:sz w:val="32"/>
          <w:szCs w:val="32"/>
          <w:highlight w:val="none"/>
          <w:lang w:eastAsia="zh-CN"/>
        </w:rPr>
      </w:pPr>
    </w:p>
    <w:p w14:paraId="51404795">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rPr>
          <w:rFonts w:hint="eastAsia" w:ascii="宋体" w:hAnsi="宋体" w:cs="宋体"/>
          <w:b/>
          <w:color w:val="auto"/>
          <w:spacing w:val="0"/>
          <w:kern w:val="28"/>
          <w:sz w:val="32"/>
          <w:szCs w:val="32"/>
          <w:highlight w:val="none"/>
          <w:lang w:eastAsia="zh-CN"/>
        </w:rPr>
      </w:pPr>
    </w:p>
    <w:p w14:paraId="2759D77B">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3213" w:firstLineChars="1000"/>
        <w:jc w:val="both"/>
        <w:textAlignment w:val="auto"/>
        <w:rPr>
          <w:rFonts w:hint="default" w:ascii="宋体" w:hAnsi="宋体" w:eastAsia="宋体" w:cs="宋体"/>
          <w:b/>
          <w:color w:val="auto"/>
          <w:spacing w:val="0"/>
          <w:kern w:val="28"/>
          <w:sz w:val="32"/>
          <w:szCs w:val="32"/>
          <w:highlight w:val="none"/>
          <w:lang w:val="en-US" w:eastAsia="zh-CN"/>
        </w:rPr>
      </w:pPr>
      <w:r>
        <w:rPr>
          <w:rFonts w:hint="eastAsia" w:ascii="宋体" w:hAnsi="宋体" w:cs="宋体"/>
          <w:b/>
          <w:color w:val="auto"/>
          <w:spacing w:val="0"/>
          <w:kern w:val="28"/>
          <w:sz w:val="32"/>
          <w:szCs w:val="32"/>
          <w:highlight w:val="none"/>
          <w:lang w:val="en-US" w:eastAsia="zh-CN"/>
        </w:rPr>
        <w:t>2026年4月</w:t>
      </w:r>
    </w:p>
    <w:p w14:paraId="22EC19BC">
      <w:pPr>
        <w:spacing w:line="500" w:lineRule="exact"/>
        <w:jc w:val="center"/>
        <w:rPr>
          <w:rFonts w:hint="eastAsia" w:ascii="宋体" w:hAnsi="宋体" w:eastAsia="宋体" w:cs="宋体"/>
          <w:b/>
          <w:color w:val="auto"/>
          <w:sz w:val="32"/>
          <w:szCs w:val="22"/>
          <w:highlight w:val="none"/>
        </w:rPr>
        <w:sectPr>
          <w:headerReference r:id="rId4" w:type="default"/>
          <w:footerReference r:id="rId5" w:type="default"/>
          <w:footerReference r:id="rId6" w:type="even"/>
          <w:pgSz w:w="11907" w:h="16840"/>
          <w:pgMar w:top="1440" w:right="1247" w:bottom="1440" w:left="1247" w:header="851" w:footer="992" w:gutter="0"/>
          <w:pgBorders>
            <w:top w:val="none" w:sz="0" w:space="0"/>
            <w:left w:val="none" w:sz="0" w:space="0"/>
            <w:bottom w:val="none" w:sz="0" w:space="0"/>
            <w:right w:val="none" w:sz="0" w:space="0"/>
          </w:pgBorders>
          <w:cols w:space="720" w:num="1"/>
          <w:docGrid w:linePitch="303" w:charSpace="0"/>
        </w:sectPr>
      </w:pPr>
    </w:p>
    <w:p w14:paraId="3FC6F339">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22"/>
          <w:highlight w:val="none"/>
        </w:rPr>
        <w:t>目  录</w:t>
      </w:r>
    </w:p>
    <w:p w14:paraId="73FB7104">
      <w:pPr>
        <w:pStyle w:val="15"/>
        <w:keepNext w:val="0"/>
        <w:keepLines w:val="0"/>
        <w:pageBreakBefore w:val="0"/>
        <w:widowControl w:val="0"/>
        <w:tabs>
          <w:tab w:val="right" w:leader="dot" w:pos="9413"/>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bookmarkStart w:id="0" w:name="_Hlt519045295"/>
      <w:bookmarkEnd w:id="0"/>
      <w:bookmarkStart w:id="1" w:name="_Hlt533241375"/>
      <w:bookmarkEnd w:id="1"/>
      <w:bookmarkStart w:id="2" w:name="_Hlt526418134"/>
      <w:bookmarkEnd w:id="2"/>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\t "标题 3,1"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_Toc21672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邀请（</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_Toc21672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E735A1F">
      <w:pPr>
        <w:pStyle w:val="15"/>
        <w:keepNext w:val="0"/>
        <w:keepLines w:val="0"/>
        <w:pageBreakBefore w:val="0"/>
        <w:widowControl w:val="0"/>
        <w:tabs>
          <w:tab w:val="right" w:leader="dot" w:pos="9413"/>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_Toc29395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参审单位</w:t>
      </w:r>
      <w:r>
        <w:rPr>
          <w:rFonts w:hint="eastAsia" w:ascii="宋体" w:hAnsi="宋体" w:eastAsia="宋体" w:cs="宋体"/>
          <w:sz w:val="24"/>
          <w:szCs w:val="24"/>
          <w:highlight w:val="none"/>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_Toc29395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72B338B">
      <w:pPr>
        <w:pStyle w:val="15"/>
        <w:keepNext w:val="0"/>
        <w:keepLines w:val="0"/>
        <w:pageBreakBefore w:val="0"/>
        <w:widowControl w:val="0"/>
        <w:tabs>
          <w:tab w:val="right" w:leader="dot" w:pos="9413"/>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第三章 </w:t>
      </w:r>
      <w:r>
        <w:rPr>
          <w:rFonts w:hint="eastAsia" w:ascii="宋体" w:hAnsi="宋体" w:eastAsia="宋体" w:cs="宋体"/>
          <w:sz w:val="24"/>
          <w:szCs w:val="24"/>
          <w:highlight w:val="none"/>
          <w:lang w:eastAsia="zh-CN"/>
        </w:rPr>
        <w:t>参审单位</w:t>
      </w:r>
      <w:r>
        <w:rPr>
          <w:rFonts w:hint="eastAsia" w:ascii="宋体" w:hAnsi="宋体" w:eastAsia="宋体" w:cs="宋体"/>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ECFFA75">
      <w:pPr>
        <w:pStyle w:val="15"/>
        <w:keepNext w:val="0"/>
        <w:keepLines w:val="0"/>
        <w:pageBreakBefore w:val="0"/>
        <w:widowControl w:val="0"/>
        <w:tabs>
          <w:tab w:val="right" w:leader="dot" w:pos="9413"/>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_Toc18532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第四章 谈判需求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_Toc18532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CE7F7E7">
      <w:pPr>
        <w:pStyle w:val="15"/>
        <w:keepNext w:val="0"/>
        <w:keepLines w:val="0"/>
        <w:pageBreakBefore w:val="0"/>
        <w:widowControl w:val="0"/>
        <w:tabs>
          <w:tab w:val="right" w:leader="dot" w:pos="9413"/>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_Toc8748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第五章 谈判与评审办法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_Toc8748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F05FF2D">
      <w:pPr>
        <w:pStyle w:val="15"/>
        <w:keepNext w:val="0"/>
        <w:keepLines w:val="0"/>
        <w:pageBreakBefore w:val="0"/>
        <w:widowControl w:val="0"/>
        <w:tabs>
          <w:tab w:val="right" w:leader="dot" w:pos="9413"/>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_Toc14741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第六章  合同参考范本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_Toc14741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3875BFE">
      <w:pPr>
        <w:pStyle w:val="15"/>
        <w:keepNext w:val="0"/>
        <w:keepLines w:val="0"/>
        <w:pageBreakBefore w:val="0"/>
        <w:widowControl w:val="0"/>
        <w:tabs>
          <w:tab w:val="right" w:leader="dot" w:pos="9413"/>
        </w:tabs>
        <w:kinsoku/>
        <w:wordWrap/>
        <w:overflowPunct/>
        <w:topLinePunct w:val="0"/>
        <w:autoSpaceDE/>
        <w:autoSpaceDN/>
        <w:bidi w:val="0"/>
        <w:adjustRightInd/>
        <w:snapToGrid/>
        <w:spacing w:line="460" w:lineRule="exact"/>
        <w:textAlignment w:val="auto"/>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_Toc9711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第七章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_Toc9711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01EBF4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6117CCD4">
      <w:pPr>
        <w:pStyle w:val="19"/>
        <w:keepNext w:val="0"/>
        <w:keepLines w:val="0"/>
        <w:pageBreakBefore w:val="0"/>
        <w:widowControl w:val="0"/>
        <w:tabs>
          <w:tab w:val="right" w:leader="dot" w:pos="9413"/>
        </w:tabs>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p>
    <w:p w14:paraId="2C151955">
      <w:pPr>
        <w:pStyle w:val="19"/>
        <w:tabs>
          <w:tab w:val="right" w:leader="dot" w:pos="9403"/>
        </w:tabs>
        <w:spacing w:line="240" w:lineRule="exact"/>
        <w:jc w:val="center"/>
        <w:rPr>
          <w:rFonts w:hint="eastAsia" w:ascii="宋体" w:hAnsi="宋体" w:eastAsia="宋体" w:cs="宋体"/>
          <w:color w:val="auto"/>
          <w:sz w:val="24"/>
          <w:highlight w:val="none"/>
        </w:rPr>
      </w:pPr>
      <w:r>
        <w:rPr>
          <w:rFonts w:hint="eastAsia" w:ascii="宋体" w:hAnsi="宋体" w:eastAsia="宋体" w:cs="宋体"/>
          <w:b/>
          <w:bCs/>
          <w:caps/>
          <w:color w:val="auto"/>
          <w:sz w:val="24"/>
          <w:highlight w:val="none"/>
        </w:rPr>
        <w:br w:type="page"/>
      </w:r>
    </w:p>
    <w:p w14:paraId="5A7A5380">
      <w:pPr>
        <w:pStyle w:val="4"/>
        <w:bidi w:val="0"/>
        <w:rPr>
          <w:rFonts w:hint="eastAsia"/>
          <w:color w:val="auto"/>
          <w:highlight w:val="none"/>
        </w:rPr>
      </w:pPr>
      <w:bookmarkStart w:id="3" w:name="_Toc21672"/>
      <w:bookmarkStart w:id="4" w:name="_Toc20114"/>
      <w:bookmarkStart w:id="5" w:name="OLE_LINK6"/>
      <w:r>
        <w:rPr>
          <w:rFonts w:hint="eastAsia"/>
          <w:color w:val="auto"/>
          <w:highlight w:val="none"/>
        </w:rPr>
        <w:t>第一章</w:t>
      </w:r>
      <w:bookmarkStart w:id="6" w:name="_Toc462215727"/>
      <w:r>
        <w:rPr>
          <w:rFonts w:hint="eastAsia"/>
          <w:color w:val="auto"/>
          <w:highlight w:val="none"/>
        </w:rPr>
        <w:t xml:space="preserve"> </w:t>
      </w:r>
      <w:r>
        <w:rPr>
          <w:rFonts w:hint="eastAsia"/>
          <w:color w:val="auto"/>
          <w:highlight w:val="none"/>
          <w:lang w:val="en-US" w:eastAsia="zh-CN"/>
        </w:rPr>
        <w:t>谈判</w:t>
      </w:r>
      <w:r>
        <w:rPr>
          <w:rFonts w:hint="eastAsia"/>
          <w:color w:val="auto"/>
          <w:highlight w:val="none"/>
        </w:rPr>
        <w:t>邀请（</w:t>
      </w:r>
      <w:r>
        <w:rPr>
          <w:rFonts w:hint="eastAsia"/>
          <w:color w:val="auto"/>
          <w:highlight w:val="none"/>
          <w:lang w:eastAsia="zh-CN"/>
        </w:rPr>
        <w:t>谈判</w:t>
      </w:r>
      <w:r>
        <w:rPr>
          <w:rFonts w:hint="eastAsia"/>
          <w:color w:val="auto"/>
          <w:highlight w:val="none"/>
        </w:rPr>
        <w:t>公告）</w:t>
      </w:r>
      <w:bookmarkEnd w:id="3"/>
      <w:bookmarkEnd w:id="4"/>
      <w:bookmarkEnd w:id="6"/>
    </w:p>
    <w:p w14:paraId="77A195D1">
      <w:pPr>
        <w:pStyle w:val="30"/>
        <w:widowControl w:val="0"/>
        <w:autoSpaceDE w:val="0"/>
        <w:autoSpaceDN w:val="0"/>
        <w:adjustRightInd w:val="0"/>
        <w:spacing w:before="0" w:after="0" w:line="360" w:lineRule="auto"/>
        <w:rPr>
          <w:rFonts w:hint="eastAsia" w:ascii="宋体" w:hAnsi="宋体" w:eastAsia="宋体" w:cs="宋体"/>
          <w:color w:val="auto"/>
          <w:kern w:val="2"/>
          <w:highlight w:val="none"/>
        </w:rPr>
      </w:pPr>
      <w:bookmarkStart w:id="7" w:name="OLE_LINK10"/>
      <w:bookmarkStart w:id="8" w:name="_Hlk91864390"/>
      <w:r>
        <w:rPr>
          <w:rFonts w:hint="eastAsia" w:ascii="宋体" w:hAnsi="宋体" w:eastAsia="宋体" w:cs="宋体"/>
          <w:color w:val="auto"/>
          <w:kern w:val="2"/>
          <w:highlight w:val="none"/>
          <w:lang w:eastAsia="zh-CN"/>
        </w:rPr>
        <w:t>肥西县公共资源交易有限责任公司</w:t>
      </w:r>
      <w:r>
        <w:rPr>
          <w:rFonts w:hint="eastAsia" w:ascii="宋体" w:hAnsi="宋体" w:eastAsia="宋体" w:cs="宋体"/>
          <w:color w:val="auto"/>
          <w:kern w:val="2"/>
          <w:highlight w:val="none"/>
        </w:rPr>
        <w:t>受</w:t>
      </w:r>
      <w:r>
        <w:rPr>
          <w:rFonts w:hint="eastAsia" w:ascii="宋体" w:hAnsi="宋体" w:eastAsia="宋体" w:cs="宋体"/>
          <w:color w:val="auto"/>
          <w:kern w:val="2"/>
          <w:highlight w:val="none"/>
          <w:lang w:eastAsia="zh-CN"/>
        </w:rPr>
        <w:t>肥西县教育体育局</w:t>
      </w:r>
      <w:r>
        <w:rPr>
          <w:rFonts w:hint="eastAsia" w:ascii="宋体" w:hAnsi="宋体" w:eastAsia="宋体" w:cs="宋体"/>
          <w:color w:val="auto"/>
          <w:kern w:val="2"/>
          <w:highlight w:val="none"/>
        </w:rPr>
        <w:t>委托，现对“</w:t>
      </w:r>
      <w:r>
        <w:rPr>
          <w:rFonts w:hint="eastAsia" w:ascii="宋体" w:hAnsi="宋体" w:eastAsia="宋体" w:cs="宋体"/>
          <w:color w:val="auto"/>
          <w:kern w:val="2"/>
          <w:highlight w:val="none"/>
          <w:lang w:eastAsia="zh-CN"/>
        </w:rPr>
        <w:t>紫云湖小学扩建项目第三方检测</w:t>
      </w:r>
      <w:r>
        <w:rPr>
          <w:rFonts w:hint="eastAsia" w:ascii="宋体" w:hAnsi="宋体" w:eastAsia="宋体" w:cs="宋体"/>
          <w:color w:val="auto"/>
          <w:kern w:val="2"/>
          <w:highlight w:val="none"/>
        </w:rPr>
        <w:t>”进行</w:t>
      </w:r>
      <w:r>
        <w:rPr>
          <w:rFonts w:hint="eastAsia" w:ascii="宋体" w:hAnsi="宋体" w:eastAsia="宋体" w:cs="宋体"/>
          <w:color w:val="auto"/>
          <w:kern w:val="2"/>
          <w:highlight w:val="none"/>
          <w:lang w:eastAsia="zh-CN"/>
        </w:rPr>
        <w:t>谈判</w:t>
      </w:r>
      <w:r>
        <w:rPr>
          <w:rFonts w:hint="eastAsia" w:ascii="宋体" w:hAnsi="宋体" w:eastAsia="宋体" w:cs="宋体"/>
          <w:color w:val="auto"/>
          <w:kern w:val="2"/>
          <w:highlight w:val="none"/>
        </w:rPr>
        <w:t>，欢迎具备条件的国内</w:t>
      </w:r>
      <w:r>
        <w:rPr>
          <w:rFonts w:hint="eastAsia" w:ascii="宋体" w:hAnsi="宋体" w:eastAsia="宋体" w:cs="宋体"/>
          <w:color w:val="auto"/>
          <w:kern w:val="2"/>
          <w:highlight w:val="none"/>
          <w:lang w:eastAsia="zh-CN"/>
        </w:rPr>
        <w:t>参审单位</w:t>
      </w:r>
      <w:r>
        <w:rPr>
          <w:rFonts w:hint="eastAsia" w:ascii="宋体" w:hAnsi="宋体" w:eastAsia="宋体" w:cs="宋体"/>
          <w:color w:val="auto"/>
          <w:kern w:val="2"/>
          <w:highlight w:val="none"/>
        </w:rPr>
        <w:t>参加</w:t>
      </w:r>
      <w:r>
        <w:rPr>
          <w:rFonts w:hint="eastAsia" w:ascii="宋体" w:hAnsi="宋体" w:eastAsia="宋体" w:cs="宋体"/>
          <w:color w:val="auto"/>
          <w:kern w:val="2"/>
          <w:highlight w:val="none"/>
          <w:lang w:eastAsia="zh-CN"/>
        </w:rPr>
        <w:t>谈判</w:t>
      </w:r>
      <w:r>
        <w:rPr>
          <w:rFonts w:hint="eastAsia" w:ascii="宋体" w:hAnsi="宋体" w:eastAsia="宋体" w:cs="宋体"/>
          <w:color w:val="auto"/>
          <w:kern w:val="2"/>
          <w:highlight w:val="none"/>
        </w:rPr>
        <w:t>。</w:t>
      </w:r>
    </w:p>
    <w:p w14:paraId="12945A87">
      <w:pPr>
        <w:autoSpaceDE w:val="0"/>
        <w:autoSpaceDN w:val="0"/>
        <w:adjustRightInd w:val="0"/>
        <w:spacing w:line="360" w:lineRule="auto"/>
        <w:ind w:firstLine="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一、项目名称及内容</w:t>
      </w:r>
    </w:p>
    <w:p w14:paraId="5F1AF1A1">
      <w:pPr>
        <w:autoSpaceDE w:val="0"/>
        <w:autoSpaceDN w:val="0"/>
        <w:adjustRightInd w:val="0"/>
        <w:spacing w:line="360" w:lineRule="auto"/>
        <w:ind w:firstLine="482"/>
        <w:jc w:val="left"/>
        <w:rPr>
          <w:rFonts w:hint="eastAsia" w:ascii="宋体" w:hAnsi="宋体" w:eastAsia="宋体" w:cs="宋体"/>
          <w:color w:val="0000FF"/>
          <w:sz w:val="24"/>
          <w:szCs w:val="18"/>
          <w:highlight w:val="none"/>
          <w:lang w:eastAsia="zh-CN"/>
        </w:rPr>
      </w:pPr>
      <w:r>
        <w:rPr>
          <w:rFonts w:hint="eastAsia" w:ascii="宋体" w:hAnsi="宋体" w:eastAsia="宋体" w:cs="宋体"/>
          <w:color w:val="auto"/>
          <w:sz w:val="24"/>
          <w:szCs w:val="18"/>
          <w:highlight w:val="none"/>
          <w:lang w:eastAsia="zh-CN"/>
        </w:rPr>
        <w:t>1.</w:t>
      </w:r>
      <w:bookmarkStart w:id="9" w:name="OLE_LINK7"/>
      <w:r>
        <w:rPr>
          <w:rFonts w:hint="eastAsia" w:ascii="宋体" w:hAnsi="宋体" w:eastAsia="宋体" w:cs="宋体"/>
          <w:color w:val="auto"/>
          <w:sz w:val="24"/>
          <w:szCs w:val="18"/>
          <w:highlight w:val="none"/>
          <w:lang w:eastAsia="zh-CN"/>
        </w:rPr>
        <w:t>项目编号：</w:t>
      </w:r>
      <w:bookmarkEnd w:id="9"/>
      <w:r>
        <w:rPr>
          <w:rFonts w:hint="eastAsia" w:ascii="宋体" w:hAnsi="宋体" w:cs="宋体"/>
          <w:color w:val="auto"/>
          <w:sz w:val="24"/>
          <w:szCs w:val="18"/>
          <w:highlight w:val="none"/>
          <w:lang w:val="en-US" w:eastAsia="zh-CN"/>
        </w:rPr>
        <w:t>2026PHBJ211</w:t>
      </w:r>
    </w:p>
    <w:p w14:paraId="3877C65A">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eastAsia="zh-CN"/>
        </w:rPr>
        <w:t>2.项目名称：</w:t>
      </w:r>
      <w:r>
        <w:rPr>
          <w:rFonts w:hint="eastAsia" w:ascii="宋体" w:hAnsi="宋体" w:cs="宋体"/>
          <w:color w:val="auto"/>
          <w:sz w:val="24"/>
          <w:szCs w:val="18"/>
          <w:highlight w:val="none"/>
          <w:lang w:eastAsia="zh-CN"/>
        </w:rPr>
        <w:t>紫云湖小学扩建项目第三方检测</w:t>
      </w:r>
    </w:p>
    <w:p w14:paraId="09D7427F">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eastAsia="zh-CN"/>
        </w:rPr>
        <w:t>3.项目地点：肥西县</w:t>
      </w:r>
    </w:p>
    <w:p w14:paraId="65960114">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eastAsia="zh-CN"/>
        </w:rPr>
        <w:t>4.项目单位：</w:t>
      </w:r>
      <w:r>
        <w:rPr>
          <w:rFonts w:hint="eastAsia" w:ascii="宋体" w:hAnsi="宋体" w:cs="宋体"/>
          <w:color w:val="auto"/>
          <w:sz w:val="24"/>
          <w:szCs w:val="18"/>
          <w:highlight w:val="none"/>
          <w:lang w:eastAsia="zh-CN"/>
        </w:rPr>
        <w:t>肥西县教育体育局</w:t>
      </w:r>
    </w:p>
    <w:p w14:paraId="3E3DB485">
      <w:pPr>
        <w:autoSpaceDE w:val="0"/>
        <w:autoSpaceDN w:val="0"/>
        <w:adjustRightInd w:val="0"/>
        <w:spacing w:line="360" w:lineRule="auto"/>
        <w:ind w:firstLine="4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eastAsia="zh-CN"/>
        </w:rPr>
        <w:t>5.项目概况：</w:t>
      </w:r>
      <w:bookmarkStart w:id="10" w:name="OLE_LINK5"/>
      <w:r>
        <w:rPr>
          <w:rFonts w:hint="eastAsia" w:ascii="宋体" w:hAnsi="宋体" w:cs="宋体"/>
          <w:color w:val="auto"/>
          <w:sz w:val="24"/>
          <w:szCs w:val="18"/>
          <w:highlight w:val="none"/>
          <w:lang w:val="en-US" w:eastAsia="zh-CN"/>
        </w:rPr>
        <w:t>本项目总用地面积为19934.38平方米(合约29.9亩)，总建筑面积为7370.23平方米，其中地上建筑面积7150.23平方米，地下建筑面积为220平方米。本次实施教学楼建设面积2414.38平方米，建设班级数为14班，为地上一层钢框架结构，另配套建设道路、给排水、景观绿化等基础设施。本次为工程第三方检测采购。详见谈判文件</w:t>
      </w:r>
      <w:bookmarkEnd w:id="10"/>
      <w:r>
        <w:rPr>
          <w:rFonts w:hint="eastAsia" w:ascii="宋体" w:hAnsi="宋体" w:cs="宋体"/>
          <w:color w:val="auto"/>
          <w:sz w:val="24"/>
          <w:szCs w:val="18"/>
          <w:highlight w:val="none"/>
          <w:lang w:val="en-US" w:eastAsia="zh-CN"/>
        </w:rPr>
        <w:t>。</w:t>
      </w:r>
    </w:p>
    <w:p w14:paraId="2B637ED6">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eastAsia="宋体" w:cs="宋体"/>
          <w:color w:val="auto"/>
          <w:sz w:val="24"/>
          <w:szCs w:val="18"/>
          <w:highlight w:val="none"/>
          <w:lang w:eastAsia="zh-CN"/>
        </w:rPr>
        <w:t>6.资金来源：</w:t>
      </w:r>
      <w:r>
        <w:rPr>
          <w:rFonts w:hint="eastAsia" w:ascii="宋体" w:hAnsi="宋体" w:cs="宋体"/>
          <w:color w:val="auto"/>
          <w:sz w:val="24"/>
          <w:szCs w:val="18"/>
          <w:highlight w:val="none"/>
          <w:lang w:val="en-US" w:eastAsia="zh-CN"/>
        </w:rPr>
        <w:t>财政资金</w:t>
      </w:r>
    </w:p>
    <w:p w14:paraId="17E7C7A5">
      <w:pPr>
        <w:autoSpaceDE w:val="0"/>
        <w:autoSpaceDN w:val="0"/>
        <w:adjustRightInd w:val="0"/>
        <w:spacing w:line="360" w:lineRule="auto"/>
        <w:ind w:firstLine="482"/>
        <w:jc w:val="left"/>
        <w:rPr>
          <w:rFonts w:hint="eastAsia" w:ascii="宋体" w:hAnsi="宋体" w:cs="宋体"/>
          <w:color w:val="auto"/>
          <w:sz w:val="24"/>
          <w:szCs w:val="18"/>
          <w:highlight w:val="none"/>
          <w:lang w:val="en-US" w:eastAsia="zh-CN"/>
        </w:rPr>
      </w:pPr>
      <w:r>
        <w:rPr>
          <w:rFonts w:hint="eastAsia" w:ascii="宋体" w:hAnsi="宋体" w:cs="宋体"/>
          <w:color w:val="auto"/>
          <w:sz w:val="24"/>
          <w:szCs w:val="18"/>
          <w:highlight w:val="none"/>
          <w:lang w:eastAsia="zh-CN"/>
        </w:rPr>
        <w:t>7.项目概算：</w:t>
      </w:r>
      <w:r>
        <w:rPr>
          <w:rFonts w:hint="eastAsia" w:ascii="宋体" w:hAnsi="宋体" w:cs="宋体"/>
          <w:color w:val="auto"/>
          <w:sz w:val="24"/>
          <w:szCs w:val="18"/>
          <w:highlight w:val="none"/>
          <w:lang w:val="en-US" w:eastAsia="zh-CN"/>
        </w:rPr>
        <w:t>11万元</w:t>
      </w:r>
    </w:p>
    <w:p w14:paraId="0F78A2A8">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cs="宋体"/>
          <w:color w:val="auto"/>
          <w:sz w:val="24"/>
          <w:szCs w:val="18"/>
          <w:highlight w:val="none"/>
          <w:lang w:val="en-US" w:eastAsia="zh-CN"/>
        </w:rPr>
        <w:t>8.</w:t>
      </w:r>
      <w:r>
        <w:rPr>
          <w:rFonts w:hint="eastAsia" w:ascii="宋体" w:hAnsi="宋体" w:cs="宋体"/>
          <w:color w:val="auto"/>
          <w:sz w:val="24"/>
          <w:szCs w:val="18"/>
          <w:highlight w:val="none"/>
          <w:lang w:eastAsia="zh-CN"/>
        </w:rPr>
        <w:t>服务期限：</w:t>
      </w:r>
      <w:r>
        <w:rPr>
          <w:rFonts w:hint="eastAsia" w:ascii="宋体" w:hAnsi="宋体" w:cs="宋体"/>
          <w:color w:val="auto"/>
          <w:sz w:val="24"/>
          <w:szCs w:val="18"/>
          <w:highlight w:val="none"/>
          <w:lang w:val="en-US" w:eastAsia="zh-CN"/>
        </w:rPr>
        <w:t>自合同签订之日起至竣工验收备案移交及质保期满为止，服务施工期计划均为90日历天（仅供投标时参考）</w:t>
      </w:r>
    </w:p>
    <w:p w14:paraId="372FBEE4">
      <w:pPr>
        <w:autoSpaceDE w:val="0"/>
        <w:autoSpaceDN w:val="0"/>
        <w:adjustRightInd w:val="0"/>
        <w:spacing w:line="360" w:lineRule="auto"/>
        <w:ind w:firstLine="482"/>
        <w:jc w:val="left"/>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9</w:t>
      </w:r>
      <w:r>
        <w:rPr>
          <w:rFonts w:hint="eastAsia" w:ascii="宋体" w:hAnsi="宋体" w:eastAsia="宋体" w:cs="宋体"/>
          <w:color w:val="auto"/>
          <w:sz w:val="24"/>
          <w:szCs w:val="18"/>
          <w:highlight w:val="none"/>
          <w:lang w:eastAsia="zh-CN"/>
        </w:rPr>
        <w:t>.项目类别：</w:t>
      </w:r>
      <w:r>
        <w:rPr>
          <w:rFonts w:hint="eastAsia" w:ascii="宋体" w:hAnsi="宋体" w:cs="宋体"/>
          <w:color w:val="auto"/>
          <w:sz w:val="24"/>
          <w:szCs w:val="18"/>
          <w:highlight w:val="none"/>
          <w:lang w:val="en-US" w:eastAsia="zh-CN"/>
        </w:rPr>
        <w:t>服务类</w:t>
      </w:r>
    </w:p>
    <w:p w14:paraId="12382301">
      <w:pPr>
        <w:autoSpaceDE w:val="0"/>
        <w:autoSpaceDN w:val="0"/>
        <w:adjustRightInd w:val="0"/>
        <w:spacing w:line="360" w:lineRule="auto"/>
        <w:ind w:firstLine="48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18"/>
          <w:highlight w:val="none"/>
          <w:lang w:val="en-US" w:eastAsia="zh-CN"/>
        </w:rPr>
        <w:t>10</w:t>
      </w:r>
      <w:r>
        <w:rPr>
          <w:rFonts w:hint="eastAsia" w:ascii="宋体" w:hAnsi="宋体" w:eastAsia="宋体" w:cs="宋体"/>
          <w:color w:val="auto"/>
          <w:sz w:val="24"/>
          <w:szCs w:val="18"/>
          <w:highlight w:val="none"/>
          <w:lang w:eastAsia="zh-CN"/>
        </w:rPr>
        <w:t>.标段（包别）划分：本项目共一个标段</w:t>
      </w:r>
    </w:p>
    <w:p w14:paraId="60CC4755">
      <w:pPr>
        <w:autoSpaceDE w:val="0"/>
        <w:autoSpaceDN w:val="0"/>
        <w:adjustRightInd w:val="0"/>
        <w:spacing w:line="360" w:lineRule="auto"/>
        <w:ind w:firstLine="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eastAsia="zh-CN"/>
        </w:rPr>
        <w:t>参审单位</w:t>
      </w:r>
      <w:r>
        <w:rPr>
          <w:rFonts w:hint="eastAsia" w:ascii="宋体" w:hAnsi="宋体" w:eastAsia="宋体" w:cs="宋体"/>
          <w:b/>
          <w:bCs/>
          <w:color w:val="auto"/>
          <w:sz w:val="24"/>
          <w:szCs w:val="24"/>
          <w:highlight w:val="none"/>
        </w:rPr>
        <w:t>资格</w:t>
      </w:r>
    </w:p>
    <w:p w14:paraId="20873153">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kern w:val="2"/>
          <w:sz w:val="24"/>
          <w:szCs w:val="18"/>
          <w:highlight w:val="none"/>
          <w:lang w:val="en-US" w:eastAsia="zh-CN" w:bidi="ar-SA"/>
        </w:rPr>
      </w:pPr>
      <w:bookmarkStart w:id="11" w:name="OLE_LINK2"/>
      <w:r>
        <w:rPr>
          <w:rFonts w:hint="eastAsia" w:ascii="宋体" w:hAnsi="宋体" w:eastAsia="宋体" w:cs="宋体"/>
          <w:color w:val="auto"/>
          <w:kern w:val="2"/>
          <w:sz w:val="24"/>
          <w:szCs w:val="18"/>
          <w:highlight w:val="none"/>
          <w:lang w:val="en-US" w:eastAsia="zh-CN" w:bidi="ar-SA"/>
        </w:rPr>
        <w:t>1</w:t>
      </w:r>
      <w:r>
        <w:rPr>
          <w:rFonts w:hint="eastAsia" w:ascii="宋体" w:hAnsi="宋体" w:cs="宋体"/>
          <w:color w:val="auto"/>
          <w:kern w:val="2"/>
          <w:sz w:val="24"/>
          <w:szCs w:val="18"/>
          <w:highlight w:val="none"/>
          <w:lang w:val="en-US" w:eastAsia="zh-CN" w:bidi="ar-SA"/>
        </w:rPr>
        <w:t>.</w:t>
      </w:r>
      <w:r>
        <w:rPr>
          <w:rFonts w:hint="eastAsia" w:ascii="宋体" w:hAnsi="宋体" w:eastAsia="宋体" w:cs="宋体"/>
          <w:color w:val="auto"/>
          <w:kern w:val="2"/>
          <w:sz w:val="24"/>
          <w:szCs w:val="18"/>
          <w:highlight w:val="none"/>
          <w:lang w:val="en-US" w:eastAsia="zh-CN" w:bidi="ar-SA"/>
        </w:rPr>
        <w:t>供应商资质要求同时具备下列（1）和（2）：</w:t>
      </w:r>
    </w:p>
    <w:p w14:paraId="5DC7D952">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18"/>
          <w:highlight w:val="none"/>
          <w:lang w:val="en-US" w:eastAsia="zh-CN" w:bidi="ar-SA"/>
        </w:rPr>
      </w:pPr>
      <w:r>
        <w:rPr>
          <w:rFonts w:hint="eastAsia" w:ascii="宋体" w:hAnsi="宋体" w:cs="宋体"/>
          <w:color w:val="auto"/>
          <w:kern w:val="2"/>
          <w:sz w:val="24"/>
          <w:szCs w:val="18"/>
          <w:highlight w:val="none"/>
          <w:lang w:val="en-US" w:eastAsia="zh-CN" w:bidi="ar-SA"/>
        </w:rPr>
        <w:t>（1）具有下列资质之一：</w:t>
      </w:r>
    </w:p>
    <w:p w14:paraId="5D054005">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18"/>
          <w:highlight w:val="none"/>
          <w:lang w:val="en-US" w:eastAsia="zh-CN" w:bidi="ar-SA"/>
        </w:rPr>
      </w:pPr>
      <w:r>
        <w:rPr>
          <w:rFonts w:hint="eastAsia" w:ascii="宋体" w:hAnsi="宋体" w:cs="宋体"/>
          <w:color w:val="auto"/>
          <w:kern w:val="2"/>
          <w:sz w:val="24"/>
          <w:szCs w:val="18"/>
          <w:highlight w:val="none"/>
          <w:lang w:val="en-US" w:eastAsia="zh-CN" w:bidi="ar-SA"/>
        </w:rPr>
        <w:t>①建设工程质量检测机构专项资质证书（专项资质须同时包括：建筑材料及构配件、主体结构及装饰装修、地基基础、钢结构）；</w:t>
      </w:r>
    </w:p>
    <w:p w14:paraId="2045F19D">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18"/>
          <w:highlight w:val="none"/>
          <w:lang w:val="en-US" w:eastAsia="zh-CN" w:bidi="ar-SA"/>
        </w:rPr>
      </w:pPr>
      <w:r>
        <w:rPr>
          <w:rFonts w:hint="eastAsia" w:ascii="宋体" w:hAnsi="宋体" w:cs="宋体"/>
          <w:color w:val="auto"/>
          <w:kern w:val="2"/>
          <w:sz w:val="24"/>
          <w:szCs w:val="18"/>
          <w:highlight w:val="none"/>
          <w:lang w:val="en-US" w:eastAsia="zh-CN" w:bidi="ar-SA"/>
        </w:rPr>
        <w:t>②建设工程质量检测机构综合资质证书；</w:t>
      </w:r>
    </w:p>
    <w:p w14:paraId="1B89E8F5">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18"/>
          <w:highlight w:val="none"/>
          <w:lang w:val="en-US" w:eastAsia="zh-CN" w:bidi="ar-SA"/>
        </w:rPr>
      </w:pPr>
      <w:r>
        <w:rPr>
          <w:rFonts w:hint="eastAsia" w:ascii="宋体" w:hAnsi="宋体" w:cs="宋体"/>
          <w:color w:val="auto"/>
          <w:kern w:val="2"/>
          <w:sz w:val="24"/>
          <w:szCs w:val="18"/>
          <w:highlight w:val="none"/>
          <w:lang w:val="en-US" w:eastAsia="zh-CN" w:bidi="ar-SA"/>
        </w:rPr>
        <w:t>（2）检验检测机构资质认定证书</w:t>
      </w:r>
    </w:p>
    <w:p w14:paraId="73E0039B">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18"/>
          <w:highlight w:val="none"/>
          <w:lang w:val="en-US" w:eastAsia="zh-CN" w:bidi="ar-SA"/>
        </w:rPr>
      </w:pPr>
      <w:r>
        <w:rPr>
          <w:rFonts w:hint="eastAsia" w:ascii="宋体" w:hAnsi="宋体" w:cs="宋体"/>
          <w:color w:val="auto"/>
          <w:kern w:val="2"/>
          <w:sz w:val="24"/>
          <w:szCs w:val="18"/>
          <w:highlight w:val="none"/>
          <w:lang w:val="en-US" w:eastAsia="zh-CN" w:bidi="ar-SA"/>
        </w:rPr>
        <w:t>2.</w:t>
      </w:r>
      <w:r>
        <w:rPr>
          <w:rFonts w:hint="eastAsia" w:ascii="宋体" w:hAnsi="宋体" w:eastAsia="宋体" w:cs="宋体"/>
          <w:color w:val="auto"/>
          <w:kern w:val="2"/>
          <w:sz w:val="24"/>
          <w:szCs w:val="18"/>
          <w:highlight w:val="none"/>
          <w:lang w:val="en-US" w:eastAsia="zh-CN" w:bidi="ar-SA"/>
        </w:rPr>
        <w:t>项目负责人资格要求：</w:t>
      </w:r>
      <w:r>
        <w:rPr>
          <w:rFonts w:hint="eastAsia" w:ascii="宋体" w:hAnsi="宋体" w:cs="宋体"/>
          <w:color w:val="auto"/>
          <w:kern w:val="2"/>
          <w:sz w:val="24"/>
          <w:szCs w:val="18"/>
          <w:highlight w:val="none"/>
          <w:lang w:val="en-US" w:eastAsia="zh-CN" w:bidi="ar-SA"/>
        </w:rPr>
        <w:t>无。</w:t>
      </w:r>
    </w:p>
    <w:p w14:paraId="5A5EE787">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3.供应商</w:t>
      </w:r>
      <w:r>
        <w:rPr>
          <w:rFonts w:hint="eastAsia" w:asciiTheme="majorEastAsia" w:hAnsiTheme="majorEastAsia" w:eastAsiaTheme="majorEastAsia" w:cstheme="majorEastAsia"/>
          <w:color w:val="auto"/>
          <w:sz w:val="24"/>
          <w:szCs w:val="24"/>
          <w:highlight w:val="none"/>
        </w:rPr>
        <w:t>存在以下不良信用记录情形之一的，不得推荐为成交候选人，不得确定为成交单位：</w:t>
      </w:r>
    </w:p>
    <w:p w14:paraId="004F2ADA">
      <w:pPr>
        <w:pStyle w:val="8"/>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
          <w:sz w:val="24"/>
          <w:szCs w:val="18"/>
          <w:highlight w:val="none"/>
          <w:lang w:val="en-US" w:eastAsia="zh-CN" w:bidi="ar-SA"/>
        </w:rPr>
      </w:pPr>
      <w:r>
        <w:rPr>
          <w:rFonts w:hint="eastAsia" w:asciiTheme="majorEastAsia" w:hAnsiTheme="majorEastAsia" w:eastAsiaTheme="majorEastAsia" w:cstheme="majorEastAsia"/>
          <w:color w:val="auto"/>
          <w:sz w:val="24"/>
          <w:szCs w:val="24"/>
          <w:highlight w:val="none"/>
        </w:rPr>
        <w:t>（1）在“信用中国”网站（http://www.creditchina.gov.cn/）中被列入失信被执行</w:t>
      </w:r>
      <w:r>
        <w:rPr>
          <w:rFonts w:hint="eastAsia" w:ascii="宋体" w:hAnsi="宋体" w:eastAsia="宋体" w:cs="宋体"/>
          <w:color w:val="auto"/>
          <w:kern w:val="2"/>
          <w:sz w:val="24"/>
          <w:szCs w:val="18"/>
          <w:highlight w:val="none"/>
          <w:lang w:val="en-US" w:eastAsia="zh-CN" w:bidi="ar-SA"/>
        </w:rPr>
        <w:t>人名单；</w:t>
      </w:r>
    </w:p>
    <w:p w14:paraId="0F5928A4">
      <w:pPr>
        <w:pStyle w:val="8"/>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（2）在“信用中国”网站（http://www.creditchina.gov.cn/）中被列入重大税收违法案件当事人名单的。</w:t>
      </w:r>
    </w:p>
    <w:p w14:paraId="3D6A38FB">
      <w:pPr>
        <w:pStyle w:val="8"/>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default"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4、本项目不接受联合体谈判。</w:t>
      </w:r>
    </w:p>
    <w:bookmarkEnd w:id="11"/>
    <w:p w14:paraId="47DD62CE">
      <w:pPr>
        <w:autoSpaceDE w:val="0"/>
        <w:autoSpaceDN w:val="0"/>
        <w:adjustRightInd w:val="0"/>
        <w:spacing w:line="360" w:lineRule="auto"/>
        <w:ind w:firstLine="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文件的获取</w:t>
      </w:r>
    </w:p>
    <w:p w14:paraId="0BA7D1D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时间：</w:t>
      </w:r>
      <w:r>
        <w:rPr>
          <w:rFonts w:hint="eastAsia" w:ascii="宋体" w:hAnsi="宋体" w:eastAsia="宋体" w:cs="宋体"/>
          <w:color w:val="auto"/>
          <w:sz w:val="24"/>
          <w:szCs w:val="18"/>
          <w:highlight w:val="none"/>
          <w:lang w:eastAsia="zh-CN"/>
        </w:rPr>
        <w:t>202</w:t>
      </w:r>
      <w:r>
        <w:rPr>
          <w:rFonts w:hint="eastAsia" w:ascii="宋体" w:hAnsi="宋体" w:cs="宋体"/>
          <w:color w:val="auto"/>
          <w:sz w:val="24"/>
          <w:szCs w:val="18"/>
          <w:highlight w:val="none"/>
          <w:lang w:val="en-US" w:eastAsia="zh-CN"/>
        </w:rPr>
        <w:t>6</w:t>
      </w:r>
      <w:r>
        <w:rPr>
          <w:rFonts w:hint="eastAsia" w:ascii="宋体" w:hAnsi="宋体" w:eastAsia="宋体" w:cs="宋体"/>
          <w:color w:val="auto"/>
          <w:sz w:val="24"/>
          <w:szCs w:val="18"/>
          <w:highlight w:val="none"/>
          <w:lang w:eastAsia="zh-CN"/>
        </w:rPr>
        <w:t>年</w:t>
      </w:r>
      <w:r>
        <w:rPr>
          <w:rFonts w:hint="eastAsia" w:ascii="宋体" w:hAnsi="宋体" w:cs="宋体"/>
          <w:color w:val="auto"/>
          <w:sz w:val="24"/>
          <w:szCs w:val="18"/>
          <w:highlight w:val="none"/>
          <w:lang w:val="en-US" w:eastAsia="zh-CN"/>
        </w:rPr>
        <w:t>4</w:t>
      </w:r>
      <w:r>
        <w:rPr>
          <w:rFonts w:hint="eastAsia" w:ascii="宋体" w:hAnsi="宋体" w:eastAsia="宋体" w:cs="宋体"/>
          <w:color w:val="auto"/>
          <w:sz w:val="24"/>
          <w:szCs w:val="18"/>
          <w:highlight w:val="none"/>
        </w:rPr>
        <w:t>月</w:t>
      </w:r>
      <w:r>
        <w:rPr>
          <w:rFonts w:hint="eastAsia" w:ascii="宋体" w:hAnsi="宋体" w:cs="宋体"/>
          <w:color w:val="auto"/>
          <w:sz w:val="24"/>
          <w:szCs w:val="18"/>
          <w:highlight w:val="none"/>
          <w:lang w:val="en-US" w:eastAsia="zh-CN"/>
        </w:rPr>
        <w:t>30</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至</w:t>
      </w:r>
      <w:r>
        <w:rPr>
          <w:rFonts w:hint="eastAsia" w:ascii="宋体" w:hAnsi="宋体" w:cs="宋体"/>
          <w:color w:val="auto"/>
          <w:sz w:val="24"/>
          <w:szCs w:val="18"/>
          <w:highlight w:val="none"/>
          <w:lang w:val="en-US" w:eastAsia="zh-CN"/>
        </w:rPr>
        <w:t>谈判</w:t>
      </w:r>
      <w:r>
        <w:rPr>
          <w:rFonts w:hint="eastAsia" w:ascii="宋体" w:hAnsi="宋体" w:eastAsia="宋体" w:cs="宋体"/>
          <w:color w:val="auto"/>
          <w:sz w:val="24"/>
          <w:szCs w:val="18"/>
          <w:highlight w:val="none"/>
          <w:lang w:val="en-US" w:eastAsia="zh-CN"/>
        </w:rPr>
        <w:t>时间</w:t>
      </w:r>
      <w:r>
        <w:rPr>
          <w:rFonts w:hint="eastAsia" w:ascii="宋体" w:hAnsi="宋体" w:eastAsia="宋体" w:cs="宋体"/>
          <w:color w:val="auto"/>
          <w:sz w:val="24"/>
          <w:szCs w:val="18"/>
          <w:highlight w:val="none"/>
        </w:rPr>
        <w:t>。</w:t>
      </w:r>
    </w:p>
    <w:p w14:paraId="3AB0406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地点：“优质采云采购平台”（http://www.youzhicai.com/）</w:t>
      </w:r>
    </w:p>
    <w:p w14:paraId="62E1A413">
      <w:pPr>
        <w:autoSpaceDE w:val="0"/>
        <w:autoSpaceDN w:val="0"/>
        <w:adjustRightInd w:val="0"/>
        <w:spacing w:line="360" w:lineRule="auto"/>
        <w:ind w:firstLine="436" w:firstLineChars="182"/>
        <w:jc w:val="left"/>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18"/>
          <w:highlight w:val="none"/>
        </w:rPr>
        <w:t>方式：在线下载</w:t>
      </w:r>
      <w:r>
        <w:rPr>
          <w:rFonts w:hint="eastAsia" w:ascii="宋体" w:hAnsi="宋体" w:cs="宋体"/>
          <w:color w:val="auto"/>
          <w:sz w:val="24"/>
          <w:szCs w:val="18"/>
          <w:highlight w:val="none"/>
          <w:lang w:eastAsia="zh-CN"/>
        </w:rPr>
        <w:t>。</w:t>
      </w:r>
    </w:p>
    <w:p w14:paraId="5926DD05">
      <w:pPr>
        <w:tabs>
          <w:tab w:val="left" w:pos="5960"/>
        </w:tabs>
        <w:autoSpaceDE w:val="0"/>
        <w:autoSpaceDN w:val="0"/>
        <w:adjustRightInd w:val="0"/>
        <w:spacing w:line="360" w:lineRule="auto"/>
        <w:ind w:firstLine="241" w:firstLineChars="100"/>
        <w:jc w:val="left"/>
        <w:rPr>
          <w:rFonts w:hint="eastAsia" w:ascii="宋体" w:hAnsi="宋体" w:eastAsia="宋体" w:cs="宋体"/>
          <w:b/>
          <w:bCs/>
          <w:color w:val="auto"/>
          <w:sz w:val="24"/>
          <w:szCs w:val="18"/>
          <w:highlight w:val="none"/>
          <w:lang w:eastAsia="zh-CN"/>
        </w:rPr>
      </w:pPr>
      <w:r>
        <w:rPr>
          <w:rFonts w:hint="eastAsia" w:ascii="宋体" w:hAnsi="宋体" w:eastAsia="宋体" w:cs="宋体"/>
          <w:b/>
          <w:bCs/>
          <w:color w:val="auto"/>
          <w:sz w:val="24"/>
          <w:szCs w:val="18"/>
          <w:highlight w:val="none"/>
        </w:rPr>
        <w:t>四、</w:t>
      </w:r>
      <w:r>
        <w:rPr>
          <w:rFonts w:hint="eastAsia" w:ascii="宋体" w:hAnsi="宋体" w:eastAsia="宋体" w:cs="宋体"/>
          <w:b/>
          <w:bCs/>
          <w:color w:val="auto"/>
          <w:sz w:val="24"/>
          <w:szCs w:val="18"/>
          <w:highlight w:val="none"/>
          <w:lang w:eastAsia="zh-CN"/>
        </w:rPr>
        <w:t>谈判</w:t>
      </w:r>
      <w:r>
        <w:rPr>
          <w:rFonts w:hint="eastAsia" w:ascii="宋体" w:hAnsi="宋体" w:eastAsia="宋体" w:cs="宋体"/>
          <w:b/>
          <w:bCs/>
          <w:color w:val="auto"/>
          <w:sz w:val="24"/>
          <w:szCs w:val="18"/>
          <w:highlight w:val="none"/>
        </w:rPr>
        <w:t>时间及地点</w:t>
      </w:r>
    </w:p>
    <w:p w14:paraId="4C9E7998">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eastAsia="zh-CN"/>
        </w:rPr>
        <w:t>1.谈判时间：</w:t>
      </w:r>
      <w:bookmarkStart w:id="12" w:name="OLE_LINK9"/>
      <w:r>
        <w:rPr>
          <w:rFonts w:hint="eastAsia" w:ascii="宋体" w:hAnsi="宋体" w:eastAsia="宋体" w:cs="宋体"/>
          <w:color w:val="auto"/>
          <w:sz w:val="24"/>
          <w:szCs w:val="18"/>
          <w:highlight w:val="none"/>
          <w:lang w:val="en-US" w:eastAsia="zh-CN"/>
        </w:rPr>
        <w:t>202</w:t>
      </w:r>
      <w:r>
        <w:rPr>
          <w:rFonts w:hint="eastAsia" w:ascii="宋体" w:hAnsi="宋体" w:cs="宋体"/>
          <w:color w:val="auto"/>
          <w:sz w:val="24"/>
          <w:szCs w:val="18"/>
          <w:highlight w:val="none"/>
          <w:lang w:val="en-US" w:eastAsia="zh-CN"/>
        </w:rPr>
        <w:t>6</w:t>
      </w:r>
      <w:r>
        <w:rPr>
          <w:rFonts w:hint="eastAsia" w:ascii="宋体" w:hAnsi="宋体" w:eastAsia="宋体" w:cs="宋体"/>
          <w:color w:val="auto"/>
          <w:sz w:val="24"/>
          <w:szCs w:val="18"/>
          <w:highlight w:val="none"/>
          <w:lang w:val="en-US" w:eastAsia="zh-CN"/>
        </w:rPr>
        <w:t>年</w:t>
      </w:r>
      <w:r>
        <w:rPr>
          <w:rFonts w:hint="eastAsia" w:ascii="宋体" w:hAnsi="宋体" w:cs="宋体"/>
          <w:color w:val="auto"/>
          <w:sz w:val="24"/>
          <w:szCs w:val="18"/>
          <w:highlight w:val="none"/>
          <w:lang w:val="en-US" w:eastAsia="zh-CN"/>
        </w:rPr>
        <w:t>5</w:t>
      </w:r>
      <w:r>
        <w:rPr>
          <w:rFonts w:hint="eastAsia" w:ascii="宋体" w:hAnsi="宋体" w:eastAsia="宋体" w:cs="宋体"/>
          <w:color w:val="auto"/>
          <w:sz w:val="24"/>
          <w:szCs w:val="18"/>
          <w:highlight w:val="none"/>
          <w:lang w:eastAsia="zh-CN"/>
        </w:rPr>
        <w:t>月</w:t>
      </w:r>
      <w:r>
        <w:rPr>
          <w:rFonts w:hint="eastAsia" w:ascii="宋体" w:hAnsi="宋体" w:cs="宋体"/>
          <w:color w:val="auto"/>
          <w:sz w:val="24"/>
          <w:szCs w:val="18"/>
          <w:highlight w:val="none"/>
          <w:lang w:val="en-US" w:eastAsia="zh-CN"/>
        </w:rPr>
        <w:t>9</w:t>
      </w:r>
      <w:r>
        <w:rPr>
          <w:rFonts w:hint="eastAsia" w:ascii="宋体" w:hAnsi="宋体" w:eastAsia="宋体" w:cs="宋体"/>
          <w:color w:val="auto"/>
          <w:sz w:val="24"/>
          <w:szCs w:val="18"/>
          <w:highlight w:val="none"/>
          <w:lang w:eastAsia="zh-CN"/>
        </w:rPr>
        <w:t>日</w:t>
      </w:r>
      <w:bookmarkEnd w:id="12"/>
      <w:r>
        <w:rPr>
          <w:rFonts w:hint="eastAsia" w:ascii="宋体" w:hAnsi="宋体" w:cs="宋体"/>
          <w:color w:val="auto"/>
          <w:sz w:val="24"/>
          <w:szCs w:val="18"/>
          <w:highlight w:val="none"/>
          <w:lang w:val="en-US" w:eastAsia="zh-CN"/>
        </w:rPr>
        <w:t>9</w:t>
      </w:r>
      <w:r>
        <w:rPr>
          <w:rFonts w:hint="eastAsia" w:ascii="宋体" w:hAnsi="宋体" w:eastAsia="宋体" w:cs="宋体"/>
          <w:color w:val="auto"/>
          <w:sz w:val="24"/>
          <w:szCs w:val="18"/>
          <w:highlight w:val="none"/>
          <w:lang w:eastAsia="zh-CN"/>
        </w:rPr>
        <w:t>时</w:t>
      </w:r>
      <w:r>
        <w:rPr>
          <w:rFonts w:hint="eastAsia" w:ascii="宋体" w:hAnsi="宋体" w:eastAsia="宋体" w:cs="宋体"/>
          <w:color w:val="auto"/>
          <w:sz w:val="24"/>
          <w:szCs w:val="18"/>
          <w:highlight w:val="none"/>
          <w:lang w:val="en-US" w:eastAsia="zh-CN"/>
        </w:rPr>
        <w:t>00</w:t>
      </w:r>
      <w:r>
        <w:rPr>
          <w:rFonts w:hint="eastAsia" w:ascii="宋体" w:hAnsi="宋体" w:eastAsia="宋体" w:cs="宋体"/>
          <w:color w:val="auto"/>
          <w:sz w:val="24"/>
          <w:szCs w:val="18"/>
          <w:highlight w:val="none"/>
          <w:lang w:eastAsia="zh-CN"/>
        </w:rPr>
        <w:t>分</w:t>
      </w:r>
    </w:p>
    <w:p w14:paraId="6234876A">
      <w:pPr>
        <w:autoSpaceDE w:val="0"/>
        <w:autoSpaceDN w:val="0"/>
        <w:adjustRightInd w:val="0"/>
        <w:spacing w:line="360" w:lineRule="auto"/>
        <w:ind w:firstLine="482"/>
        <w:jc w:val="left"/>
        <w:rPr>
          <w:rFonts w:hint="eastAsia" w:ascii="宋体" w:hAnsi="宋体" w:eastAsia="宋体" w:cs="宋体"/>
          <w:bCs/>
          <w:color w:val="auto"/>
          <w:sz w:val="24"/>
          <w:szCs w:val="18"/>
          <w:highlight w:val="none"/>
          <w:lang w:val="en-US" w:eastAsia="zh-CN"/>
        </w:rPr>
      </w:pPr>
      <w:r>
        <w:rPr>
          <w:rFonts w:hint="eastAsia" w:ascii="宋体" w:hAnsi="宋体" w:eastAsia="宋体" w:cs="宋体"/>
          <w:color w:val="auto"/>
          <w:sz w:val="24"/>
          <w:szCs w:val="18"/>
          <w:highlight w:val="none"/>
          <w:lang w:val="en-US" w:eastAsia="zh-CN"/>
        </w:rPr>
        <w:t>2.谈判地点：优质采云采购平台（http://www.youzhicai.com/）</w:t>
      </w:r>
    </w:p>
    <w:p w14:paraId="3F83431F">
      <w:pPr>
        <w:autoSpaceDE w:val="0"/>
        <w:autoSpaceDN w:val="0"/>
        <w:adjustRightInd w:val="0"/>
        <w:spacing w:line="360" w:lineRule="auto"/>
        <w:ind w:firstLine="200"/>
        <w:jc w:val="left"/>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五、响应文件提交截止时间</w:t>
      </w:r>
    </w:p>
    <w:p w14:paraId="05753B21">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18"/>
          <w:highlight w:val="none"/>
        </w:rPr>
        <w:t>同</w:t>
      </w:r>
      <w:r>
        <w:rPr>
          <w:rFonts w:hint="eastAsia" w:ascii="宋体" w:hAnsi="宋体" w:eastAsia="宋体" w:cs="宋体"/>
          <w:color w:val="auto"/>
          <w:sz w:val="24"/>
          <w:szCs w:val="18"/>
          <w:highlight w:val="none"/>
          <w:lang w:eastAsia="zh-CN"/>
        </w:rPr>
        <w:t>谈判</w:t>
      </w:r>
      <w:r>
        <w:rPr>
          <w:rFonts w:hint="eastAsia" w:ascii="宋体" w:hAnsi="宋体" w:eastAsia="宋体" w:cs="宋体"/>
          <w:color w:val="auto"/>
          <w:sz w:val="24"/>
          <w:szCs w:val="18"/>
          <w:highlight w:val="none"/>
        </w:rPr>
        <w:t>时间</w:t>
      </w:r>
    </w:p>
    <w:p w14:paraId="07833FB9">
      <w:pPr>
        <w:autoSpaceDE w:val="0"/>
        <w:autoSpaceDN w:val="0"/>
        <w:adjustRightInd w:val="0"/>
        <w:spacing w:line="360" w:lineRule="auto"/>
        <w:ind w:firstLine="200"/>
        <w:jc w:val="left"/>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六、联系方法</w:t>
      </w:r>
    </w:p>
    <w:p w14:paraId="630CD3D1">
      <w:pPr>
        <w:autoSpaceDE w:val="0"/>
        <w:autoSpaceDN w:val="0"/>
        <w:adjustRightInd w:val="0"/>
        <w:spacing w:line="360" w:lineRule="auto"/>
        <w:ind w:firstLine="482"/>
        <w:jc w:val="left"/>
        <w:rPr>
          <w:rFonts w:hint="eastAsia" w:ascii="宋体" w:hAnsi="宋体" w:cs="宋体"/>
          <w:color w:val="auto"/>
          <w:sz w:val="24"/>
          <w:szCs w:val="18"/>
          <w:highlight w:val="none"/>
          <w:lang w:eastAsia="zh-CN"/>
        </w:rPr>
      </w:pPr>
      <w:r>
        <w:rPr>
          <w:rFonts w:hint="eastAsia" w:ascii="宋体" w:hAnsi="宋体" w:cs="宋体"/>
          <w:color w:val="auto"/>
          <w:sz w:val="24"/>
          <w:szCs w:val="18"/>
          <w:highlight w:val="none"/>
          <w:lang w:eastAsia="zh-CN"/>
        </w:rPr>
        <w:t>（一）委托单位：肥西县教育体育局</w:t>
      </w:r>
    </w:p>
    <w:p w14:paraId="31483BBA">
      <w:pPr>
        <w:autoSpaceDE w:val="0"/>
        <w:autoSpaceDN w:val="0"/>
        <w:adjustRightInd w:val="0"/>
        <w:spacing w:line="360" w:lineRule="auto"/>
        <w:ind w:firstLine="482"/>
        <w:jc w:val="left"/>
        <w:rPr>
          <w:rFonts w:hint="eastAsia" w:ascii="宋体" w:hAnsi="宋体" w:cs="宋体"/>
          <w:color w:val="auto"/>
          <w:sz w:val="24"/>
          <w:szCs w:val="18"/>
          <w:highlight w:val="none"/>
          <w:lang w:eastAsia="zh-CN"/>
        </w:rPr>
      </w:pPr>
      <w:r>
        <w:rPr>
          <w:rFonts w:hint="eastAsia" w:ascii="宋体" w:hAnsi="宋体" w:cs="宋体"/>
          <w:color w:val="auto"/>
          <w:sz w:val="24"/>
          <w:szCs w:val="18"/>
          <w:highlight w:val="none"/>
          <w:lang w:eastAsia="zh-CN"/>
        </w:rPr>
        <w:t>地址：合肥市肥西县上派镇肥光办公区四号楼</w:t>
      </w:r>
    </w:p>
    <w:p w14:paraId="3CBA5DA7">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cs="宋体"/>
          <w:color w:val="auto"/>
          <w:sz w:val="24"/>
          <w:szCs w:val="18"/>
          <w:highlight w:val="none"/>
          <w:lang w:eastAsia="zh-CN"/>
        </w:rPr>
        <w:t>联系人：</w:t>
      </w:r>
      <w:r>
        <w:rPr>
          <w:rFonts w:hint="eastAsia" w:ascii="宋体" w:hAnsi="宋体" w:cs="宋体"/>
          <w:color w:val="auto"/>
          <w:sz w:val="24"/>
          <w:szCs w:val="18"/>
          <w:highlight w:val="none"/>
          <w:lang w:val="en-US" w:eastAsia="zh-CN"/>
        </w:rPr>
        <w:t>蒋工</w:t>
      </w:r>
    </w:p>
    <w:p w14:paraId="2D99E026">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cs="宋体"/>
          <w:color w:val="auto"/>
          <w:sz w:val="24"/>
          <w:szCs w:val="18"/>
          <w:highlight w:val="none"/>
          <w:lang w:eastAsia="zh-CN"/>
        </w:rPr>
        <w:t>电话：</w:t>
      </w:r>
      <w:bookmarkStart w:id="13" w:name="OLE_LINK8"/>
      <w:r>
        <w:rPr>
          <w:rFonts w:hint="eastAsia" w:ascii="宋体" w:hAnsi="宋体" w:cs="宋体"/>
          <w:color w:val="auto"/>
          <w:sz w:val="24"/>
          <w:szCs w:val="18"/>
          <w:highlight w:val="none"/>
          <w:lang w:eastAsia="zh-CN"/>
        </w:rPr>
        <w:t>0551-</w:t>
      </w:r>
      <w:r>
        <w:rPr>
          <w:rFonts w:hint="eastAsia" w:ascii="宋体" w:hAnsi="宋体" w:cs="宋体"/>
          <w:color w:val="auto"/>
          <w:sz w:val="24"/>
          <w:szCs w:val="18"/>
          <w:highlight w:val="none"/>
          <w:lang w:val="en-US" w:eastAsia="zh-CN"/>
        </w:rPr>
        <w:t>68897975</w:t>
      </w:r>
      <w:bookmarkEnd w:id="13"/>
    </w:p>
    <w:p w14:paraId="5FE7C326">
      <w:pPr>
        <w:autoSpaceDE w:val="0"/>
        <w:autoSpaceDN w:val="0"/>
        <w:adjustRightInd w:val="0"/>
        <w:spacing w:line="360" w:lineRule="auto"/>
        <w:ind w:firstLine="482"/>
        <w:jc w:val="left"/>
        <w:rPr>
          <w:rFonts w:hint="eastAsia" w:ascii="宋体" w:hAnsi="宋体" w:cs="宋体"/>
          <w:color w:val="auto"/>
          <w:sz w:val="24"/>
          <w:szCs w:val="18"/>
          <w:highlight w:val="none"/>
          <w:lang w:eastAsia="zh-CN"/>
        </w:rPr>
      </w:pPr>
      <w:r>
        <w:rPr>
          <w:rFonts w:hint="eastAsia" w:ascii="宋体" w:hAnsi="宋体" w:cs="宋体"/>
          <w:color w:val="auto"/>
          <w:sz w:val="24"/>
          <w:szCs w:val="18"/>
          <w:highlight w:val="none"/>
          <w:lang w:eastAsia="zh-CN"/>
        </w:rPr>
        <w:t>（二）代理机构：肥西县公共资源交易有限责任公司</w:t>
      </w:r>
    </w:p>
    <w:p w14:paraId="13488E41">
      <w:pPr>
        <w:autoSpaceDE w:val="0"/>
        <w:autoSpaceDN w:val="0"/>
        <w:adjustRightInd w:val="0"/>
        <w:spacing w:line="360" w:lineRule="auto"/>
        <w:ind w:firstLine="482"/>
        <w:jc w:val="left"/>
        <w:rPr>
          <w:rFonts w:hint="eastAsia" w:ascii="宋体" w:hAnsi="宋体" w:cs="宋体"/>
          <w:color w:val="auto"/>
          <w:sz w:val="24"/>
          <w:szCs w:val="18"/>
          <w:highlight w:val="none"/>
          <w:lang w:eastAsia="zh-CN"/>
        </w:rPr>
      </w:pPr>
      <w:r>
        <w:rPr>
          <w:rFonts w:hint="eastAsia" w:ascii="宋体" w:hAnsi="宋体" w:cs="宋体"/>
          <w:color w:val="auto"/>
          <w:sz w:val="24"/>
          <w:szCs w:val="18"/>
          <w:highlight w:val="none"/>
          <w:lang w:eastAsia="zh-CN"/>
        </w:rPr>
        <w:t>地址：肥西县上派镇紫石路与佛光路交叉口肥光办公区3号楼2楼</w:t>
      </w:r>
    </w:p>
    <w:p w14:paraId="2E26E03E">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cs="宋体"/>
          <w:color w:val="auto"/>
          <w:sz w:val="24"/>
          <w:szCs w:val="18"/>
          <w:highlight w:val="none"/>
          <w:lang w:eastAsia="zh-CN"/>
        </w:rPr>
        <w:t>联系人：</w:t>
      </w:r>
      <w:r>
        <w:rPr>
          <w:rFonts w:hint="eastAsia" w:ascii="宋体" w:hAnsi="宋体" w:cs="宋体"/>
          <w:color w:val="auto"/>
          <w:sz w:val="24"/>
          <w:szCs w:val="18"/>
          <w:highlight w:val="none"/>
          <w:lang w:val="en-US" w:eastAsia="zh-CN"/>
        </w:rPr>
        <w:t>谭工</w:t>
      </w:r>
    </w:p>
    <w:p w14:paraId="27AA5FBD">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cs="宋体"/>
          <w:color w:val="auto"/>
          <w:sz w:val="24"/>
          <w:szCs w:val="18"/>
          <w:highlight w:val="none"/>
          <w:lang w:eastAsia="zh-CN"/>
        </w:rPr>
        <w:t>电话：0551-68825</w:t>
      </w:r>
      <w:r>
        <w:rPr>
          <w:rFonts w:hint="eastAsia" w:ascii="宋体" w:hAnsi="宋体" w:cs="宋体"/>
          <w:color w:val="auto"/>
          <w:sz w:val="24"/>
          <w:szCs w:val="18"/>
          <w:highlight w:val="none"/>
          <w:lang w:val="en-US" w:eastAsia="zh-CN"/>
        </w:rPr>
        <w:t>007</w:t>
      </w:r>
    </w:p>
    <w:p w14:paraId="4802AD89">
      <w:pPr>
        <w:autoSpaceDE w:val="0"/>
        <w:autoSpaceDN w:val="0"/>
        <w:adjustRightInd w:val="0"/>
        <w:spacing w:line="360" w:lineRule="auto"/>
        <w:ind w:firstLine="482"/>
        <w:jc w:val="left"/>
        <w:rPr>
          <w:rFonts w:hint="eastAsia" w:ascii="宋体" w:hAnsi="宋体" w:cs="宋体"/>
          <w:color w:val="auto"/>
          <w:sz w:val="24"/>
          <w:szCs w:val="18"/>
          <w:highlight w:val="none"/>
          <w:lang w:eastAsia="zh-CN"/>
        </w:rPr>
      </w:pPr>
      <w:r>
        <w:rPr>
          <w:rFonts w:hint="eastAsia" w:ascii="宋体" w:hAnsi="宋体" w:cs="宋体"/>
          <w:color w:val="auto"/>
          <w:sz w:val="24"/>
          <w:szCs w:val="18"/>
          <w:highlight w:val="none"/>
          <w:lang w:eastAsia="zh-CN"/>
        </w:rPr>
        <w:t>监督管理部门：肥西县教育体育局</w:t>
      </w:r>
    </w:p>
    <w:p w14:paraId="255DC4B6">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cs="宋体"/>
          <w:color w:val="auto"/>
          <w:sz w:val="24"/>
          <w:szCs w:val="18"/>
          <w:highlight w:val="none"/>
          <w:lang w:eastAsia="zh-CN"/>
        </w:rPr>
        <w:t>地  址：合肥市肥西县上派镇肥光办公区四号楼</w:t>
      </w:r>
    </w:p>
    <w:p w14:paraId="503BA431">
      <w:pPr>
        <w:autoSpaceDE w:val="0"/>
        <w:autoSpaceDN w:val="0"/>
        <w:adjustRightInd w:val="0"/>
        <w:spacing w:line="360" w:lineRule="auto"/>
        <w:ind w:firstLine="482"/>
        <w:jc w:val="left"/>
        <w:rPr>
          <w:rFonts w:hint="default" w:ascii="宋体" w:hAnsi="宋体" w:cs="宋体"/>
          <w:color w:val="auto"/>
          <w:sz w:val="24"/>
          <w:szCs w:val="18"/>
          <w:highlight w:val="none"/>
          <w:lang w:val="en-US" w:eastAsia="zh-CN"/>
        </w:rPr>
      </w:pPr>
      <w:r>
        <w:rPr>
          <w:rFonts w:hint="eastAsia" w:ascii="宋体" w:hAnsi="宋体" w:cs="宋体"/>
          <w:color w:val="auto"/>
          <w:sz w:val="24"/>
          <w:szCs w:val="18"/>
          <w:highlight w:val="none"/>
          <w:lang w:eastAsia="zh-CN"/>
        </w:rPr>
        <w:t>电  话：0551-68850434</w:t>
      </w:r>
    </w:p>
    <w:p w14:paraId="5B504DB7">
      <w:pPr>
        <w:autoSpaceDE w:val="0"/>
        <w:autoSpaceDN w:val="0"/>
        <w:adjustRightInd w:val="0"/>
        <w:spacing w:line="360" w:lineRule="auto"/>
        <w:ind w:firstLine="482"/>
        <w:jc w:val="left"/>
        <w:rPr>
          <w:rFonts w:hint="eastAsia" w:ascii="宋体" w:hAnsi="宋体" w:eastAsia="宋体" w:cs="宋体"/>
          <w:b/>
          <w:bCs w:val="0"/>
          <w:color w:val="auto"/>
          <w:sz w:val="24"/>
          <w:szCs w:val="18"/>
          <w:highlight w:val="none"/>
        </w:rPr>
      </w:pPr>
      <w:r>
        <w:rPr>
          <w:rFonts w:hint="eastAsia" w:ascii="宋体" w:hAnsi="宋体" w:eastAsia="宋体" w:cs="宋体"/>
          <w:b/>
          <w:bCs w:val="0"/>
          <w:color w:val="auto"/>
          <w:sz w:val="24"/>
          <w:szCs w:val="18"/>
          <w:highlight w:val="none"/>
        </w:rPr>
        <w:t>七、其他事项说明</w:t>
      </w:r>
    </w:p>
    <w:p w14:paraId="121FB5CE">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val="en-US" w:eastAsia="zh-CN"/>
        </w:rPr>
        <w:t>1.本项目相关信息同时在</w:t>
      </w:r>
      <w:r>
        <w:rPr>
          <w:rFonts w:hint="eastAsia" w:ascii="宋体" w:hAnsi="宋体" w:cs="宋体"/>
          <w:color w:val="auto"/>
          <w:sz w:val="24"/>
          <w:szCs w:val="18"/>
          <w:highlight w:val="none"/>
          <w:lang w:val="en-US" w:eastAsia="zh-CN"/>
        </w:rPr>
        <w:t>肥西县公共资源交易有限责任公司</w:t>
      </w:r>
      <w:r>
        <w:rPr>
          <w:rFonts w:hint="eastAsia" w:ascii="宋体" w:hAnsi="宋体" w:eastAsia="宋体" w:cs="宋体"/>
          <w:color w:val="auto"/>
          <w:sz w:val="24"/>
          <w:szCs w:val="18"/>
          <w:highlight w:val="none"/>
          <w:lang w:val="en-US" w:eastAsia="zh-CN"/>
        </w:rPr>
        <w:t>、</w:t>
      </w:r>
      <w:r>
        <w:rPr>
          <w:rFonts w:hint="eastAsia" w:ascii="宋体" w:hAnsi="宋体" w:eastAsia="宋体" w:cs="宋体"/>
          <w:color w:val="auto"/>
          <w:sz w:val="24"/>
          <w:szCs w:val="18"/>
          <w:highlight w:val="none"/>
          <w:lang w:eastAsia="zh-CN"/>
        </w:rPr>
        <w:t>优质采云采购平台、安徽省招标投标信息网、中国采购与招标</w:t>
      </w:r>
      <w:r>
        <w:rPr>
          <w:rFonts w:hint="eastAsia" w:ascii="宋体" w:hAnsi="宋体" w:eastAsia="宋体" w:cs="宋体"/>
          <w:color w:val="auto"/>
          <w:sz w:val="24"/>
          <w:szCs w:val="18"/>
          <w:highlight w:val="none"/>
          <w:lang w:val="en-US" w:eastAsia="zh-CN"/>
        </w:rPr>
        <w:t>网上发布；</w:t>
      </w:r>
    </w:p>
    <w:p w14:paraId="3EAA0905">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val="en-US" w:eastAsia="zh-CN"/>
        </w:rPr>
        <w:t>2.政府采购电子化交易要求：</w:t>
      </w:r>
    </w:p>
    <w:p w14:paraId="1AE043FA">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val="en-US" w:eastAsia="zh-CN"/>
        </w:rPr>
        <w:t>（1）潜在参审单位/供应商须登录“优质采云采购平台”（网址：www.youzhicai.com，以下称“优质采平台”）参与本项目采购活动。首次登录须办理注册手续，请务必选择注册为“参审单位角色”类型。注册流程见优质采平台“用户注册”栏目，咨询电话：400-0099-555。因未及时办理注册手续影响参加采购活动的，责任自负。</w:t>
      </w:r>
    </w:p>
    <w:p w14:paraId="0E197F4D">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val="en-US" w:eastAsia="zh-CN"/>
        </w:rPr>
        <w:t>（2）已注册的潜在参审单位/供应商可登录优质采平台获取采购文件，本项目的采购文件及其他资料（含澄清、答疑及相关补充文件）通过优质采平台发布，业主方（委托单位）/代理机构不再另行书面通知，潜在参审单位/供应商应及时关注、查阅优质采平台。因未及时查看导致不利后果的，责任自负。</w:t>
      </w:r>
    </w:p>
    <w:p w14:paraId="025D1DA2">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val="en-US" w:eastAsia="zh-CN"/>
        </w:rPr>
        <w:t>（3）已注册的潜在参审单位/供应商若注册信息发生变更（如：与初始注册信息不一致），应及时网上提交变更申请。因未及时变更导致不利后果的，责任自负。</w:t>
      </w:r>
    </w:p>
    <w:p w14:paraId="0612EFC9">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val="en-US" w:eastAsia="zh-CN"/>
        </w:rPr>
        <w:t>（4）本项目采用全流程电子化采购方式，潜在参审单位/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CA锁线上办理地址：https://portal.youzhicai.com/ui/portal-sup/#/signature/list</w:t>
      </w:r>
    </w:p>
    <w:p w14:paraId="70E77B35">
      <w:pPr>
        <w:autoSpaceDE w:val="0"/>
        <w:autoSpaceDN w:val="0"/>
        <w:adjustRightInd w:val="0"/>
        <w:spacing w:line="360" w:lineRule="auto"/>
        <w:ind w:firstLine="4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（5）电子投标/响应文件必须使用“优质采投标文件制作工具”制作生成并上传。下载地址：http://toolcdn.youzhicai.com/tools/BidderTools.zip，使用说明书及视频教程下载地址:http://file.youzhicai.com/files/BidderHelp.rar。</w:t>
      </w:r>
    </w:p>
    <w:p w14:paraId="3B6570DE">
      <w:pPr>
        <w:autoSpaceDE w:val="0"/>
        <w:autoSpaceDN w:val="0"/>
        <w:adjustRightInd w:val="0"/>
        <w:spacing w:line="360" w:lineRule="auto"/>
        <w:ind w:firstLine="4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3.参审单位应合理安排谈判文件获取时间，特别是网络速度慢的地区防止在系统关闭前网络拥堵无法操作。如果因计算机及网络故障造成无法完成谈判文件获取，责任自负。</w:t>
      </w:r>
    </w:p>
    <w:p w14:paraId="669C7177">
      <w:pPr>
        <w:autoSpaceDE w:val="0"/>
        <w:autoSpaceDN w:val="0"/>
        <w:adjustRightInd w:val="0"/>
        <w:spacing w:line="360" w:lineRule="auto"/>
        <w:ind w:firstLine="4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4.本项目实施全流程电子化交易，响应文件实施网上解密，供应商无需前往谈判现场。</w:t>
      </w:r>
      <w:bookmarkEnd w:id="7"/>
    </w:p>
    <w:bookmarkEnd w:id="8"/>
    <w:p w14:paraId="6B042AB0">
      <w:pPr>
        <w:autoSpaceDE w:val="0"/>
        <w:autoSpaceDN w:val="0"/>
        <w:adjustRightInd w:val="0"/>
        <w:spacing w:line="360" w:lineRule="auto"/>
        <w:ind w:firstLine="482"/>
        <w:jc w:val="left"/>
        <w:rPr>
          <w:rFonts w:hint="eastAsia" w:ascii="宋体" w:hAnsi="宋体" w:eastAsia="宋体" w:cs="宋体"/>
          <w:color w:val="auto"/>
          <w:sz w:val="24"/>
          <w:szCs w:val="18"/>
          <w:highlight w:val="none"/>
          <w:lang w:val="en-US" w:eastAsia="zh-CN"/>
        </w:rPr>
        <w:sectPr>
          <w:footerReference r:id="rId7" w:type="default"/>
          <w:pgSz w:w="11907" w:h="16840"/>
          <w:pgMar w:top="1440" w:right="1247" w:bottom="1440" w:left="1247" w:header="851" w:footer="992" w:gutter="0"/>
          <w:pgBorders>
            <w:top w:val="none" w:sz="0" w:space="0"/>
            <w:left w:val="none" w:sz="0" w:space="0"/>
            <w:bottom w:val="none" w:sz="0" w:space="0"/>
            <w:right w:val="none" w:sz="0" w:space="0"/>
          </w:pgBorders>
          <w:pgNumType w:start="2"/>
          <w:cols w:space="720" w:num="1"/>
          <w:docGrid w:linePitch="303" w:charSpace="0"/>
        </w:sectPr>
      </w:pPr>
      <w:bookmarkStart w:id="14" w:name="_Hlt510343011"/>
      <w:bookmarkStart w:id="15" w:name="_Hlt510342998"/>
    </w:p>
    <w:bookmarkEnd w:id="5"/>
    <w:p w14:paraId="378E49FE">
      <w:pPr>
        <w:pStyle w:val="4"/>
        <w:bidi w:val="0"/>
        <w:rPr>
          <w:rFonts w:hint="eastAsia"/>
          <w:color w:val="auto"/>
          <w:highlight w:val="none"/>
        </w:rPr>
      </w:pPr>
      <w:bookmarkStart w:id="16" w:name="_Toc29395"/>
      <w:bookmarkStart w:id="17" w:name="_Toc17653"/>
      <w:r>
        <w:rPr>
          <w:rFonts w:hint="eastAsia"/>
          <w:color w:val="auto"/>
          <w:highlight w:val="none"/>
        </w:rPr>
        <w:t xml:space="preserve">第二章 </w:t>
      </w:r>
      <w:r>
        <w:rPr>
          <w:rFonts w:hint="eastAsia"/>
          <w:color w:val="auto"/>
          <w:highlight w:val="none"/>
          <w:lang w:eastAsia="zh-CN"/>
        </w:rPr>
        <w:t>参审单位</w:t>
      </w:r>
      <w:r>
        <w:rPr>
          <w:rFonts w:hint="eastAsia"/>
          <w:color w:val="auto"/>
          <w:highlight w:val="none"/>
        </w:rPr>
        <w:t>须</w:t>
      </w:r>
      <w:bookmarkEnd w:id="14"/>
      <w:r>
        <w:rPr>
          <w:rFonts w:hint="eastAsia"/>
          <w:color w:val="auto"/>
          <w:highlight w:val="none"/>
        </w:rPr>
        <w:t>知前</w:t>
      </w:r>
      <w:bookmarkEnd w:id="15"/>
      <w:r>
        <w:rPr>
          <w:rFonts w:hint="eastAsia"/>
          <w:color w:val="auto"/>
          <w:highlight w:val="none"/>
        </w:rPr>
        <w:t>附表</w:t>
      </w:r>
      <w:bookmarkEnd w:id="16"/>
      <w:bookmarkEnd w:id="17"/>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2BA9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18B84AE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5" w:type="dxa"/>
            <w:noWrap w:val="0"/>
            <w:vAlign w:val="center"/>
          </w:tcPr>
          <w:p w14:paraId="5791334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174" w:type="dxa"/>
            <w:noWrap w:val="0"/>
            <w:vAlign w:val="center"/>
          </w:tcPr>
          <w:p w14:paraId="58697317">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说明与要求</w:t>
            </w:r>
          </w:p>
        </w:tc>
      </w:tr>
      <w:tr w14:paraId="6162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50D6D975">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1515" w:type="dxa"/>
            <w:noWrap w:val="0"/>
            <w:vAlign w:val="center"/>
          </w:tcPr>
          <w:p w14:paraId="6405057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业主方（委托单位）</w:t>
            </w:r>
          </w:p>
        </w:tc>
        <w:tc>
          <w:tcPr>
            <w:tcW w:w="7174" w:type="dxa"/>
            <w:noWrap w:val="0"/>
            <w:vAlign w:val="center"/>
          </w:tcPr>
          <w:p w14:paraId="3EAE5078">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jc w:val="both"/>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肥西县教育体育局</w:t>
            </w:r>
          </w:p>
        </w:tc>
      </w:tr>
      <w:tr w14:paraId="2108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21A84DF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515" w:type="dxa"/>
            <w:noWrap w:val="0"/>
            <w:vAlign w:val="center"/>
          </w:tcPr>
          <w:p w14:paraId="1C75B27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委托人</w:t>
            </w:r>
          </w:p>
        </w:tc>
        <w:tc>
          <w:tcPr>
            <w:tcW w:w="7174" w:type="dxa"/>
            <w:noWrap w:val="0"/>
            <w:vAlign w:val="center"/>
          </w:tcPr>
          <w:p w14:paraId="651EC878">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jc w:val="both"/>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肥西县教育体育局</w:t>
            </w:r>
          </w:p>
        </w:tc>
      </w:tr>
      <w:tr w14:paraId="4A6F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1AFF476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515" w:type="dxa"/>
            <w:noWrap w:val="0"/>
            <w:vAlign w:val="center"/>
          </w:tcPr>
          <w:p w14:paraId="3A10E4F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代理机构</w:t>
            </w:r>
          </w:p>
        </w:tc>
        <w:tc>
          <w:tcPr>
            <w:tcW w:w="7174" w:type="dxa"/>
            <w:noWrap w:val="0"/>
            <w:vAlign w:val="center"/>
          </w:tcPr>
          <w:p w14:paraId="0246A374">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  称：</w:t>
            </w:r>
            <w:r>
              <w:rPr>
                <w:rFonts w:hint="eastAsia" w:ascii="宋体" w:hAnsi="宋体" w:cs="宋体"/>
                <w:color w:val="auto"/>
                <w:sz w:val="24"/>
                <w:szCs w:val="24"/>
                <w:highlight w:val="none"/>
                <w:lang w:val="zh-CN"/>
              </w:rPr>
              <w:t>肥西县公共资源交易有限责任公司</w:t>
            </w:r>
          </w:p>
          <w:p w14:paraId="07D03814">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zh-CN"/>
              </w:rPr>
              <w:t>地  址：</w:t>
            </w:r>
            <w:r>
              <w:rPr>
                <w:rFonts w:hint="eastAsia" w:ascii="宋体" w:hAnsi="宋体" w:eastAsia="宋体" w:cs="宋体"/>
                <w:color w:val="auto"/>
                <w:sz w:val="24"/>
                <w:szCs w:val="18"/>
                <w:highlight w:val="none"/>
                <w:u w:val="none"/>
                <w:lang w:eastAsia="zh-CN"/>
              </w:rPr>
              <w:t>肥西县上派镇紫石路与佛光路交叉口肥光办公区3号楼2楼</w:t>
            </w:r>
          </w:p>
        </w:tc>
      </w:tr>
      <w:tr w14:paraId="7B0A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668D00CC">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515" w:type="dxa"/>
            <w:noWrap w:val="0"/>
            <w:vAlign w:val="center"/>
          </w:tcPr>
          <w:p w14:paraId="43F9401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74" w:type="dxa"/>
            <w:noWrap w:val="0"/>
            <w:vAlign w:val="center"/>
          </w:tcPr>
          <w:p w14:paraId="54A459E2">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jc w:val="both"/>
              <w:textAlignment w:val="auto"/>
              <w:rPr>
                <w:rFonts w:hint="eastAsia"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eastAsia="zh-CN"/>
              </w:rPr>
              <w:t>紫云湖小学扩建项目第三方检测</w:t>
            </w:r>
          </w:p>
        </w:tc>
      </w:tr>
      <w:tr w14:paraId="5987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0473200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515" w:type="dxa"/>
            <w:noWrap w:val="0"/>
            <w:vAlign w:val="center"/>
          </w:tcPr>
          <w:p w14:paraId="55B7EE2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174" w:type="dxa"/>
            <w:noWrap w:val="0"/>
            <w:vAlign w:val="center"/>
          </w:tcPr>
          <w:p w14:paraId="6B111D81">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jc w:val="both"/>
              <w:textAlignment w:val="auto"/>
              <w:rPr>
                <w:rFonts w:hint="eastAsia"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eastAsia="zh-CN"/>
              </w:rPr>
              <w:t>2026PHBJ211</w:t>
            </w:r>
          </w:p>
        </w:tc>
      </w:tr>
      <w:tr w14:paraId="06AA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1F858301">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515" w:type="dxa"/>
            <w:noWrap w:val="0"/>
            <w:vAlign w:val="center"/>
          </w:tcPr>
          <w:p w14:paraId="619EDFB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7174" w:type="dxa"/>
            <w:noWrap w:val="0"/>
            <w:vAlign w:val="center"/>
          </w:tcPr>
          <w:p w14:paraId="259C247D">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jc w:val="both"/>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服务类</w:t>
            </w:r>
          </w:p>
        </w:tc>
      </w:tr>
      <w:tr w14:paraId="073E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38582931">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515" w:type="dxa"/>
            <w:noWrap w:val="0"/>
            <w:vAlign w:val="center"/>
          </w:tcPr>
          <w:p w14:paraId="515F3914">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资金来源</w:t>
            </w:r>
          </w:p>
        </w:tc>
        <w:tc>
          <w:tcPr>
            <w:tcW w:w="7174" w:type="dxa"/>
            <w:noWrap w:val="0"/>
            <w:vAlign w:val="center"/>
          </w:tcPr>
          <w:p w14:paraId="3BFABF3A">
            <w:pPr>
              <w:pStyle w:val="31"/>
              <w:keepNext w:val="0"/>
              <w:keepLines w:val="0"/>
              <w:pageBreakBefore w:val="0"/>
              <w:widowControl w:val="0"/>
              <w:kinsoku/>
              <w:wordWrap/>
              <w:overflowPunct/>
              <w:topLinePunct w:val="0"/>
              <w:autoSpaceDE/>
              <w:autoSpaceDN/>
              <w:bidi w:val="0"/>
              <w:adjustRightInd/>
              <w:spacing w:before="0" w:beforeAutospacing="0" w:after="0" w:afterAutospacing="0" w:line="4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 w:val="0"/>
                <w:bCs w:val="0"/>
                <w:color w:val="auto"/>
                <w:sz w:val="24"/>
                <w:szCs w:val="24"/>
                <w:highlight w:val="none"/>
              </w:rPr>
              <w:t>财政投资</w:t>
            </w:r>
            <w:r>
              <w:rPr>
                <w:rFonts w:hint="eastAsia" w:ascii="宋体" w:hAnsi="宋体" w:eastAsia="宋体" w:cs="宋体"/>
                <w:b/>
                <w:bCs/>
                <w:color w:val="auto"/>
                <w:sz w:val="28"/>
                <w:szCs w:val="28"/>
                <w:highlight w:val="non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rPr>
              <w:sym w:font="Wingdings" w:char="00A8"/>
            </w:r>
            <w:r>
              <w:rPr>
                <w:rFonts w:hint="eastAsia" w:cs="宋体"/>
                <w:b w:val="0"/>
                <w:bCs w:val="0"/>
                <w:color w:val="auto"/>
                <w:sz w:val="24"/>
                <w:szCs w:val="24"/>
                <w:highlight w:val="none"/>
                <w:lang w:eastAsia="zh-CN"/>
              </w:rPr>
              <w:t>业主方（委托单位）</w:t>
            </w:r>
            <w:r>
              <w:rPr>
                <w:rFonts w:hint="eastAsia" w:ascii="宋体" w:hAnsi="宋体" w:eastAsia="宋体" w:cs="宋体"/>
                <w:b w:val="0"/>
                <w:bCs w:val="0"/>
                <w:color w:val="auto"/>
                <w:sz w:val="24"/>
                <w:szCs w:val="24"/>
                <w:highlight w:val="none"/>
              </w:rPr>
              <w:t>自筹  □其他</w:t>
            </w:r>
          </w:p>
        </w:tc>
      </w:tr>
      <w:tr w14:paraId="2D8F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7AC9AD2C">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15" w:type="dxa"/>
            <w:noWrap w:val="0"/>
            <w:vAlign w:val="top"/>
          </w:tcPr>
          <w:p w14:paraId="38485A0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标段划分</w:t>
            </w:r>
          </w:p>
        </w:tc>
        <w:tc>
          <w:tcPr>
            <w:tcW w:w="7174" w:type="dxa"/>
            <w:noWrap w:val="0"/>
            <w:vAlign w:val="center"/>
          </w:tcPr>
          <w:p w14:paraId="19453342">
            <w:pPr>
              <w:keepNext w:val="0"/>
              <w:keepLines w:val="0"/>
              <w:pageBreakBefore w:val="0"/>
              <w:widowControl w:val="0"/>
              <w:kinsoku/>
              <w:wordWrap/>
              <w:overflowPunct/>
              <w:topLinePunct w:val="0"/>
              <w:autoSpaceDE/>
              <w:autoSpaceDN/>
              <w:bidi w:val="0"/>
              <w:adjustRightInd/>
              <w:spacing w:line="460" w:lineRule="exact"/>
              <w:ind w:left="841" w:hanging="841"/>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不分标段    □分为  个标段</w:t>
            </w:r>
          </w:p>
        </w:tc>
      </w:tr>
      <w:tr w14:paraId="30C7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noWrap w:val="0"/>
            <w:vAlign w:val="center"/>
          </w:tcPr>
          <w:p w14:paraId="67964BE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p>
        </w:tc>
        <w:tc>
          <w:tcPr>
            <w:tcW w:w="1515" w:type="dxa"/>
            <w:noWrap w:val="0"/>
            <w:vAlign w:val="center"/>
          </w:tcPr>
          <w:p w14:paraId="7F62FE5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eastAsia="zh-CN"/>
              </w:rPr>
              <w:t>谈判</w:t>
            </w:r>
          </w:p>
        </w:tc>
        <w:tc>
          <w:tcPr>
            <w:tcW w:w="7174" w:type="dxa"/>
            <w:noWrap w:val="0"/>
            <w:vAlign w:val="center"/>
          </w:tcPr>
          <w:p w14:paraId="7D9E0478">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val="zh-CN"/>
              </w:rPr>
              <w:t xml:space="preserve">接受  </w:t>
            </w:r>
            <w:r>
              <w:rPr>
                <w:rFonts w:hint="eastAsia" w:ascii="宋体" w:hAnsi="宋体" w:eastAsia="宋体" w:cs="宋体"/>
                <w:b/>
                <w:bCs/>
                <w:color w:val="auto"/>
                <w:sz w:val="24"/>
                <w:szCs w:val="24"/>
                <w:highlight w:val="none"/>
              </w:rPr>
              <w:sym w:font="Wingdings" w:char="00FE"/>
            </w: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zh-CN"/>
              </w:rPr>
              <w:t>接受</w:t>
            </w:r>
          </w:p>
        </w:tc>
      </w:tr>
      <w:tr w14:paraId="007F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noWrap w:val="0"/>
            <w:vAlign w:val="center"/>
          </w:tcPr>
          <w:p w14:paraId="6F93711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15" w:type="dxa"/>
            <w:noWrap w:val="0"/>
            <w:vAlign w:val="center"/>
          </w:tcPr>
          <w:p w14:paraId="5A32C40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有效期</w:t>
            </w:r>
          </w:p>
        </w:tc>
        <w:tc>
          <w:tcPr>
            <w:tcW w:w="7174" w:type="dxa"/>
            <w:noWrap w:val="0"/>
            <w:vAlign w:val="center"/>
          </w:tcPr>
          <w:p w14:paraId="749E41E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120天</w:t>
            </w:r>
          </w:p>
        </w:tc>
      </w:tr>
      <w:tr w14:paraId="55C9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noWrap w:val="0"/>
            <w:vAlign w:val="center"/>
          </w:tcPr>
          <w:p w14:paraId="4DF80A6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515" w:type="dxa"/>
            <w:noWrap w:val="0"/>
            <w:vAlign w:val="center"/>
          </w:tcPr>
          <w:p w14:paraId="7A213FBF">
            <w:pPr>
              <w:spacing w:line="460" w:lineRule="exact"/>
              <w:ind w:left="0" w:leftChars="0" w:firstLine="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保证金</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电子交易服务费</w:t>
            </w:r>
          </w:p>
        </w:tc>
        <w:tc>
          <w:tcPr>
            <w:tcW w:w="7174" w:type="dxa"/>
            <w:noWrap w:val="0"/>
            <w:vAlign w:val="center"/>
          </w:tcPr>
          <w:p w14:paraId="565225B5">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是否要求供应商递交谈判保证金：</w:t>
            </w:r>
            <w:r>
              <w:rPr>
                <w:rFonts w:hint="eastAsia" w:ascii="宋体" w:hAnsi="宋体" w:cs="宋体"/>
                <w:color w:val="auto"/>
                <w:sz w:val="24"/>
                <w:szCs w:val="24"/>
                <w:highlight w:val="none"/>
                <w:lang w:val="zh-CN"/>
              </w:rPr>
              <w:sym w:font="Wingdings 2" w:char="0052"/>
            </w:r>
            <w:r>
              <w:rPr>
                <w:rFonts w:hint="eastAsia" w:ascii="宋体" w:hAnsi="宋体" w:cs="宋体"/>
                <w:color w:val="auto"/>
                <w:sz w:val="24"/>
                <w:szCs w:val="24"/>
                <w:highlight w:val="none"/>
                <w:lang w:val="zh-CN"/>
              </w:rPr>
              <w:t>不要求 □要求</w:t>
            </w:r>
          </w:p>
          <w:p w14:paraId="675D30F3">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电子交易服务费金额：人民币200元，售后不退</w:t>
            </w:r>
          </w:p>
          <w:p w14:paraId="0AB9CA23">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交纳形式：</w:t>
            </w:r>
            <w:r>
              <w:rPr>
                <w:rFonts w:hint="eastAsia" w:ascii="宋体" w:hAnsi="宋体" w:cs="宋体"/>
                <w:color w:val="auto"/>
                <w:sz w:val="24"/>
                <w:szCs w:val="24"/>
                <w:highlight w:val="none"/>
                <w:lang w:val="zh-CN"/>
              </w:rPr>
              <w:sym w:font="Wingdings" w:char="00FE"/>
            </w:r>
            <w:r>
              <w:rPr>
                <w:rFonts w:hint="eastAsia" w:ascii="宋体" w:hAnsi="宋体" w:cs="宋体"/>
                <w:color w:val="auto"/>
                <w:sz w:val="24"/>
                <w:szCs w:val="24"/>
                <w:highlight w:val="none"/>
                <w:lang w:val="zh-CN"/>
              </w:rPr>
              <w:t xml:space="preserve">银行转账  </w:t>
            </w:r>
            <w:r>
              <w:rPr>
                <w:rFonts w:hint="eastAsia" w:ascii="宋体" w:hAnsi="宋体" w:cs="宋体"/>
                <w:color w:val="auto"/>
                <w:sz w:val="24"/>
                <w:szCs w:val="24"/>
                <w:highlight w:val="none"/>
                <w:lang w:val="zh-CN"/>
              </w:rPr>
              <w:sym w:font="Wingdings" w:char="00FE"/>
            </w:r>
            <w:r>
              <w:rPr>
                <w:rFonts w:hint="eastAsia" w:ascii="宋体" w:hAnsi="宋体" w:cs="宋体"/>
                <w:color w:val="auto"/>
                <w:sz w:val="24"/>
                <w:szCs w:val="24"/>
                <w:highlight w:val="none"/>
                <w:lang w:val="zh-CN"/>
              </w:rPr>
              <w:t>银行电汇</w:t>
            </w:r>
          </w:p>
          <w:p w14:paraId="38B84CB9">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递交要求： </w:t>
            </w:r>
          </w:p>
          <w:p w14:paraId="2DF675D9">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①电子交易服务费的到账截止时间：同谈判时间。</w:t>
            </w:r>
          </w:p>
          <w:p w14:paraId="05A064F9">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②电子交易服务费应当从供应商账户转出，转出电子交易服务费的账户与供应商响应文件提供的账户信息不一致的，视为未按谈判文件规定要求交纳电子交易服务费，其响应无效。</w:t>
            </w:r>
          </w:p>
          <w:p w14:paraId="16F8592F">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转入的开户银行及账号：</w:t>
            </w:r>
          </w:p>
          <w:p w14:paraId="2C926EFC">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开户银行：广发银行股份有限公司合肥肥西支行</w:t>
            </w:r>
          </w:p>
          <w:p w14:paraId="481133AA">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开户名：</w:t>
            </w:r>
            <w:bookmarkStart w:id="18" w:name="OLE_LINK11"/>
            <w:r>
              <w:rPr>
                <w:rFonts w:hint="eastAsia" w:ascii="宋体" w:hAnsi="宋体" w:cs="宋体"/>
                <w:color w:val="auto"/>
                <w:sz w:val="24"/>
                <w:szCs w:val="24"/>
                <w:highlight w:val="none"/>
                <w:lang w:val="zh-CN"/>
              </w:rPr>
              <w:t>肥西县公共资源交易有限责任公司</w:t>
            </w:r>
            <w:bookmarkEnd w:id="18"/>
          </w:p>
          <w:p w14:paraId="67AC9AB4">
            <w:pPr>
              <w:spacing w:line="460" w:lineRule="exact"/>
              <w:ind w:left="0" w:leftChars="0" w:firstLine="0" w:firstLineChars="0"/>
              <w:rPr>
                <w:rFonts w:hint="eastAsia" w:ascii="宋体" w:hAnsi="宋体" w:eastAsia="宋体" w:cs="宋体"/>
                <w:b/>
                <w:bCs/>
                <w:color w:val="auto"/>
                <w:sz w:val="24"/>
                <w:szCs w:val="24"/>
                <w:highlight w:val="none"/>
                <w:lang w:val="zh-CN"/>
              </w:rPr>
            </w:pPr>
            <w:bookmarkStart w:id="173" w:name="_GoBack"/>
            <w:r>
              <w:rPr>
                <w:rFonts w:hint="eastAsia" w:ascii="宋体" w:hAnsi="宋体" w:eastAsia="宋体" w:cs="宋体"/>
                <w:b/>
                <w:bCs/>
                <w:color w:val="auto"/>
                <w:sz w:val="24"/>
                <w:szCs w:val="24"/>
                <w:highlight w:val="none"/>
                <w:lang w:val="zh-CN"/>
              </w:rPr>
              <w:t>账号：6232594999000547057</w:t>
            </w:r>
          </w:p>
          <w:bookmarkEnd w:id="173"/>
          <w:p w14:paraId="4EB2DF46">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注意事项：</w:t>
            </w:r>
          </w:p>
          <w:p w14:paraId="08884C0E">
            <w:pPr>
              <w:spacing w:line="460" w:lineRule="exact"/>
              <w:ind w:left="0" w:leftChars="0" w:firstLine="0" w:firstLineChars="0"/>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①电子交易服务费采用虚拟账号，项目</w:t>
            </w:r>
            <w:r>
              <w:rPr>
                <w:rFonts w:hint="eastAsia" w:ascii="宋体" w:hAnsi="宋体" w:cs="宋体"/>
                <w:color w:val="auto"/>
                <w:sz w:val="24"/>
                <w:szCs w:val="24"/>
                <w:highlight w:val="none"/>
                <w:lang w:val="en-US" w:eastAsia="zh-CN"/>
              </w:rPr>
              <w:t>谈判</w:t>
            </w:r>
            <w:r>
              <w:rPr>
                <w:rFonts w:hint="eastAsia" w:ascii="宋体" w:hAnsi="宋体" w:cs="宋体"/>
                <w:color w:val="auto"/>
                <w:sz w:val="24"/>
                <w:szCs w:val="24"/>
                <w:highlight w:val="none"/>
                <w:lang w:val="en-US"/>
              </w:rPr>
              <w:t>失败后，电子交易服务费交纳账号将会发生变化，请</w:t>
            </w:r>
            <w:r>
              <w:rPr>
                <w:rFonts w:hint="eastAsia" w:ascii="宋体" w:hAnsi="宋体" w:cs="宋体"/>
                <w:color w:val="auto"/>
                <w:sz w:val="24"/>
                <w:szCs w:val="24"/>
                <w:highlight w:val="none"/>
                <w:lang w:val="zh-CN"/>
              </w:rPr>
              <w:t>供应商</w:t>
            </w:r>
            <w:r>
              <w:rPr>
                <w:rFonts w:hint="eastAsia" w:ascii="宋体" w:hAnsi="宋体" w:cs="宋体"/>
                <w:color w:val="auto"/>
                <w:sz w:val="24"/>
                <w:szCs w:val="24"/>
                <w:highlight w:val="none"/>
                <w:lang w:val="en-US"/>
              </w:rPr>
              <w:t>参与后续</w:t>
            </w:r>
            <w:r>
              <w:rPr>
                <w:rFonts w:hint="eastAsia" w:ascii="宋体" w:hAnsi="宋体" w:cs="宋体"/>
                <w:color w:val="auto"/>
                <w:sz w:val="24"/>
                <w:szCs w:val="24"/>
                <w:highlight w:val="none"/>
                <w:lang w:val="en-US" w:eastAsia="zh-CN"/>
              </w:rPr>
              <w:t>谈判</w:t>
            </w:r>
            <w:r>
              <w:rPr>
                <w:rFonts w:hint="eastAsia" w:ascii="宋体" w:hAnsi="宋体" w:cs="宋体"/>
                <w:color w:val="auto"/>
                <w:sz w:val="24"/>
                <w:szCs w:val="24"/>
                <w:highlight w:val="none"/>
                <w:lang w:val="en-US"/>
              </w:rPr>
              <w:t xml:space="preserve">时，注意勿将电子交易服务费错交至其他项目账号或前次公告账号。 </w:t>
            </w:r>
          </w:p>
          <w:p w14:paraId="7D318983">
            <w:pPr>
              <w:spacing w:line="460" w:lineRule="exact"/>
              <w:ind w:left="0" w:leftChars="0" w:firstLine="0" w:firstLineChars="0"/>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 xml:space="preserve">②凡转账到其他项目账户或本项目前次公告账户的，电子交易服务费无效。 </w:t>
            </w:r>
          </w:p>
          <w:p w14:paraId="1F6307C2">
            <w:pPr>
              <w:spacing w:line="460" w:lineRule="exact"/>
              <w:ind w:left="0" w:leftChars="0" w:firstLine="0" w:firstLineChars="0"/>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③</w:t>
            </w:r>
            <w:r>
              <w:rPr>
                <w:rFonts w:hint="eastAsia" w:ascii="宋体" w:hAnsi="宋体" w:cs="宋体"/>
                <w:color w:val="auto"/>
                <w:sz w:val="24"/>
                <w:szCs w:val="24"/>
                <w:highlight w:val="none"/>
                <w:lang w:val="zh-CN"/>
              </w:rPr>
              <w:t>供应商</w:t>
            </w:r>
            <w:r>
              <w:rPr>
                <w:rFonts w:hint="eastAsia" w:ascii="宋体" w:hAnsi="宋体" w:cs="宋体"/>
                <w:color w:val="auto"/>
                <w:sz w:val="24"/>
                <w:szCs w:val="24"/>
                <w:highlight w:val="none"/>
                <w:lang w:val="en-US"/>
              </w:rPr>
              <w:t>参与本项目多个包别</w:t>
            </w:r>
            <w:r>
              <w:rPr>
                <w:rFonts w:hint="eastAsia" w:ascii="宋体" w:hAnsi="宋体" w:cs="宋体"/>
                <w:color w:val="auto"/>
                <w:sz w:val="24"/>
                <w:szCs w:val="24"/>
                <w:highlight w:val="none"/>
                <w:lang w:val="en-US" w:eastAsia="zh-CN"/>
              </w:rPr>
              <w:t>谈判</w:t>
            </w:r>
            <w:r>
              <w:rPr>
                <w:rFonts w:hint="eastAsia" w:ascii="宋体" w:hAnsi="宋体" w:cs="宋体"/>
                <w:color w:val="auto"/>
                <w:sz w:val="24"/>
                <w:szCs w:val="24"/>
                <w:highlight w:val="none"/>
                <w:lang w:val="en-US"/>
              </w:rPr>
              <w:t>的（如分多包别的），应该按包别分别递交电子交易服务费。未递交电子交易服务费的包别，其响应无效。</w:t>
            </w:r>
          </w:p>
          <w:p w14:paraId="579E527D">
            <w:pPr>
              <w:spacing w:line="46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rPr>
              <w:t>④由于优质采云采购平台端口限制，</w:t>
            </w:r>
            <w:r>
              <w:rPr>
                <w:rFonts w:hint="eastAsia" w:ascii="宋体" w:hAnsi="宋体" w:cs="宋体"/>
                <w:color w:val="auto"/>
                <w:sz w:val="24"/>
                <w:szCs w:val="24"/>
                <w:highlight w:val="none"/>
                <w:lang w:val="zh-CN"/>
              </w:rPr>
              <w:t>供应商</w:t>
            </w:r>
            <w:r>
              <w:rPr>
                <w:rFonts w:hint="eastAsia" w:ascii="宋体" w:hAnsi="宋体" w:cs="宋体"/>
                <w:color w:val="auto"/>
                <w:sz w:val="24"/>
                <w:szCs w:val="24"/>
                <w:highlight w:val="none"/>
                <w:lang w:val="en-US"/>
              </w:rPr>
              <w:t>在优质采云采购平台看到的保证金（200元），其费用及效力等同于</w:t>
            </w:r>
            <w:r>
              <w:rPr>
                <w:rFonts w:hint="eastAsia" w:ascii="宋体" w:hAnsi="宋体" w:cs="宋体"/>
                <w:color w:val="auto"/>
                <w:sz w:val="24"/>
                <w:szCs w:val="24"/>
                <w:highlight w:val="none"/>
                <w:lang w:val="en-US" w:eastAsia="zh-CN"/>
              </w:rPr>
              <w:t>谈判</w:t>
            </w:r>
            <w:r>
              <w:rPr>
                <w:rFonts w:hint="eastAsia" w:ascii="宋体" w:hAnsi="宋体" w:cs="宋体"/>
                <w:color w:val="auto"/>
                <w:sz w:val="24"/>
                <w:szCs w:val="24"/>
                <w:highlight w:val="none"/>
                <w:lang w:val="en-US"/>
              </w:rPr>
              <w:t>文件的电子交易服务费。</w:t>
            </w:r>
          </w:p>
        </w:tc>
      </w:tr>
      <w:tr w14:paraId="2EC7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42781FC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515" w:type="dxa"/>
            <w:noWrap w:val="0"/>
            <w:vAlign w:val="center"/>
          </w:tcPr>
          <w:p w14:paraId="2E7AC540">
            <w:pPr>
              <w:pStyle w:val="31"/>
              <w:widowControl w:val="0"/>
              <w:spacing w:before="0" w:beforeAutospacing="0" w:after="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rPr>
              <w:t>网上询问截止时间</w:t>
            </w:r>
          </w:p>
        </w:tc>
        <w:tc>
          <w:tcPr>
            <w:tcW w:w="7174" w:type="dxa"/>
            <w:noWrap w:val="0"/>
            <w:vAlign w:val="center"/>
          </w:tcPr>
          <w:p w14:paraId="4EC789D5">
            <w:pPr>
              <w:pStyle w:val="31"/>
              <w:widowControl w:val="0"/>
              <w:spacing w:before="0" w:beforeAutospacing="0" w:after="0" w:afterAutospacing="0" w:line="360" w:lineRule="auto"/>
              <w:jc w:val="both"/>
              <w:rPr>
                <w:rFonts w:hint="eastAsia" w:ascii="宋体" w:hAnsi="宋体" w:eastAsia="宋体" w:cs="宋体"/>
                <w:bCs/>
                <w:color w:val="auto"/>
                <w:sz w:val="24"/>
                <w:szCs w:val="24"/>
                <w:highlight w:val="none"/>
              </w:rPr>
            </w:pPr>
            <w:r>
              <w:rPr>
                <w:rFonts w:hint="eastAsia" w:cs="宋体"/>
                <w:b w:val="0"/>
                <w:color w:val="auto"/>
                <w:sz w:val="24"/>
                <w:highlight w:val="none"/>
                <w:u w:val="single"/>
                <w:lang w:val="en-US" w:eastAsia="zh-CN"/>
              </w:rPr>
              <w:t>2026</w:t>
            </w:r>
            <w:r>
              <w:rPr>
                <w:rFonts w:hint="eastAsia" w:cs="宋体"/>
                <w:b w:val="0"/>
                <w:color w:val="auto"/>
                <w:sz w:val="24"/>
                <w:highlight w:val="none"/>
                <w:u w:val="none"/>
                <w:lang w:val="en-US" w:eastAsia="zh-CN"/>
              </w:rPr>
              <w:t>年</w:t>
            </w:r>
            <w:r>
              <w:rPr>
                <w:rFonts w:hint="eastAsia" w:cs="宋体"/>
                <w:b w:val="0"/>
                <w:color w:val="auto"/>
                <w:sz w:val="24"/>
                <w:highlight w:val="none"/>
                <w:u w:val="single"/>
                <w:lang w:val="en-US" w:eastAsia="zh-CN"/>
              </w:rPr>
              <w:t xml:space="preserve"> 5 </w:t>
            </w:r>
            <w:r>
              <w:rPr>
                <w:rFonts w:hint="eastAsia" w:ascii="宋体" w:hAnsi="宋体" w:eastAsia="宋体" w:cs="宋体"/>
                <w:b w:val="0"/>
                <w:color w:val="auto"/>
                <w:sz w:val="24"/>
                <w:highlight w:val="none"/>
              </w:rPr>
              <w:t>月</w:t>
            </w:r>
            <w:r>
              <w:rPr>
                <w:rFonts w:hint="eastAsia" w:cs="宋体"/>
                <w:b w:val="0"/>
                <w:color w:val="auto"/>
                <w:sz w:val="24"/>
                <w:highlight w:val="none"/>
                <w:u w:val="single"/>
                <w:lang w:val="en-US" w:eastAsia="zh-CN"/>
              </w:rPr>
              <w:t xml:space="preserve"> 8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30</w:t>
            </w:r>
            <w:r>
              <w:rPr>
                <w:rFonts w:hint="eastAsia" w:ascii="宋体" w:hAnsi="宋体" w:eastAsia="宋体" w:cs="宋体"/>
                <w:b w:val="0"/>
                <w:color w:val="auto"/>
                <w:sz w:val="24"/>
                <w:highlight w:val="none"/>
              </w:rPr>
              <w:t>分</w:t>
            </w:r>
          </w:p>
        </w:tc>
      </w:tr>
      <w:tr w14:paraId="6C58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635B447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515" w:type="dxa"/>
            <w:noWrap w:val="0"/>
            <w:vAlign w:val="center"/>
          </w:tcPr>
          <w:p w14:paraId="33F0158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踏勘现场</w:t>
            </w:r>
          </w:p>
        </w:tc>
        <w:tc>
          <w:tcPr>
            <w:tcW w:w="7174" w:type="dxa"/>
            <w:noWrap w:val="0"/>
            <w:vAlign w:val="center"/>
          </w:tcPr>
          <w:p w14:paraId="0E2D2EEF">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自行踏勘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lang w:val="zh-CN"/>
              </w:rPr>
              <w:t>统一组织</w:t>
            </w:r>
          </w:p>
        </w:tc>
      </w:tr>
      <w:tr w14:paraId="1C6A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6AC01A1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515" w:type="dxa"/>
            <w:noWrap w:val="0"/>
            <w:vAlign w:val="center"/>
          </w:tcPr>
          <w:p w14:paraId="07E8B704">
            <w:pPr>
              <w:pStyle w:val="31"/>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rPr>
              <w:t>响应文件要求</w:t>
            </w:r>
          </w:p>
        </w:tc>
        <w:tc>
          <w:tcPr>
            <w:tcW w:w="7174" w:type="dxa"/>
            <w:noWrap w:val="0"/>
            <w:vAlign w:val="center"/>
          </w:tcPr>
          <w:p w14:paraId="2A671AE2">
            <w:pPr>
              <w:pStyle w:val="31"/>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u w:val="single"/>
              </w:rPr>
              <w:t>加密电子响应文件</w:t>
            </w:r>
          </w:p>
        </w:tc>
      </w:tr>
      <w:tr w14:paraId="638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76F1412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515" w:type="dxa"/>
            <w:noWrap w:val="0"/>
            <w:vAlign w:val="center"/>
          </w:tcPr>
          <w:p w14:paraId="74F24E2C">
            <w:pPr>
              <w:pStyle w:val="31"/>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strike w:val="0"/>
                <w:dstrike w:val="0"/>
                <w:color w:val="auto"/>
                <w:sz w:val="24"/>
                <w:highlight w:val="none"/>
                <w:u w:val="none"/>
              </w:rPr>
              <w:t>响应文件解密时间</w:t>
            </w:r>
          </w:p>
        </w:tc>
        <w:tc>
          <w:tcPr>
            <w:tcW w:w="7174" w:type="dxa"/>
            <w:noWrap w:val="0"/>
            <w:vAlign w:val="center"/>
          </w:tcPr>
          <w:p w14:paraId="6A0737D4">
            <w:pPr>
              <w:pStyle w:val="31"/>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响应文件提交截止时间后30分钟内（以系统解密倒计时为准）</w:t>
            </w:r>
          </w:p>
          <w:p w14:paraId="13D85FDF">
            <w:pPr>
              <w:pStyle w:val="31"/>
              <w:widowControl w:val="0"/>
              <w:spacing w:before="0" w:beforeAutospacing="0" w:after="0" w:afterAutospacing="0"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val="0"/>
                <w:color w:val="auto"/>
                <w:sz w:val="24"/>
                <w:highlight w:val="none"/>
                <w:u w:val="none"/>
                <w:lang w:val="en-US" w:eastAsia="zh-CN"/>
              </w:rPr>
              <w:t>其他要求：响应文件解密可以采用网上远程方式，无需到</w:t>
            </w:r>
            <w:r>
              <w:rPr>
                <w:rFonts w:hint="eastAsia" w:cs="宋体"/>
                <w:b/>
                <w:bCs w:val="0"/>
                <w:color w:val="auto"/>
                <w:sz w:val="24"/>
                <w:highlight w:val="none"/>
                <w:u w:val="none"/>
                <w:lang w:val="en-US" w:eastAsia="zh-CN"/>
              </w:rPr>
              <w:t>谈判</w:t>
            </w:r>
            <w:r>
              <w:rPr>
                <w:rFonts w:hint="eastAsia" w:ascii="宋体" w:hAnsi="宋体" w:eastAsia="宋体" w:cs="宋体"/>
                <w:b/>
                <w:bCs w:val="0"/>
                <w:color w:val="auto"/>
                <w:sz w:val="24"/>
                <w:highlight w:val="none"/>
                <w:u w:val="none"/>
                <w:lang w:val="en-US" w:eastAsia="zh-CN"/>
              </w:rPr>
              <w:t>现场进行解密。解密的CA锁必须与响应文件加密的CA锁一致，否则造成的后果由供应商自行承担。</w:t>
            </w:r>
          </w:p>
        </w:tc>
      </w:tr>
      <w:tr w14:paraId="5252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31225A0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515" w:type="dxa"/>
            <w:noWrap w:val="0"/>
            <w:vAlign w:val="center"/>
          </w:tcPr>
          <w:p w14:paraId="6E8CD0E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时间及地点</w:t>
            </w:r>
          </w:p>
        </w:tc>
        <w:tc>
          <w:tcPr>
            <w:tcW w:w="7174" w:type="dxa"/>
            <w:noWrap w:val="0"/>
            <w:vAlign w:val="center"/>
          </w:tcPr>
          <w:p w14:paraId="2109B50C">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b w:val="0"/>
                <w:color w:val="auto"/>
                <w:sz w:val="24"/>
                <w:highlight w:val="none"/>
                <w:u w:val="single"/>
              </w:rPr>
              <w:t>详见</w:t>
            </w:r>
            <w:r>
              <w:rPr>
                <w:rFonts w:hint="eastAsia" w:ascii="宋体" w:hAnsi="宋体" w:eastAsia="宋体" w:cs="宋体"/>
                <w:b w:val="0"/>
                <w:color w:val="auto"/>
                <w:sz w:val="24"/>
                <w:highlight w:val="none"/>
                <w:u w:val="single"/>
                <w:lang w:eastAsia="zh-CN"/>
              </w:rPr>
              <w:t>谈判</w:t>
            </w:r>
            <w:r>
              <w:rPr>
                <w:rFonts w:hint="eastAsia" w:ascii="宋体" w:hAnsi="宋体" w:eastAsia="宋体" w:cs="宋体"/>
                <w:b w:val="0"/>
                <w:color w:val="auto"/>
                <w:sz w:val="24"/>
                <w:highlight w:val="none"/>
                <w:u w:val="single"/>
              </w:rPr>
              <w:t>邀请</w:t>
            </w:r>
          </w:p>
        </w:tc>
      </w:tr>
      <w:tr w14:paraId="246E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noWrap w:val="0"/>
            <w:vAlign w:val="center"/>
          </w:tcPr>
          <w:p w14:paraId="4469649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515" w:type="dxa"/>
            <w:noWrap w:val="0"/>
            <w:vAlign w:val="center"/>
          </w:tcPr>
          <w:p w14:paraId="1EBAA9C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与评审办法</w:t>
            </w:r>
          </w:p>
        </w:tc>
        <w:tc>
          <w:tcPr>
            <w:tcW w:w="7174" w:type="dxa"/>
            <w:noWrap w:val="0"/>
            <w:vAlign w:val="center"/>
          </w:tcPr>
          <w:p w14:paraId="6FE7507F">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sym w:font="Wingdings" w:char="00FE"/>
            </w:r>
            <w:r>
              <w:rPr>
                <w:rFonts w:hint="eastAsia" w:ascii="宋体" w:hAnsi="宋体" w:eastAsia="宋体" w:cs="宋体"/>
                <w:b w:val="0"/>
                <w:color w:val="auto"/>
                <w:sz w:val="24"/>
                <w:highlight w:val="none"/>
                <w:u w:val="single"/>
                <w:lang w:eastAsia="zh-CN"/>
              </w:rPr>
              <w:t>有效最低价</w:t>
            </w:r>
            <w:r>
              <w:rPr>
                <w:rFonts w:hint="eastAsia" w:ascii="宋体" w:hAnsi="宋体" w:eastAsia="宋体" w:cs="宋体"/>
                <w:b w:val="0"/>
                <w:color w:val="auto"/>
                <w:sz w:val="24"/>
                <w:highlight w:val="none"/>
                <w:u w:val="single"/>
              </w:rPr>
              <w:t>法</w:t>
            </w:r>
          </w:p>
        </w:tc>
      </w:tr>
      <w:tr w14:paraId="42D6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noWrap w:val="0"/>
            <w:vAlign w:val="center"/>
          </w:tcPr>
          <w:p w14:paraId="5C2055A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515" w:type="dxa"/>
            <w:noWrap w:val="0"/>
            <w:vAlign w:val="center"/>
          </w:tcPr>
          <w:p w14:paraId="0CE9D2E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lang w:eastAsia="zh-CN"/>
              </w:rPr>
              <w:t>谈判小组</w:t>
            </w:r>
            <w:r>
              <w:rPr>
                <w:rFonts w:hint="eastAsia" w:ascii="宋体" w:hAnsi="宋体" w:eastAsia="宋体" w:cs="宋体"/>
                <w:b w:val="0"/>
                <w:color w:val="auto"/>
                <w:sz w:val="24"/>
                <w:highlight w:val="none"/>
              </w:rPr>
              <w:t>推荐</w:t>
            </w:r>
            <w:r>
              <w:rPr>
                <w:rFonts w:hint="eastAsia" w:ascii="宋体" w:hAnsi="宋体" w:cs="宋体"/>
                <w:b w:val="0"/>
                <w:color w:val="auto"/>
                <w:sz w:val="24"/>
                <w:highlight w:val="none"/>
                <w:lang w:eastAsia="zh-CN"/>
              </w:rPr>
              <w:t>成交候选人</w:t>
            </w:r>
            <w:r>
              <w:rPr>
                <w:rFonts w:hint="eastAsia" w:ascii="宋体" w:hAnsi="宋体" w:eastAsia="宋体" w:cs="宋体"/>
                <w:b w:val="0"/>
                <w:color w:val="auto"/>
                <w:sz w:val="24"/>
                <w:highlight w:val="none"/>
              </w:rPr>
              <w:t>的数量</w:t>
            </w:r>
          </w:p>
        </w:tc>
        <w:tc>
          <w:tcPr>
            <w:tcW w:w="7174" w:type="dxa"/>
            <w:noWrap w:val="0"/>
            <w:vAlign w:val="center"/>
          </w:tcPr>
          <w:p w14:paraId="6711076C">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u w:val="single"/>
                <w:lang w:val="en-US" w:eastAsia="zh-CN"/>
              </w:rPr>
              <w:t>1</w:t>
            </w:r>
            <w:r>
              <w:rPr>
                <w:rFonts w:hint="eastAsia" w:ascii="宋体" w:hAnsi="宋体" w:eastAsia="宋体" w:cs="宋体"/>
                <w:b w:val="0"/>
                <w:color w:val="auto"/>
                <w:sz w:val="24"/>
                <w:highlight w:val="none"/>
                <w:u w:val="single"/>
              </w:rPr>
              <w:t>家</w:t>
            </w:r>
          </w:p>
        </w:tc>
      </w:tr>
      <w:tr w14:paraId="4D0E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noWrap w:val="0"/>
            <w:vAlign w:val="center"/>
          </w:tcPr>
          <w:p w14:paraId="0C1CC8E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15" w:type="dxa"/>
            <w:noWrap w:val="0"/>
            <w:vAlign w:val="center"/>
          </w:tcPr>
          <w:p w14:paraId="3689B645">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代理</w:t>
            </w:r>
            <w:r>
              <w:rPr>
                <w:rFonts w:hint="eastAsia" w:ascii="宋体" w:hAnsi="宋体" w:cs="宋体"/>
                <w:color w:val="auto"/>
                <w:sz w:val="24"/>
                <w:szCs w:val="24"/>
                <w:highlight w:val="none"/>
              </w:rPr>
              <w:t>服务费</w:t>
            </w:r>
          </w:p>
        </w:tc>
        <w:tc>
          <w:tcPr>
            <w:tcW w:w="7174" w:type="dxa"/>
            <w:noWrap w:val="0"/>
            <w:vAlign w:val="center"/>
          </w:tcPr>
          <w:p w14:paraId="0C28BF8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（1）金额：</w:t>
            </w:r>
          </w:p>
          <w:p w14:paraId="5467B26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b w:val="0"/>
                <w:bCs w:val="0"/>
                <w:color w:val="auto"/>
                <w:sz w:val="24"/>
                <w:szCs w:val="24"/>
                <w:highlight w:val="none"/>
              </w:rPr>
              <w:t>□</w:t>
            </w:r>
            <w:r>
              <w:rPr>
                <w:rFonts w:hint="eastAsia" w:ascii="宋体" w:hAnsi="宋体" w:eastAsia="宋体"/>
                <w:b w:val="0"/>
                <w:color w:val="auto"/>
                <w:sz w:val="24"/>
                <w:highlight w:val="none"/>
              </w:rPr>
              <w:t>免收</w:t>
            </w:r>
          </w:p>
          <w:p w14:paraId="6FE81E0D">
            <w:pPr>
              <w:pStyle w:val="31"/>
              <w:widowControl w:val="0"/>
              <w:spacing w:before="0" w:beforeAutospacing="0" w:after="0" w:afterAutospacing="0" w:line="360" w:lineRule="auto"/>
              <w:jc w:val="both"/>
              <w:rPr>
                <w:rFonts w:hint="eastAsia" w:ascii="宋体" w:hAnsi="宋体" w:eastAsia="宋体"/>
                <w:b w:val="0"/>
                <w:bCs/>
                <w:color w:val="auto"/>
                <w:sz w:val="24"/>
                <w:highlight w:val="none"/>
                <w:u w:val="single"/>
                <w:lang w:val="en-US" w:eastAsia="zh-CN"/>
              </w:rPr>
            </w:pPr>
            <w:r>
              <w:rPr>
                <w:rFonts w:hint="eastAsia"/>
                <w:b w:val="0"/>
                <w:bCs/>
                <w:color w:val="auto"/>
                <w:sz w:val="24"/>
                <w:highlight w:val="none"/>
                <w:lang w:eastAsia="zh-CN"/>
              </w:rPr>
              <w:t>☑</w:t>
            </w:r>
            <w:r>
              <w:rPr>
                <w:rFonts w:hint="eastAsia" w:ascii="宋体" w:hAnsi="宋体" w:eastAsia="宋体"/>
                <w:b w:val="0"/>
                <w:bCs/>
                <w:color w:val="auto"/>
                <w:sz w:val="24"/>
                <w:highlight w:val="none"/>
              </w:rPr>
              <w:t>定额收取：人民币</w:t>
            </w:r>
            <w:r>
              <w:rPr>
                <w:rFonts w:hint="eastAsia"/>
                <w:b w:val="0"/>
                <w:bCs/>
                <w:color w:val="auto"/>
                <w:sz w:val="24"/>
                <w:highlight w:val="none"/>
                <w:u w:val="single"/>
                <w:lang w:val="en-US" w:eastAsia="zh-CN"/>
              </w:rPr>
              <w:t xml:space="preserve"> 4000 </w:t>
            </w:r>
            <w:r>
              <w:rPr>
                <w:rFonts w:hint="eastAsia" w:ascii="宋体" w:hAnsi="宋体" w:eastAsia="宋体" w:cs="宋体"/>
                <w:b w:val="0"/>
                <w:bCs/>
                <w:color w:val="auto"/>
                <w:sz w:val="24"/>
                <w:highlight w:val="none"/>
              </w:rPr>
              <w:t>元</w:t>
            </w:r>
          </w:p>
          <w:p w14:paraId="5A0F4B26">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b w:val="0"/>
                <w:color w:val="auto"/>
                <w:sz w:val="24"/>
                <w:highlight w:val="none"/>
                <w:lang w:eastAsia="zh-CN"/>
              </w:rPr>
              <w:t>□</w:t>
            </w:r>
            <w:r>
              <w:rPr>
                <w:rFonts w:hint="eastAsia" w:ascii="宋体" w:hAnsi="宋体" w:eastAsia="宋体"/>
                <w:b w:val="0"/>
                <w:color w:val="auto"/>
                <w:sz w:val="24"/>
                <w:highlight w:val="none"/>
              </w:rPr>
              <w:t>按下列标准收取：</w:t>
            </w:r>
            <w:r>
              <w:rPr>
                <w:rFonts w:hint="eastAsia" w:cs="宋体"/>
                <w:b w:val="0"/>
                <w:bCs w:val="0"/>
                <w:color w:val="auto"/>
                <w:sz w:val="24"/>
                <w:highlight w:val="none"/>
                <w:lang w:eastAsia="zh-CN"/>
              </w:rPr>
              <w:t>代理</w:t>
            </w:r>
            <w:r>
              <w:rPr>
                <w:rFonts w:hint="eastAsia" w:ascii="宋体" w:hAnsi="宋体" w:eastAsia="宋体" w:cs="宋体"/>
                <w:b w:val="0"/>
                <w:bCs w:val="0"/>
                <w:color w:val="auto"/>
                <w:sz w:val="24"/>
                <w:highlight w:val="none"/>
              </w:rPr>
              <w:t>服务收费按差额定率累进法计算。</w:t>
            </w:r>
            <w:r>
              <w:rPr>
                <w:rFonts w:hint="eastAsia" w:ascii="宋体" w:hAnsi="宋体" w:eastAsia="宋体"/>
                <w:b w:val="0"/>
                <w:color w:val="auto"/>
                <w:sz w:val="24"/>
                <w:highlight w:val="none"/>
                <w:u w:val="none"/>
              </w:rPr>
              <w:t>代理服务</w:t>
            </w:r>
            <w:r>
              <w:rPr>
                <w:rFonts w:hint="eastAsia" w:ascii="宋体" w:hAnsi="宋体" w:eastAsia="宋体"/>
                <w:b w:val="0"/>
                <w:color w:val="auto"/>
                <w:sz w:val="24"/>
                <w:highlight w:val="none"/>
                <w:u w:val="none"/>
                <w:lang w:val="en-US" w:eastAsia="zh-CN"/>
              </w:rPr>
              <w:t>费用</w:t>
            </w:r>
            <w:r>
              <w:rPr>
                <w:rFonts w:hint="eastAsia"/>
                <w:b w:val="0"/>
                <w:color w:val="auto"/>
                <w:sz w:val="24"/>
                <w:highlight w:val="none"/>
                <w:u w:val="none"/>
                <w:lang w:val="en-US" w:eastAsia="zh-CN"/>
              </w:rPr>
              <w:t>参审单位</w:t>
            </w:r>
            <w:r>
              <w:rPr>
                <w:rFonts w:hint="eastAsia" w:ascii="宋体" w:hAnsi="宋体" w:eastAsia="宋体"/>
                <w:b w:val="0"/>
                <w:color w:val="auto"/>
                <w:sz w:val="24"/>
                <w:highlight w:val="none"/>
                <w:u w:val="none"/>
                <w:lang w:val="en-US" w:eastAsia="zh-CN"/>
              </w:rPr>
              <w:t>（</w:t>
            </w:r>
            <w:r>
              <w:rPr>
                <w:rFonts w:hint="eastAsia"/>
                <w:b w:val="0"/>
                <w:color w:val="auto"/>
                <w:sz w:val="24"/>
                <w:highlight w:val="none"/>
                <w:u w:val="none"/>
                <w:lang w:val="en-US" w:eastAsia="zh-CN"/>
              </w:rPr>
              <w:t>成交单位</w:t>
            </w:r>
            <w:r>
              <w:rPr>
                <w:rFonts w:hint="eastAsia" w:ascii="宋体" w:hAnsi="宋体" w:eastAsia="宋体"/>
                <w:b w:val="0"/>
                <w:color w:val="auto"/>
                <w:sz w:val="24"/>
                <w:highlight w:val="none"/>
                <w:u w:val="none"/>
                <w:lang w:val="en-US" w:eastAsia="zh-CN"/>
              </w:rPr>
              <w:t>）在报价中不单列，包含在</w:t>
            </w:r>
            <w:r>
              <w:rPr>
                <w:rFonts w:hint="eastAsia"/>
                <w:b w:val="0"/>
                <w:color w:val="auto"/>
                <w:sz w:val="24"/>
                <w:highlight w:val="none"/>
                <w:u w:val="none"/>
                <w:lang w:val="en-US" w:eastAsia="zh-CN"/>
              </w:rPr>
              <w:t>谈判</w:t>
            </w:r>
            <w:r>
              <w:rPr>
                <w:rFonts w:hint="eastAsia" w:ascii="宋体" w:hAnsi="宋体" w:eastAsia="宋体"/>
                <w:b w:val="0"/>
                <w:color w:val="auto"/>
                <w:sz w:val="24"/>
                <w:highlight w:val="none"/>
                <w:u w:val="none"/>
                <w:lang w:val="en-US" w:eastAsia="zh-CN"/>
              </w:rPr>
              <w:t>（响应）报价中</w:t>
            </w:r>
            <w:r>
              <w:rPr>
                <w:rFonts w:hint="eastAsia" w:cs="宋体"/>
                <w:b w:val="0"/>
                <w:bCs w:val="0"/>
                <w:color w:val="auto"/>
                <w:sz w:val="24"/>
                <w:highlight w:val="none"/>
                <w:u w:val="single"/>
              </w:rPr>
              <w:t>（如不足</w:t>
            </w:r>
            <w:r>
              <w:rPr>
                <w:rFonts w:hint="eastAsia" w:cs="宋体"/>
                <w:b w:val="0"/>
                <w:bCs w:val="0"/>
                <w:color w:val="auto"/>
                <w:sz w:val="24"/>
                <w:highlight w:val="none"/>
                <w:u w:val="single"/>
                <w:lang w:val="en-US" w:eastAsia="zh-CN"/>
              </w:rPr>
              <w:t>4</w:t>
            </w:r>
            <w:r>
              <w:rPr>
                <w:rFonts w:hint="eastAsia" w:cs="宋体"/>
                <w:b w:val="0"/>
                <w:bCs w:val="0"/>
                <w:color w:val="auto"/>
                <w:sz w:val="24"/>
                <w:highlight w:val="none"/>
                <w:u w:val="single"/>
              </w:rPr>
              <w:t>000元的，按</w:t>
            </w:r>
            <w:r>
              <w:rPr>
                <w:rFonts w:hint="eastAsia" w:cs="宋体"/>
                <w:b w:val="0"/>
                <w:bCs w:val="0"/>
                <w:color w:val="auto"/>
                <w:sz w:val="24"/>
                <w:highlight w:val="none"/>
                <w:u w:val="single"/>
                <w:lang w:val="en-US" w:eastAsia="zh-CN"/>
              </w:rPr>
              <w:t>4</w:t>
            </w:r>
            <w:r>
              <w:rPr>
                <w:rFonts w:hint="eastAsia" w:cs="宋体"/>
                <w:b w:val="0"/>
                <w:bCs w:val="0"/>
                <w:color w:val="auto"/>
                <w:sz w:val="24"/>
                <w:highlight w:val="none"/>
                <w:u w:val="single"/>
              </w:rPr>
              <w:t>000元收取）</w:t>
            </w:r>
            <w:r>
              <w:rPr>
                <w:rFonts w:hint="eastAsia" w:cs="宋体"/>
                <w:b w:val="0"/>
                <w:bCs w:val="0"/>
                <w:color w:val="auto"/>
                <w:sz w:val="24"/>
                <w:highlight w:val="none"/>
                <w:u w:val="single"/>
                <w:lang w:eastAsia="zh-CN"/>
              </w:rPr>
              <w:t>。</w:t>
            </w:r>
          </w:p>
          <w:p w14:paraId="1AE9FB4C">
            <w:pPr>
              <w:jc w:val="center"/>
              <w:rPr>
                <w:rFonts w:hint="eastAsia" w:ascii="宋体" w:hAnsi="宋体" w:eastAsia="宋体"/>
                <w:b w:val="0"/>
                <w:color w:val="auto"/>
                <w:sz w:val="24"/>
                <w:highlight w:val="none"/>
                <w:u w:val="none"/>
                <w:lang w:val="en-US" w:eastAsia="zh-CN"/>
              </w:rPr>
            </w:pPr>
            <w:r>
              <w:rPr>
                <w:rStyle w:val="26"/>
                <w:rFonts w:hint="eastAsia" w:ascii="宋体" w:hAnsi="宋体" w:cs="宋体"/>
                <w:bCs/>
                <w:color w:val="auto"/>
                <w:sz w:val="24"/>
                <w:highlight w:val="none"/>
                <w:lang w:eastAsia="zh-CN"/>
              </w:rPr>
              <w:t>代理</w:t>
            </w:r>
            <w:r>
              <w:rPr>
                <w:rStyle w:val="26"/>
                <w:rFonts w:hint="eastAsia" w:ascii="宋体" w:hAnsi="宋体" w:eastAsia="宋体" w:cs="宋体"/>
                <w:bCs/>
                <w:color w:val="auto"/>
                <w:sz w:val="24"/>
                <w:highlight w:val="none"/>
              </w:rPr>
              <w:t>服务收费标准</w:t>
            </w:r>
          </w:p>
          <w:tbl>
            <w:tblPr>
              <w:tblStyle w:val="24"/>
              <w:tblW w:w="67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13"/>
              <w:gridCol w:w="1252"/>
              <w:gridCol w:w="1298"/>
              <w:gridCol w:w="1335"/>
            </w:tblGrid>
            <w:tr w14:paraId="2AF46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1E8DE5C5">
                  <w:pPr>
                    <w:spacing w:line="360" w:lineRule="auto"/>
                    <w:jc w:val="center"/>
                    <w:rPr>
                      <w:rFonts w:ascii="宋体" w:hAnsi="宋体" w:eastAsia="宋体" w:cs="宋体"/>
                      <w:b/>
                      <w:bCs/>
                      <w:color w:val="auto"/>
                      <w:sz w:val="24"/>
                      <w:highlight w:val="none"/>
                    </w:rPr>
                  </w:pPr>
                  <w:r>
                    <w:rPr>
                      <w:rFonts w:hint="eastAsia" w:ascii="宋体" w:hAnsi="宋体" w:cs="宋体"/>
                      <w:b/>
                      <w:bCs/>
                      <w:color w:val="auto"/>
                      <w:sz w:val="24"/>
                      <w:highlight w:val="none"/>
                      <w:lang w:eastAsia="zh-CN"/>
                    </w:rPr>
                    <w:t>成交</w:t>
                  </w:r>
                  <w:r>
                    <w:rPr>
                      <w:rFonts w:hint="eastAsia" w:ascii="宋体" w:hAnsi="宋体" w:eastAsia="宋体" w:cs="宋体"/>
                      <w:b/>
                      <w:bCs/>
                      <w:color w:val="auto"/>
                      <w:sz w:val="24"/>
                      <w:highlight w:val="none"/>
                    </w:rPr>
                    <w:t>金额</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3573C5A">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货物</w:t>
                  </w:r>
                  <w:r>
                    <w:rPr>
                      <w:rFonts w:hint="eastAsia" w:ascii="宋体" w:hAnsi="宋体" w:cs="宋体"/>
                      <w:b/>
                      <w:bCs/>
                      <w:color w:val="auto"/>
                      <w:sz w:val="24"/>
                      <w:highlight w:val="none"/>
                      <w:lang w:eastAsia="zh-CN"/>
                    </w:rPr>
                    <w:t>谈判</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F27EF55">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服务</w:t>
                  </w:r>
                  <w:r>
                    <w:rPr>
                      <w:rFonts w:hint="eastAsia" w:ascii="宋体" w:hAnsi="宋体" w:cs="宋体"/>
                      <w:b/>
                      <w:bCs/>
                      <w:color w:val="auto"/>
                      <w:sz w:val="24"/>
                      <w:highlight w:val="none"/>
                      <w:lang w:eastAsia="zh-CN"/>
                    </w:rPr>
                    <w:t>谈判</w:t>
                  </w:r>
                </w:p>
              </w:tc>
              <w:tc>
                <w:tcPr>
                  <w:tcW w:w="1335" w:type="dxa"/>
                  <w:tcBorders>
                    <w:top w:val="single" w:color="auto" w:sz="4" w:space="0"/>
                    <w:left w:val="single" w:color="auto" w:sz="4" w:space="0"/>
                    <w:bottom w:val="single" w:color="auto" w:sz="4" w:space="0"/>
                  </w:tcBorders>
                  <w:noWrap w:val="0"/>
                  <w:vAlign w:val="center"/>
                </w:tcPr>
                <w:p w14:paraId="63481710">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工程</w:t>
                  </w:r>
                  <w:r>
                    <w:rPr>
                      <w:rFonts w:hint="eastAsia" w:ascii="宋体" w:hAnsi="宋体" w:cs="宋体"/>
                      <w:b/>
                      <w:bCs/>
                      <w:color w:val="auto"/>
                      <w:sz w:val="24"/>
                      <w:highlight w:val="none"/>
                      <w:lang w:eastAsia="zh-CN"/>
                    </w:rPr>
                    <w:t>谈判</w:t>
                  </w:r>
                </w:p>
              </w:tc>
            </w:tr>
            <w:tr w14:paraId="48DDC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3D622DF8">
                  <w:pPr>
                    <w:spacing w:line="360" w:lineRule="auto"/>
                    <w:jc w:val="center"/>
                    <w:rPr>
                      <w:rFonts w:hint="eastAsia" w:ascii="宋体" w:hAnsi="宋体" w:eastAsia="宋体" w:cs="宋体"/>
                      <w:bCs/>
                      <w:color w:val="auto"/>
                      <w:sz w:val="24"/>
                      <w:highlight w:val="none"/>
                      <w:lang w:val="en-US" w:eastAsia="zh-CN"/>
                    </w:rPr>
                  </w:pPr>
                  <w:r>
                    <w:rPr>
                      <w:rFonts w:ascii="宋体" w:hAnsi="宋体" w:eastAsia="宋体" w:cs="宋体"/>
                      <w:bCs/>
                      <w:color w:val="auto"/>
                      <w:sz w:val="24"/>
                      <w:highlight w:val="none"/>
                    </w:rPr>
                    <w:t>100</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lang w:val="en-US" w:eastAsia="zh-CN"/>
                    </w:rPr>
                    <w:t xml:space="preserve">以下（含 100 </w:t>
                  </w:r>
                </w:p>
                <w:p w14:paraId="09092E34">
                  <w:pPr>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万元）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058A995">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0DB8EA5">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c>
                <w:tcPr>
                  <w:tcW w:w="1335" w:type="dxa"/>
                  <w:tcBorders>
                    <w:top w:val="single" w:color="auto" w:sz="4" w:space="0"/>
                    <w:left w:val="single" w:color="auto" w:sz="4" w:space="0"/>
                    <w:bottom w:val="single" w:color="auto" w:sz="4" w:space="0"/>
                  </w:tcBorders>
                  <w:noWrap w:val="0"/>
                  <w:vAlign w:val="center"/>
                </w:tcPr>
                <w:p w14:paraId="41EF0988">
                  <w:pPr>
                    <w:spacing w:line="360" w:lineRule="auto"/>
                    <w:jc w:val="center"/>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1.0</w:t>
                  </w:r>
                  <w:r>
                    <w:rPr>
                      <w:rFonts w:ascii="宋体" w:hAnsi="宋体" w:eastAsia="宋体" w:cs="宋体"/>
                      <w:bCs/>
                      <w:color w:val="auto"/>
                      <w:sz w:val="24"/>
                      <w:highlight w:val="none"/>
                    </w:rPr>
                    <w:t>%</w:t>
                  </w:r>
                </w:p>
              </w:tc>
            </w:tr>
            <w:tr w14:paraId="43327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2545CE30">
                  <w:pPr>
                    <w:spacing w:line="360" w:lineRule="auto"/>
                    <w:jc w:val="center"/>
                    <w:rPr>
                      <w:rFonts w:hint="eastAsia" w:ascii="宋体" w:hAnsi="宋体" w:eastAsia="宋体" w:cs="宋体"/>
                      <w:bCs/>
                      <w:color w:val="auto"/>
                      <w:sz w:val="24"/>
                      <w:highlight w:val="none"/>
                      <w:lang w:eastAsia="zh-CN"/>
                    </w:rPr>
                  </w:pPr>
                  <w:r>
                    <w:rPr>
                      <w:rFonts w:ascii="宋体" w:hAnsi="宋体" w:eastAsia="宋体" w:cs="宋体"/>
                      <w:bCs/>
                      <w:color w:val="auto"/>
                      <w:sz w:val="24"/>
                      <w:highlight w:val="none"/>
                    </w:rPr>
                    <w:t>100</w:t>
                  </w:r>
                  <w:r>
                    <w:rPr>
                      <w:rFonts w:hint="eastAsia" w:ascii="宋体" w:hAnsi="宋体" w:eastAsia="宋体" w:cs="宋体"/>
                      <w:bCs/>
                      <w:color w:val="auto"/>
                      <w:sz w:val="24"/>
                      <w:highlight w:val="none"/>
                    </w:rPr>
                    <w:t>万元</w:t>
                  </w:r>
                  <w:r>
                    <w:rPr>
                      <w:rFonts w:ascii="宋体" w:hAnsi="宋体" w:eastAsia="宋体" w:cs="宋体"/>
                      <w:bCs/>
                      <w:color w:val="auto"/>
                      <w:sz w:val="24"/>
                      <w:highlight w:val="none"/>
                    </w:rPr>
                    <w:t>-500</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含500</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lang w:eastAsia="zh-CN"/>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DA5764D">
                  <w:pPr>
                    <w:spacing w:line="360" w:lineRule="auto"/>
                    <w:jc w:val="center"/>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1</w:t>
                  </w:r>
                  <w:r>
                    <w:rPr>
                      <w:rFonts w:ascii="宋体" w:hAnsi="宋体" w:eastAsia="宋体" w:cs="宋体"/>
                      <w:bCs/>
                      <w:color w:val="auto"/>
                      <w:sz w:val="24"/>
                      <w:highlight w:val="none"/>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2C13A3E">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8</w:t>
                  </w:r>
                  <w:r>
                    <w:rPr>
                      <w:rFonts w:ascii="宋体" w:hAnsi="宋体" w:eastAsia="宋体" w:cs="宋体"/>
                      <w:bCs/>
                      <w:color w:val="auto"/>
                      <w:sz w:val="24"/>
                      <w:highlight w:val="none"/>
                    </w:rPr>
                    <w:t>%</w:t>
                  </w:r>
                </w:p>
              </w:tc>
              <w:tc>
                <w:tcPr>
                  <w:tcW w:w="1335" w:type="dxa"/>
                  <w:tcBorders>
                    <w:top w:val="single" w:color="auto" w:sz="4" w:space="0"/>
                    <w:left w:val="single" w:color="auto" w:sz="4" w:space="0"/>
                    <w:bottom w:val="single" w:color="auto" w:sz="4" w:space="0"/>
                  </w:tcBorders>
                  <w:noWrap w:val="0"/>
                  <w:vAlign w:val="center"/>
                </w:tcPr>
                <w:p w14:paraId="7F8BA673">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7</w:t>
                  </w:r>
                  <w:r>
                    <w:rPr>
                      <w:rFonts w:ascii="宋体" w:hAnsi="宋体" w:eastAsia="宋体" w:cs="宋体"/>
                      <w:bCs/>
                      <w:color w:val="auto"/>
                      <w:sz w:val="24"/>
                      <w:highlight w:val="none"/>
                    </w:rPr>
                    <w:t>%</w:t>
                  </w:r>
                </w:p>
              </w:tc>
            </w:tr>
            <w:tr w14:paraId="02C3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2C5827B4">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500</w:t>
                  </w:r>
                  <w:r>
                    <w:rPr>
                      <w:rFonts w:hint="eastAsia" w:ascii="宋体" w:hAnsi="宋体" w:eastAsia="宋体" w:cs="宋体"/>
                      <w:bCs/>
                      <w:color w:val="auto"/>
                      <w:sz w:val="24"/>
                      <w:highlight w:val="none"/>
                    </w:rPr>
                    <w:t>万元</w:t>
                  </w:r>
                  <w:r>
                    <w:rPr>
                      <w:rFonts w:ascii="宋体" w:hAnsi="宋体" w:eastAsia="宋体" w:cs="宋体"/>
                      <w:bCs/>
                      <w:color w:val="auto"/>
                      <w:sz w:val="24"/>
                      <w:highlight w:val="none"/>
                    </w:rPr>
                    <w:t>-1000</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含1000</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lang w:eastAsia="zh-CN"/>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DB028D">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8</w:t>
                  </w:r>
                  <w:r>
                    <w:rPr>
                      <w:rFonts w:ascii="宋体" w:hAnsi="宋体" w:eastAsia="宋体" w:cs="宋体"/>
                      <w:bCs/>
                      <w:color w:val="auto"/>
                      <w:sz w:val="24"/>
                      <w:highlight w:val="none"/>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27B9758">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45</w:t>
                  </w:r>
                  <w:r>
                    <w:rPr>
                      <w:rFonts w:ascii="宋体" w:hAnsi="宋体" w:eastAsia="宋体" w:cs="宋体"/>
                      <w:bCs/>
                      <w:color w:val="auto"/>
                      <w:sz w:val="24"/>
                      <w:highlight w:val="none"/>
                    </w:rPr>
                    <w:t>%</w:t>
                  </w:r>
                </w:p>
              </w:tc>
              <w:tc>
                <w:tcPr>
                  <w:tcW w:w="1335" w:type="dxa"/>
                  <w:tcBorders>
                    <w:top w:val="single" w:color="auto" w:sz="4" w:space="0"/>
                    <w:left w:val="single" w:color="auto" w:sz="4" w:space="0"/>
                    <w:bottom w:val="single" w:color="auto" w:sz="4" w:space="0"/>
                  </w:tcBorders>
                  <w:noWrap w:val="0"/>
                  <w:vAlign w:val="center"/>
                </w:tcPr>
                <w:p w14:paraId="63F189FF">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55</w:t>
                  </w:r>
                  <w:r>
                    <w:rPr>
                      <w:rFonts w:ascii="宋体" w:hAnsi="宋体" w:eastAsia="宋体" w:cs="宋体"/>
                      <w:bCs/>
                      <w:color w:val="auto"/>
                      <w:sz w:val="24"/>
                      <w:highlight w:val="none"/>
                    </w:rPr>
                    <w:t>%</w:t>
                  </w:r>
                </w:p>
              </w:tc>
            </w:tr>
            <w:tr w14:paraId="7FF8F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1DCA01BF">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1000</w:t>
                  </w:r>
                  <w:r>
                    <w:rPr>
                      <w:rFonts w:hint="eastAsia" w:ascii="宋体" w:hAnsi="宋体" w:eastAsia="宋体" w:cs="宋体"/>
                      <w:bCs/>
                      <w:color w:val="auto"/>
                      <w:sz w:val="24"/>
                      <w:highlight w:val="none"/>
                    </w:rPr>
                    <w:t>万元</w:t>
                  </w:r>
                  <w:r>
                    <w:rPr>
                      <w:rFonts w:ascii="宋体" w:hAnsi="宋体" w:eastAsia="宋体" w:cs="宋体"/>
                      <w:bCs/>
                      <w:color w:val="auto"/>
                      <w:sz w:val="24"/>
                      <w:highlight w:val="none"/>
                    </w:rPr>
                    <w:t>-5000</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含5000</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lang w:eastAsia="zh-CN"/>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895F204">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F0A3527">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0.2</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c>
                <w:tcPr>
                  <w:tcW w:w="1335" w:type="dxa"/>
                  <w:tcBorders>
                    <w:top w:val="single" w:color="auto" w:sz="4" w:space="0"/>
                    <w:left w:val="single" w:color="auto" w:sz="4" w:space="0"/>
                    <w:bottom w:val="single" w:color="auto" w:sz="4" w:space="0"/>
                  </w:tcBorders>
                  <w:noWrap w:val="0"/>
                  <w:vAlign w:val="center"/>
                </w:tcPr>
                <w:p w14:paraId="3A6DA1DD">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35</w:t>
                  </w:r>
                  <w:r>
                    <w:rPr>
                      <w:rFonts w:ascii="宋体" w:hAnsi="宋体" w:eastAsia="宋体" w:cs="宋体"/>
                      <w:bCs/>
                      <w:color w:val="auto"/>
                      <w:sz w:val="24"/>
                      <w:highlight w:val="none"/>
                    </w:rPr>
                    <w:t>%</w:t>
                  </w:r>
                </w:p>
              </w:tc>
            </w:tr>
            <w:tr w14:paraId="629AF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50CD1FC1">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5000</w:t>
                  </w:r>
                  <w:r>
                    <w:rPr>
                      <w:rFonts w:hint="eastAsia" w:ascii="宋体" w:hAnsi="宋体" w:eastAsia="宋体" w:cs="宋体"/>
                      <w:bCs/>
                      <w:color w:val="auto"/>
                      <w:sz w:val="24"/>
                      <w:highlight w:val="none"/>
                    </w:rPr>
                    <w:t>万元</w:t>
                  </w:r>
                  <w:r>
                    <w:rPr>
                      <w:rFonts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亿元</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含</w:t>
                  </w:r>
                  <w:r>
                    <w:rPr>
                      <w:rFonts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亿元</w:t>
                  </w:r>
                  <w:r>
                    <w:rPr>
                      <w:rFonts w:hint="eastAsia" w:ascii="宋体" w:hAnsi="宋体" w:eastAsia="宋体" w:cs="宋体"/>
                      <w:bCs/>
                      <w:color w:val="auto"/>
                      <w:sz w:val="24"/>
                      <w:highlight w:val="none"/>
                      <w:lang w:eastAsia="zh-CN"/>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EE02FEA">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0.2</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E0452BC">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1</w:t>
                  </w:r>
                  <w:r>
                    <w:rPr>
                      <w:rFonts w:ascii="宋体" w:hAnsi="宋体" w:eastAsia="宋体" w:cs="宋体"/>
                      <w:bCs/>
                      <w:color w:val="auto"/>
                      <w:sz w:val="24"/>
                      <w:highlight w:val="none"/>
                    </w:rPr>
                    <w:t>%</w:t>
                  </w:r>
                </w:p>
              </w:tc>
              <w:tc>
                <w:tcPr>
                  <w:tcW w:w="1335" w:type="dxa"/>
                  <w:tcBorders>
                    <w:top w:val="single" w:color="auto" w:sz="4" w:space="0"/>
                    <w:left w:val="single" w:color="auto" w:sz="4" w:space="0"/>
                    <w:bottom w:val="single" w:color="auto" w:sz="4" w:space="0"/>
                  </w:tcBorders>
                  <w:noWrap w:val="0"/>
                  <w:vAlign w:val="center"/>
                </w:tcPr>
                <w:p w14:paraId="63FF702F">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w:t>
                  </w:r>
                  <w:r>
                    <w:rPr>
                      <w:rFonts w:hint="eastAsia" w:ascii="宋体" w:hAnsi="宋体" w:eastAsia="宋体" w:cs="宋体"/>
                      <w:bCs/>
                      <w:color w:val="auto"/>
                      <w:sz w:val="24"/>
                      <w:highlight w:val="none"/>
                      <w:lang w:val="en-US" w:eastAsia="zh-CN"/>
                    </w:rPr>
                    <w:t>2</w:t>
                  </w:r>
                  <w:r>
                    <w:rPr>
                      <w:rFonts w:ascii="宋体" w:hAnsi="宋体" w:eastAsia="宋体" w:cs="宋体"/>
                      <w:bCs/>
                      <w:color w:val="auto"/>
                      <w:sz w:val="24"/>
                      <w:highlight w:val="none"/>
                    </w:rPr>
                    <w:t>%</w:t>
                  </w:r>
                </w:p>
              </w:tc>
            </w:tr>
            <w:tr w14:paraId="0666D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37477CDC">
                  <w:pPr>
                    <w:spacing w:line="360" w:lineRule="auto"/>
                    <w:jc w:val="center"/>
                    <w:rPr>
                      <w:rFonts w:hint="eastAsia" w:ascii="宋体" w:hAnsi="宋体" w:eastAsia="宋体" w:cs="宋体"/>
                      <w:bCs/>
                      <w:color w:val="auto"/>
                      <w:sz w:val="24"/>
                      <w:highlight w:val="none"/>
                      <w:lang w:val="en-US" w:eastAsia="zh-CN"/>
                    </w:rPr>
                  </w:pPr>
                  <w:r>
                    <w:rPr>
                      <w:rFonts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亿元</w:t>
                  </w:r>
                  <w:r>
                    <w:rPr>
                      <w:rFonts w:ascii="宋体" w:hAnsi="宋体" w:eastAsia="宋体" w:cs="宋体"/>
                      <w:bCs/>
                      <w:color w:val="auto"/>
                      <w:sz w:val="24"/>
                      <w:highlight w:val="none"/>
                    </w:rPr>
                    <w:t>-10</w:t>
                  </w:r>
                  <w:r>
                    <w:rPr>
                      <w:rFonts w:hint="eastAsia" w:ascii="宋体" w:hAnsi="宋体" w:eastAsia="宋体" w:cs="宋体"/>
                      <w:bCs/>
                      <w:color w:val="auto"/>
                      <w:sz w:val="24"/>
                      <w:highlight w:val="none"/>
                      <w:lang w:val="en-US" w:eastAsia="zh-CN"/>
                    </w:rPr>
                    <w:t xml:space="preserve">亿元（含 </w:t>
                  </w:r>
                </w:p>
                <w:p w14:paraId="15AF7A07">
                  <w:pPr>
                    <w:spacing w:line="360" w:lineRule="auto"/>
                    <w:jc w:val="center"/>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10 亿元）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6C34506">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0.0</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4F4425">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0.0</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c>
                <w:tcPr>
                  <w:tcW w:w="1335" w:type="dxa"/>
                  <w:tcBorders>
                    <w:top w:val="single" w:color="auto" w:sz="4" w:space="0"/>
                    <w:left w:val="single" w:color="auto" w:sz="4" w:space="0"/>
                    <w:bottom w:val="single" w:color="auto" w:sz="4" w:space="0"/>
                  </w:tcBorders>
                  <w:noWrap w:val="0"/>
                  <w:vAlign w:val="center"/>
                </w:tcPr>
                <w:p w14:paraId="7D7F9977">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0.0</w:t>
                  </w: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w:t>
                  </w:r>
                </w:p>
              </w:tc>
            </w:tr>
            <w:tr w14:paraId="79AC1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auto" w:sz="4" w:space="0"/>
                    <w:bottom w:val="single" w:color="auto" w:sz="4" w:space="0"/>
                    <w:right w:val="single" w:color="auto" w:sz="4" w:space="0"/>
                  </w:tcBorders>
                  <w:noWrap w:val="0"/>
                  <w:vAlign w:val="center"/>
                </w:tcPr>
                <w:p w14:paraId="2ECE0A23">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10</w:t>
                  </w:r>
                  <w:r>
                    <w:rPr>
                      <w:rFonts w:hint="eastAsia" w:ascii="宋体" w:hAnsi="宋体" w:eastAsia="宋体" w:cs="宋体"/>
                      <w:bCs/>
                      <w:color w:val="auto"/>
                      <w:sz w:val="24"/>
                      <w:highlight w:val="none"/>
                      <w:lang w:val="en-US" w:eastAsia="zh-CN"/>
                    </w:rPr>
                    <w:t>亿元</w:t>
                  </w:r>
                  <w:r>
                    <w:rPr>
                      <w:rFonts w:hint="eastAsia" w:ascii="宋体" w:hAnsi="宋体" w:eastAsia="宋体" w:cs="宋体"/>
                      <w:bCs/>
                      <w:color w:val="auto"/>
                      <w:sz w:val="24"/>
                      <w:highlight w:val="none"/>
                    </w:rPr>
                    <w:t>以上</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FC4599A">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0.0</w:t>
                  </w:r>
                  <w:r>
                    <w:rPr>
                      <w:rFonts w:hint="eastAsia" w:ascii="宋体" w:hAnsi="宋体" w:eastAsia="宋体" w:cs="宋体"/>
                      <w:bCs/>
                      <w:color w:val="auto"/>
                      <w:sz w:val="24"/>
                      <w:highlight w:val="none"/>
                      <w:lang w:val="en-US" w:eastAsia="zh-CN"/>
                    </w:rPr>
                    <w:t>1</w:t>
                  </w:r>
                  <w:r>
                    <w:rPr>
                      <w:rFonts w:ascii="宋体" w:hAnsi="宋体" w:eastAsia="宋体" w:cs="宋体"/>
                      <w:bCs/>
                      <w:color w:val="auto"/>
                      <w:sz w:val="24"/>
                      <w:highlight w:val="none"/>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87D026">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0.0</w:t>
                  </w:r>
                  <w:r>
                    <w:rPr>
                      <w:rFonts w:hint="eastAsia" w:ascii="宋体" w:hAnsi="宋体" w:eastAsia="宋体" w:cs="宋体"/>
                      <w:bCs/>
                      <w:color w:val="auto"/>
                      <w:sz w:val="24"/>
                      <w:highlight w:val="none"/>
                      <w:lang w:val="en-US" w:eastAsia="zh-CN"/>
                    </w:rPr>
                    <w:t>1</w:t>
                  </w:r>
                  <w:r>
                    <w:rPr>
                      <w:rFonts w:ascii="宋体" w:hAnsi="宋体" w:eastAsia="宋体" w:cs="宋体"/>
                      <w:bCs/>
                      <w:color w:val="auto"/>
                      <w:sz w:val="24"/>
                      <w:highlight w:val="none"/>
                    </w:rPr>
                    <w:t>%</w:t>
                  </w:r>
                </w:p>
              </w:tc>
              <w:tc>
                <w:tcPr>
                  <w:tcW w:w="1335" w:type="dxa"/>
                  <w:tcBorders>
                    <w:top w:val="single" w:color="auto" w:sz="4" w:space="0"/>
                    <w:left w:val="single" w:color="auto" w:sz="4" w:space="0"/>
                    <w:bottom w:val="single" w:color="auto" w:sz="4" w:space="0"/>
                  </w:tcBorders>
                  <w:noWrap w:val="0"/>
                  <w:vAlign w:val="center"/>
                </w:tcPr>
                <w:p w14:paraId="3226007A">
                  <w:pPr>
                    <w:spacing w:line="360" w:lineRule="auto"/>
                    <w:jc w:val="center"/>
                    <w:rPr>
                      <w:rFonts w:ascii="宋体" w:hAnsi="宋体" w:eastAsia="宋体" w:cs="宋体"/>
                      <w:bCs/>
                      <w:color w:val="auto"/>
                      <w:sz w:val="24"/>
                      <w:highlight w:val="none"/>
                    </w:rPr>
                  </w:pPr>
                  <w:r>
                    <w:rPr>
                      <w:rFonts w:ascii="宋体" w:hAnsi="宋体" w:eastAsia="宋体" w:cs="宋体"/>
                      <w:bCs/>
                      <w:color w:val="auto"/>
                      <w:sz w:val="24"/>
                      <w:highlight w:val="none"/>
                    </w:rPr>
                    <w:t>0.0</w:t>
                  </w:r>
                  <w:r>
                    <w:rPr>
                      <w:rFonts w:hint="eastAsia" w:ascii="宋体" w:hAnsi="宋体" w:eastAsia="宋体" w:cs="宋体"/>
                      <w:bCs/>
                      <w:color w:val="auto"/>
                      <w:sz w:val="24"/>
                      <w:highlight w:val="none"/>
                      <w:lang w:val="en-US" w:eastAsia="zh-CN"/>
                    </w:rPr>
                    <w:t>1</w:t>
                  </w:r>
                  <w:r>
                    <w:rPr>
                      <w:rFonts w:ascii="宋体" w:hAnsi="宋体" w:eastAsia="宋体" w:cs="宋体"/>
                      <w:bCs/>
                      <w:color w:val="auto"/>
                      <w:sz w:val="24"/>
                      <w:highlight w:val="none"/>
                    </w:rPr>
                    <w:t>%</w:t>
                  </w:r>
                </w:p>
              </w:tc>
            </w:tr>
          </w:tbl>
          <w:p w14:paraId="4638968E">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代理</w:t>
            </w:r>
            <w:r>
              <w:rPr>
                <w:rFonts w:hint="eastAsia" w:ascii="宋体" w:hAnsi="宋体" w:eastAsia="宋体" w:cs="宋体"/>
                <w:color w:val="auto"/>
                <w:sz w:val="24"/>
                <w:highlight w:val="none"/>
              </w:rPr>
              <w:t>服务收费按差额定率累进法计算。例如：某服务</w:t>
            </w:r>
            <w:r>
              <w:rPr>
                <w:rFonts w:hint="eastAsia" w:ascii="宋体" w:hAnsi="宋体" w:cs="宋体"/>
                <w:color w:val="auto"/>
                <w:sz w:val="24"/>
                <w:highlight w:val="none"/>
                <w:lang w:eastAsia="zh-CN"/>
              </w:rPr>
              <w:t>代理</w:t>
            </w:r>
            <w:r>
              <w:rPr>
                <w:rFonts w:hint="eastAsia" w:ascii="宋体" w:hAnsi="宋体" w:eastAsia="宋体" w:cs="宋体"/>
                <w:color w:val="auto"/>
                <w:sz w:val="24"/>
                <w:highlight w:val="none"/>
              </w:rPr>
              <w:t>业务</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金额为</w:t>
            </w:r>
            <w:r>
              <w:rPr>
                <w:rFonts w:ascii="宋体" w:hAnsi="宋体" w:eastAsia="宋体" w:cs="宋体"/>
                <w:color w:val="auto"/>
                <w:sz w:val="24"/>
                <w:highlight w:val="none"/>
              </w:rPr>
              <w:t>6000</w:t>
            </w:r>
            <w:r>
              <w:rPr>
                <w:rFonts w:hint="eastAsia" w:ascii="宋体" w:hAnsi="宋体" w:eastAsia="宋体" w:cs="宋体"/>
                <w:color w:val="auto"/>
                <w:sz w:val="24"/>
                <w:highlight w:val="none"/>
              </w:rPr>
              <w:t>万元，计算</w:t>
            </w:r>
            <w:r>
              <w:rPr>
                <w:rFonts w:hint="eastAsia" w:ascii="宋体" w:hAnsi="宋体" w:cs="宋体"/>
                <w:color w:val="auto"/>
                <w:sz w:val="24"/>
                <w:highlight w:val="none"/>
                <w:lang w:eastAsia="zh-CN"/>
              </w:rPr>
              <w:t>代理</w:t>
            </w:r>
            <w:r>
              <w:rPr>
                <w:rFonts w:hint="eastAsia" w:ascii="宋体" w:hAnsi="宋体" w:eastAsia="宋体" w:cs="宋体"/>
                <w:color w:val="auto"/>
                <w:sz w:val="24"/>
                <w:highlight w:val="none"/>
              </w:rPr>
              <w:t>服务费额如下：</w:t>
            </w:r>
          </w:p>
          <w:p w14:paraId="44906988">
            <w:pPr>
              <w:spacing w:line="360" w:lineRule="auto"/>
              <w:ind w:firstLine="437"/>
              <w:outlineLvl w:val="2"/>
              <w:rPr>
                <w:rFonts w:hint="eastAsia" w:ascii="宋体" w:hAnsi="宋体" w:eastAsia="宋体" w:cs="宋体"/>
                <w:color w:val="auto"/>
                <w:sz w:val="24"/>
                <w:highlight w:val="none"/>
              </w:rPr>
            </w:pPr>
            <w:bookmarkStart w:id="19" w:name="_Toc13136"/>
            <w:bookmarkStart w:id="20" w:name="_Toc28388"/>
            <w:r>
              <w:rPr>
                <w:rFonts w:hint="eastAsia" w:ascii="宋体" w:hAnsi="宋体" w:eastAsia="宋体" w:cs="宋体"/>
                <w:color w:val="auto"/>
                <w:sz w:val="24"/>
                <w:highlight w:val="none"/>
              </w:rPr>
              <w:t>100万元×1.5％＝1.5万元</w:t>
            </w:r>
            <w:bookmarkEnd w:id="19"/>
            <w:bookmarkEnd w:id="20"/>
          </w:p>
          <w:p w14:paraId="04E39860">
            <w:pPr>
              <w:spacing w:line="360" w:lineRule="auto"/>
              <w:ind w:firstLine="437"/>
              <w:outlineLvl w:val="2"/>
              <w:rPr>
                <w:rFonts w:hint="eastAsia" w:ascii="宋体" w:hAnsi="宋体" w:eastAsia="宋体" w:cs="宋体"/>
                <w:color w:val="auto"/>
                <w:sz w:val="24"/>
                <w:highlight w:val="none"/>
              </w:rPr>
            </w:pPr>
            <w:bookmarkStart w:id="21" w:name="_Toc20145"/>
            <w:bookmarkStart w:id="22" w:name="_Toc3722"/>
            <w:r>
              <w:rPr>
                <w:rFonts w:hint="eastAsia" w:ascii="宋体" w:hAnsi="宋体" w:eastAsia="宋体" w:cs="宋体"/>
                <w:color w:val="auto"/>
                <w:sz w:val="24"/>
                <w:highlight w:val="none"/>
              </w:rPr>
              <w:t>（500－100）万元×0.8％＝3.2万元</w:t>
            </w:r>
            <w:bookmarkEnd w:id="21"/>
            <w:bookmarkEnd w:id="22"/>
          </w:p>
          <w:p w14:paraId="069780BF">
            <w:pPr>
              <w:spacing w:line="360" w:lineRule="auto"/>
              <w:ind w:firstLine="437"/>
              <w:outlineLvl w:val="2"/>
              <w:rPr>
                <w:rFonts w:hint="eastAsia" w:ascii="宋体" w:hAnsi="宋体" w:eastAsia="宋体" w:cs="宋体"/>
                <w:color w:val="auto"/>
                <w:sz w:val="24"/>
                <w:highlight w:val="none"/>
              </w:rPr>
            </w:pPr>
            <w:bookmarkStart w:id="23" w:name="_Toc7610"/>
            <w:bookmarkStart w:id="24" w:name="_Toc19924"/>
            <w:r>
              <w:rPr>
                <w:rFonts w:hint="eastAsia" w:ascii="宋体" w:hAnsi="宋体" w:eastAsia="宋体" w:cs="宋体"/>
                <w:color w:val="auto"/>
                <w:sz w:val="24"/>
                <w:highlight w:val="none"/>
              </w:rPr>
              <w:t>（1000－500）万元×0.45％＝2.25万元</w:t>
            </w:r>
            <w:bookmarkEnd w:id="23"/>
            <w:bookmarkEnd w:id="24"/>
          </w:p>
          <w:p w14:paraId="27483830">
            <w:pPr>
              <w:spacing w:line="360" w:lineRule="auto"/>
              <w:ind w:firstLine="437"/>
              <w:outlineLvl w:val="2"/>
              <w:rPr>
                <w:rFonts w:hint="eastAsia" w:ascii="宋体" w:hAnsi="宋体" w:eastAsia="宋体" w:cs="宋体"/>
                <w:color w:val="auto"/>
                <w:sz w:val="24"/>
                <w:highlight w:val="none"/>
              </w:rPr>
            </w:pPr>
            <w:bookmarkStart w:id="25" w:name="_Toc26818"/>
            <w:bookmarkStart w:id="26" w:name="_Toc27449"/>
            <w:r>
              <w:rPr>
                <w:rFonts w:hint="eastAsia" w:ascii="宋体" w:hAnsi="宋体" w:eastAsia="宋体" w:cs="宋体"/>
                <w:color w:val="auto"/>
                <w:sz w:val="24"/>
                <w:highlight w:val="none"/>
              </w:rPr>
              <w:t>（5000－1000）万元×0.25％＝10万元</w:t>
            </w:r>
            <w:bookmarkEnd w:id="25"/>
            <w:bookmarkEnd w:id="26"/>
          </w:p>
          <w:p w14:paraId="319AFE5F">
            <w:pPr>
              <w:spacing w:line="360" w:lineRule="auto"/>
              <w:ind w:firstLine="437"/>
              <w:outlineLvl w:val="2"/>
              <w:rPr>
                <w:rFonts w:hint="eastAsia" w:ascii="宋体" w:hAnsi="宋体" w:eastAsia="宋体" w:cs="宋体"/>
                <w:color w:val="auto"/>
                <w:sz w:val="24"/>
                <w:highlight w:val="none"/>
              </w:rPr>
            </w:pPr>
            <w:bookmarkStart w:id="27" w:name="_Toc8013"/>
            <w:bookmarkStart w:id="28" w:name="_Toc19535"/>
            <w:r>
              <w:rPr>
                <w:rFonts w:hint="eastAsia" w:ascii="宋体" w:hAnsi="宋体" w:eastAsia="宋体" w:cs="宋体"/>
                <w:color w:val="auto"/>
                <w:sz w:val="24"/>
                <w:highlight w:val="none"/>
              </w:rPr>
              <w:t>（6000－5000）万元×0.1％＝1万元</w:t>
            </w:r>
            <w:bookmarkEnd w:id="27"/>
            <w:bookmarkEnd w:id="28"/>
          </w:p>
          <w:p w14:paraId="79548FA4">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cs="宋体"/>
                <w:color w:val="auto"/>
                <w:sz w:val="24"/>
                <w:highlight w:val="none"/>
              </w:rPr>
              <w:t>合计收费＝1.5＋3.2＋2.25＋10＋1＝17.95(万元)</w:t>
            </w:r>
          </w:p>
          <w:p w14:paraId="7FEE84A1">
            <w:pPr>
              <w:pStyle w:val="31"/>
              <w:widowControl w:val="0"/>
              <w:numPr>
                <w:ilvl w:val="0"/>
                <w:numId w:val="0"/>
              </w:numPr>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支付方式：</w:t>
            </w:r>
            <w:r>
              <w:rPr>
                <w:rFonts w:ascii="宋体" w:hAnsi="宋体" w:eastAsia="宋体"/>
                <w:b w:val="0"/>
                <w:color w:val="auto"/>
                <w:sz w:val="24"/>
                <w:highlight w:val="none"/>
              </w:rPr>
              <w:sym w:font="Wingdings 2" w:char="0052"/>
            </w:r>
            <w:r>
              <w:rPr>
                <w:rFonts w:ascii="宋体" w:hAnsi="宋体" w:eastAsia="宋体"/>
                <w:b w:val="0"/>
                <w:color w:val="auto"/>
                <w:sz w:val="24"/>
                <w:highlight w:val="none"/>
              </w:rPr>
              <w:t>转账/电汇</w:t>
            </w:r>
          </w:p>
          <w:p w14:paraId="42009313">
            <w:pPr>
              <w:pStyle w:val="31"/>
              <w:widowControl w:val="0"/>
              <w:numPr>
                <w:ilvl w:val="0"/>
                <w:numId w:val="0"/>
              </w:numPr>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（3）</w:t>
            </w:r>
            <w:r>
              <w:rPr>
                <w:rFonts w:hint="eastAsia" w:ascii="宋体" w:hAnsi="宋体" w:eastAsia="宋体"/>
                <w:b w:val="0"/>
                <w:color w:val="auto"/>
                <w:sz w:val="24"/>
                <w:highlight w:val="none"/>
              </w:rPr>
              <w:t>收取单位：</w:t>
            </w:r>
            <w:r>
              <w:rPr>
                <w:rFonts w:hint="eastAsia"/>
                <w:b w:val="0"/>
                <w:color w:val="auto"/>
                <w:sz w:val="24"/>
                <w:highlight w:val="none"/>
                <w:u w:val="single"/>
                <w:lang w:eastAsia="zh-CN"/>
              </w:rPr>
              <w:t>肥西县公共资源交易有限责任公司</w:t>
            </w:r>
          </w:p>
          <w:p w14:paraId="23F40324">
            <w:pPr>
              <w:pStyle w:val="31"/>
              <w:widowControl w:val="0"/>
              <w:numPr>
                <w:ilvl w:val="0"/>
                <w:numId w:val="0"/>
              </w:numPr>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缴纳单位：本项目</w:t>
            </w:r>
            <w:r>
              <w:rPr>
                <w:rFonts w:hint="eastAsia"/>
                <w:b w:val="0"/>
                <w:color w:val="auto"/>
                <w:sz w:val="24"/>
                <w:highlight w:val="none"/>
                <w:lang w:val="en-US" w:eastAsia="zh-CN"/>
              </w:rPr>
              <w:t>成交单位</w:t>
            </w:r>
          </w:p>
          <w:p w14:paraId="1123D336">
            <w:pPr>
              <w:pStyle w:val="31"/>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b w:val="0"/>
                <w:color w:val="auto"/>
                <w:sz w:val="24"/>
                <w:highlight w:val="none"/>
                <w:lang w:val="en-US" w:eastAsia="zh-CN"/>
              </w:rPr>
              <w:t>（5）缴纳时间：</w:t>
            </w:r>
            <w:r>
              <w:rPr>
                <w:rFonts w:hint="eastAsia" w:ascii="宋体" w:hAnsi="宋体" w:eastAsia="宋体"/>
                <w:b w:val="0"/>
                <w:color w:val="auto"/>
                <w:sz w:val="24"/>
                <w:highlight w:val="none"/>
                <w:u w:val="single"/>
                <w:lang w:val="en-US" w:eastAsia="zh-CN"/>
              </w:rPr>
              <w:t>通知书发放后三个工作日内</w:t>
            </w:r>
          </w:p>
        </w:tc>
      </w:tr>
      <w:tr w14:paraId="6DCE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noWrap w:val="0"/>
            <w:vAlign w:val="center"/>
          </w:tcPr>
          <w:p w14:paraId="103DB65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15" w:type="dxa"/>
            <w:noWrap w:val="0"/>
            <w:vAlign w:val="center"/>
          </w:tcPr>
          <w:p w14:paraId="18A21803">
            <w:pPr>
              <w:pStyle w:val="31"/>
              <w:widowControl w:val="0"/>
              <w:spacing w:before="0" w:beforeAutospacing="0" w:after="0" w:afterAutospacing="0" w:line="360" w:lineRule="auto"/>
              <w:jc w:val="both"/>
              <w:rPr>
                <w:rFonts w:hint="default" w:ascii="宋体" w:hAnsi="宋体" w:eastAsia="宋体" w:cs="宋体"/>
                <w:bCs/>
                <w:color w:val="auto"/>
                <w:sz w:val="24"/>
                <w:szCs w:val="24"/>
                <w:highlight w:val="none"/>
                <w:lang w:val="en-US" w:eastAsia="zh-CN"/>
              </w:rPr>
            </w:pPr>
            <w:r>
              <w:rPr>
                <w:rFonts w:hint="eastAsia" w:cs="宋体"/>
                <w:b w:val="0"/>
                <w:color w:val="auto"/>
                <w:sz w:val="24"/>
                <w:highlight w:val="none"/>
              </w:rPr>
              <w:t>履约保证金</w:t>
            </w:r>
          </w:p>
        </w:tc>
        <w:tc>
          <w:tcPr>
            <w:tcW w:w="7174" w:type="dxa"/>
            <w:noWrap w:val="0"/>
            <w:vAlign w:val="center"/>
          </w:tcPr>
          <w:p w14:paraId="7B6287CD">
            <w:pPr>
              <w:pStyle w:val="31"/>
              <w:widowControl w:val="0"/>
              <w:spacing w:before="0" w:beforeLines="0" w:beforeAutospacing="0" w:after="0" w:afterLines="0" w:afterAutospacing="0" w:line="360" w:lineRule="auto"/>
              <w:jc w:val="both"/>
              <w:rPr>
                <w:rFonts w:hint="eastAsia" w:ascii="宋体" w:hAnsi="宋体" w:eastAsia="宋体" w:cs="宋体"/>
                <w:bCs/>
                <w:color w:val="auto"/>
                <w:sz w:val="24"/>
                <w:szCs w:val="24"/>
                <w:highlight w:val="none"/>
              </w:rPr>
            </w:pPr>
            <w:r>
              <w:rPr>
                <w:rFonts w:hint="eastAsia" w:ascii="宋体" w:hAnsi="宋体" w:eastAsia="宋体" w:cs="宋体"/>
                <w:b w:val="0"/>
                <w:bCs/>
                <w:color w:val="auto"/>
                <w:sz w:val="24"/>
                <w:highlight w:val="none"/>
              </w:rPr>
              <w:sym w:font="Wingdings 2" w:char="0052"/>
            </w:r>
            <w:r>
              <w:rPr>
                <w:rFonts w:hint="eastAsia" w:ascii="宋体" w:hAnsi="宋体" w:eastAsia="宋体" w:cs="宋体"/>
                <w:b w:val="0"/>
                <w:bCs/>
                <w:color w:val="auto"/>
                <w:sz w:val="24"/>
                <w:highlight w:val="none"/>
              </w:rPr>
              <w:t>不收取</w:t>
            </w:r>
          </w:p>
        </w:tc>
      </w:tr>
      <w:tr w14:paraId="1B6E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noWrap w:val="0"/>
            <w:vAlign w:val="center"/>
          </w:tcPr>
          <w:p w14:paraId="5A16B628">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15" w:type="dxa"/>
            <w:noWrap w:val="0"/>
            <w:vAlign w:val="center"/>
          </w:tcPr>
          <w:p w14:paraId="16AAFFC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本项目提供除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文件以外的其他资料</w:t>
            </w:r>
          </w:p>
        </w:tc>
        <w:tc>
          <w:tcPr>
            <w:tcW w:w="7174" w:type="dxa"/>
            <w:noWrap w:val="0"/>
            <w:vAlign w:val="center"/>
          </w:tcPr>
          <w:p w14:paraId="0A6EA5C7">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sym w:font="Wingdings" w:char="F0FE"/>
            </w:r>
            <w:r>
              <w:rPr>
                <w:rFonts w:hint="eastAsia" w:ascii="宋体" w:hAnsi="宋体" w:eastAsia="宋体" w:cs="宋体"/>
                <w:b/>
                <w:color w:val="auto"/>
                <w:sz w:val="24"/>
                <w:szCs w:val="24"/>
                <w:highlight w:val="none"/>
              </w:rPr>
              <w:t>无</w:t>
            </w:r>
          </w:p>
        </w:tc>
      </w:tr>
      <w:tr w14:paraId="5881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5" w:type="dxa"/>
            <w:noWrap w:val="0"/>
            <w:vAlign w:val="center"/>
          </w:tcPr>
          <w:p w14:paraId="0B66F3C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515" w:type="dxa"/>
            <w:noWrap w:val="0"/>
            <w:vAlign w:val="center"/>
          </w:tcPr>
          <w:p w14:paraId="76572F6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本地化服务</w:t>
            </w:r>
          </w:p>
        </w:tc>
        <w:tc>
          <w:tcPr>
            <w:tcW w:w="7174" w:type="dxa"/>
            <w:noWrap w:val="0"/>
            <w:vAlign w:val="center"/>
          </w:tcPr>
          <w:p w14:paraId="61B45561">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本项目是否要求本地化服务能力：</w:t>
            </w:r>
            <w:r>
              <w:rPr>
                <w:rFonts w:hint="eastAsia" w:ascii="宋体" w:hAnsi="宋体" w:eastAsia="宋体" w:cs="宋体"/>
                <w:b/>
                <w:bCs/>
                <w:color w:val="auto"/>
                <w:sz w:val="24"/>
                <w:szCs w:val="24"/>
                <w:highlight w:val="none"/>
              </w:rPr>
              <w:t>□要求</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sym w:font="Wingdings" w:char="F0FE"/>
            </w:r>
            <w:r>
              <w:rPr>
                <w:rFonts w:hint="eastAsia" w:ascii="宋体" w:hAnsi="宋体" w:eastAsia="宋体" w:cs="宋体"/>
                <w:b/>
                <w:color w:val="auto"/>
                <w:sz w:val="24"/>
                <w:szCs w:val="24"/>
                <w:highlight w:val="none"/>
              </w:rPr>
              <w:t>不要求</w:t>
            </w:r>
          </w:p>
          <w:p w14:paraId="4CF93799">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本地化服务的能力是指具有下列条件之一：</w:t>
            </w:r>
          </w:p>
          <w:p w14:paraId="6ABB0FDD">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1）在本地具有固定的办公场所及人员；</w:t>
            </w:r>
          </w:p>
          <w:p w14:paraId="21B9F127">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在本地注册成立的；</w:t>
            </w:r>
          </w:p>
          <w:p w14:paraId="53D48507">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3）承诺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即设立本地化服务机构。</w:t>
            </w:r>
          </w:p>
        </w:tc>
      </w:tr>
      <w:tr w14:paraId="7DD3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noWrap w:val="0"/>
            <w:vAlign w:val="center"/>
          </w:tcPr>
          <w:p w14:paraId="712F032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515" w:type="dxa"/>
            <w:noWrap w:val="0"/>
            <w:vAlign w:val="center"/>
          </w:tcPr>
          <w:p w14:paraId="5C735D44">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74" w:type="dxa"/>
            <w:noWrap w:val="0"/>
            <w:vAlign w:val="center"/>
          </w:tcPr>
          <w:p w14:paraId="6BE203B5">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1.无论何种原因，即使</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时携带了证书等材料的原件，但在响应文件中未提供与之内容完全一致的扫描件的，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小组可以视同其未提供。</w:t>
            </w:r>
          </w:p>
          <w:p w14:paraId="558A04C2">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文件中要求加盖公章，均可以提供加盖公章的扫描件；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文件要求提供的证明资料均应制作在响应文件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。响应文件中的</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资料模糊不清的，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小组将按不利于</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的理解进行评审，由此产生的一切后果由</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自行承担。</w:t>
            </w:r>
          </w:p>
          <w:p w14:paraId="0558DC79">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3.本项目将对</w:t>
            </w:r>
            <w:r>
              <w:rPr>
                <w:rFonts w:hint="eastAsia" w:ascii="宋体" w:hAnsi="宋体" w:cs="宋体"/>
                <w:color w:val="auto"/>
                <w:sz w:val="24"/>
                <w:szCs w:val="24"/>
                <w:highlight w:val="none"/>
                <w:lang w:eastAsia="zh-CN"/>
              </w:rPr>
              <w:t>成交候选人</w:t>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小组评审认可的以下内容进行公示：</w:t>
            </w:r>
          </w:p>
          <w:p w14:paraId="37F0063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业绩（如有，得分业绩）：</w:t>
            </w:r>
            <w:r>
              <w:rPr>
                <w:rFonts w:hint="eastAsia" w:ascii="宋体" w:hAnsi="宋体" w:eastAsia="宋体" w:cs="宋体"/>
                <w:color w:val="auto"/>
                <w:sz w:val="24"/>
                <w:szCs w:val="24"/>
                <w:highlight w:val="none"/>
                <w:u w:val="single"/>
              </w:rPr>
              <w:t>项目名称；</w:t>
            </w:r>
          </w:p>
          <w:p w14:paraId="18BEDB1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）银行保函或担保机构担保或保证保险形式的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保证金扫描件（如采用）。</w:t>
            </w:r>
          </w:p>
          <w:p w14:paraId="78FB97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注：如存在弄虚作假行为，将取消</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资格并上报</w:t>
            </w:r>
            <w:r>
              <w:rPr>
                <w:rFonts w:hint="eastAsia" w:ascii="宋体" w:hAnsi="宋体" w:eastAsia="宋体" w:cs="宋体"/>
                <w:color w:val="auto"/>
                <w:sz w:val="24"/>
                <w:szCs w:val="24"/>
                <w:highlight w:val="none"/>
                <w:lang w:eastAsia="zh-CN"/>
              </w:rPr>
              <w:t>监管部门</w:t>
            </w:r>
            <w:r>
              <w:rPr>
                <w:rFonts w:hint="eastAsia" w:ascii="宋体" w:hAnsi="宋体" w:eastAsia="宋体" w:cs="宋体"/>
                <w:color w:val="auto"/>
                <w:sz w:val="24"/>
                <w:szCs w:val="24"/>
                <w:highlight w:val="none"/>
              </w:rPr>
              <w:t>按有关规定处理。</w:t>
            </w:r>
          </w:p>
          <w:p w14:paraId="1949AD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4.凡</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的外地来肥建筑安装企业，应按照国家税务总局2016年第17号公告规定，在建筑服务发生地及时足额预缴增值税。</w:t>
            </w:r>
          </w:p>
          <w:p w14:paraId="5B3AC9A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5.如有最新国家和地方标准、规范等，应按最新标准、规范执行，如多个规范对同一问题的标准和要求不一致时，应按较高标准和要求内容执行 。</w:t>
            </w:r>
          </w:p>
        </w:tc>
      </w:tr>
      <w:tr w14:paraId="01EF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noWrap w:val="0"/>
            <w:vAlign w:val="center"/>
          </w:tcPr>
          <w:p w14:paraId="486051C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24</w:t>
            </w:r>
          </w:p>
        </w:tc>
        <w:tc>
          <w:tcPr>
            <w:tcW w:w="1515" w:type="dxa"/>
            <w:noWrap w:val="0"/>
            <w:vAlign w:val="center"/>
          </w:tcPr>
          <w:p w14:paraId="58783F4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重要提示</w:t>
            </w:r>
          </w:p>
        </w:tc>
        <w:tc>
          <w:tcPr>
            <w:tcW w:w="7174" w:type="dxa"/>
            <w:noWrap w:val="0"/>
            <w:vAlign w:val="center"/>
          </w:tcPr>
          <w:p w14:paraId="487FFF44">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eastAsia="zh-CN"/>
              </w:rPr>
              <w:t>成交人成交</w:t>
            </w:r>
            <w:r>
              <w:rPr>
                <w:rFonts w:hint="eastAsia" w:ascii="宋体" w:hAnsi="宋体" w:eastAsia="宋体" w:cs="宋体"/>
                <w:strike w:val="0"/>
                <w:dstrike w:val="0"/>
                <w:color w:val="auto"/>
                <w:sz w:val="24"/>
                <w:szCs w:val="24"/>
                <w:highlight w:val="none"/>
              </w:rPr>
              <w:t>之后，应当在规定的期间内与</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签订合同，</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拒绝签订合同的，</w:t>
            </w:r>
            <w:r>
              <w:rPr>
                <w:rFonts w:hint="eastAsia" w:ascii="宋体" w:hAnsi="宋体" w:cs="宋体"/>
                <w:strike w:val="0"/>
                <w:dstrike w:val="0"/>
                <w:color w:val="auto"/>
                <w:sz w:val="24"/>
                <w:szCs w:val="24"/>
                <w:highlight w:val="none"/>
                <w:lang w:eastAsia="zh-CN"/>
              </w:rPr>
              <w:t>成交人</w:t>
            </w:r>
            <w:r>
              <w:rPr>
                <w:rFonts w:hint="eastAsia" w:ascii="宋体" w:hAnsi="宋体" w:eastAsia="宋体" w:cs="宋体"/>
                <w:strike w:val="0"/>
                <w:dstrike w:val="0"/>
                <w:color w:val="auto"/>
                <w:sz w:val="24"/>
                <w:szCs w:val="24"/>
                <w:highlight w:val="none"/>
              </w:rPr>
              <w:t>应当及时向</w:t>
            </w:r>
            <w:r>
              <w:rPr>
                <w:rFonts w:hint="eastAsia" w:ascii="宋体" w:hAnsi="宋体" w:eastAsia="宋体" w:cs="宋体"/>
                <w:strike w:val="0"/>
                <w:dstrike w:val="0"/>
                <w:color w:val="auto"/>
                <w:sz w:val="24"/>
                <w:szCs w:val="24"/>
                <w:highlight w:val="none"/>
                <w:lang w:eastAsia="zh-CN"/>
              </w:rPr>
              <w:t>监管部门</w:t>
            </w:r>
            <w:r>
              <w:rPr>
                <w:rFonts w:hint="eastAsia" w:ascii="宋体" w:hAnsi="宋体" w:eastAsia="宋体" w:cs="宋体"/>
                <w:strike w:val="0"/>
                <w:dstrike w:val="0"/>
                <w:color w:val="auto"/>
                <w:sz w:val="24"/>
                <w:szCs w:val="24"/>
                <w:highlight w:val="none"/>
              </w:rPr>
              <w:t>反映，以便协调处理；</w:t>
            </w:r>
          </w:p>
          <w:p w14:paraId="7E232CD9">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2.</w:t>
            </w:r>
            <w:r>
              <w:rPr>
                <w:rFonts w:hint="eastAsia" w:ascii="宋体" w:hAnsi="宋体" w:cs="宋体"/>
                <w:strike w:val="0"/>
                <w:dstrike w:val="0"/>
                <w:color w:val="auto"/>
                <w:sz w:val="24"/>
                <w:szCs w:val="24"/>
                <w:highlight w:val="none"/>
                <w:lang w:eastAsia="zh-CN"/>
              </w:rPr>
              <w:t>成交人成交</w:t>
            </w:r>
            <w:r>
              <w:rPr>
                <w:rFonts w:hint="eastAsia" w:ascii="宋体" w:hAnsi="宋体" w:eastAsia="宋体" w:cs="宋体"/>
                <w:strike w:val="0"/>
                <w:dstrike w:val="0"/>
                <w:color w:val="auto"/>
                <w:sz w:val="24"/>
                <w:szCs w:val="24"/>
                <w:highlight w:val="none"/>
              </w:rPr>
              <w:t>之后，应当在规定的时间内与</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签订合同，</w:t>
            </w:r>
            <w:r>
              <w:rPr>
                <w:rFonts w:hint="eastAsia" w:ascii="宋体" w:hAnsi="宋体" w:cs="宋体"/>
                <w:strike w:val="0"/>
                <w:dstrike w:val="0"/>
                <w:color w:val="auto"/>
                <w:sz w:val="24"/>
                <w:szCs w:val="24"/>
                <w:highlight w:val="none"/>
                <w:lang w:eastAsia="zh-CN"/>
              </w:rPr>
              <w:t>成交人</w:t>
            </w:r>
            <w:r>
              <w:rPr>
                <w:rFonts w:hint="eastAsia" w:ascii="宋体" w:hAnsi="宋体" w:eastAsia="宋体" w:cs="宋体"/>
                <w:strike w:val="0"/>
                <w:dstrike w:val="0"/>
                <w:color w:val="auto"/>
                <w:sz w:val="24"/>
                <w:szCs w:val="24"/>
                <w:highlight w:val="none"/>
              </w:rPr>
              <w:t>拒绝签订合同的，</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应当及时向</w:t>
            </w:r>
            <w:r>
              <w:rPr>
                <w:rFonts w:hint="eastAsia" w:ascii="宋体" w:hAnsi="宋体" w:eastAsia="宋体" w:cs="宋体"/>
                <w:strike w:val="0"/>
                <w:dstrike w:val="0"/>
                <w:color w:val="auto"/>
                <w:sz w:val="24"/>
                <w:szCs w:val="24"/>
                <w:highlight w:val="none"/>
                <w:lang w:eastAsia="zh-CN"/>
              </w:rPr>
              <w:t>监管部门</w:t>
            </w:r>
            <w:r>
              <w:rPr>
                <w:rFonts w:hint="eastAsia" w:ascii="宋体" w:hAnsi="宋体" w:eastAsia="宋体" w:cs="宋体"/>
                <w:strike w:val="0"/>
                <w:dstrike w:val="0"/>
                <w:color w:val="auto"/>
                <w:sz w:val="24"/>
                <w:szCs w:val="24"/>
                <w:highlight w:val="none"/>
              </w:rPr>
              <w:t>反映，以便协调处理；</w:t>
            </w:r>
          </w:p>
          <w:p w14:paraId="3F4F673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w:t>
            </w:r>
            <w:r>
              <w:rPr>
                <w:rFonts w:hint="eastAsia" w:ascii="宋体" w:hAnsi="宋体" w:cs="宋体"/>
                <w:strike w:val="0"/>
                <w:dstrike w:val="0"/>
                <w:color w:val="auto"/>
                <w:sz w:val="24"/>
                <w:szCs w:val="24"/>
                <w:highlight w:val="none"/>
                <w:lang w:eastAsia="zh-CN"/>
              </w:rPr>
              <w:t>成交</w:t>
            </w:r>
            <w:r>
              <w:rPr>
                <w:rFonts w:hint="eastAsia" w:ascii="宋体" w:hAnsi="宋体" w:eastAsia="宋体" w:cs="宋体"/>
                <w:strike w:val="0"/>
                <w:dstrike w:val="0"/>
                <w:color w:val="auto"/>
                <w:sz w:val="24"/>
                <w:szCs w:val="24"/>
                <w:highlight w:val="none"/>
              </w:rPr>
              <w:t>合同签订后，</w:t>
            </w:r>
            <w:r>
              <w:rPr>
                <w:rFonts w:hint="eastAsia" w:ascii="宋体" w:hAnsi="宋体" w:cs="宋体"/>
                <w:strike w:val="0"/>
                <w:dstrike w:val="0"/>
                <w:color w:val="auto"/>
                <w:sz w:val="24"/>
                <w:szCs w:val="24"/>
                <w:highlight w:val="none"/>
                <w:lang w:eastAsia="zh-CN"/>
              </w:rPr>
              <w:t>成交人</w:t>
            </w:r>
            <w:r>
              <w:rPr>
                <w:rFonts w:hint="eastAsia" w:ascii="宋体" w:hAnsi="宋体" w:eastAsia="宋体" w:cs="宋体"/>
                <w:strike w:val="0"/>
                <w:dstrike w:val="0"/>
                <w:color w:val="auto"/>
                <w:sz w:val="24"/>
                <w:szCs w:val="24"/>
                <w:highlight w:val="none"/>
              </w:rPr>
              <w:t>未及时履行义务的，</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应当及时向</w:t>
            </w:r>
            <w:r>
              <w:rPr>
                <w:rFonts w:hint="eastAsia" w:ascii="宋体" w:hAnsi="宋体" w:eastAsia="宋体" w:cs="宋体"/>
                <w:strike w:val="0"/>
                <w:dstrike w:val="0"/>
                <w:color w:val="auto"/>
                <w:sz w:val="24"/>
                <w:szCs w:val="24"/>
                <w:highlight w:val="none"/>
                <w:lang w:eastAsia="zh-CN"/>
              </w:rPr>
              <w:t>监管部门</w:t>
            </w:r>
            <w:r>
              <w:rPr>
                <w:rFonts w:hint="eastAsia" w:ascii="宋体" w:hAnsi="宋体" w:eastAsia="宋体" w:cs="宋体"/>
                <w:strike w:val="0"/>
                <w:dstrike w:val="0"/>
                <w:color w:val="auto"/>
                <w:sz w:val="24"/>
                <w:szCs w:val="24"/>
                <w:highlight w:val="none"/>
              </w:rPr>
              <w:t>反映，以便协调处理；</w:t>
            </w:r>
          </w:p>
          <w:p w14:paraId="4C6C8D43">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4.</w:t>
            </w:r>
            <w:r>
              <w:rPr>
                <w:rFonts w:hint="eastAsia" w:ascii="宋体" w:hAnsi="宋体" w:cs="宋体"/>
                <w:strike w:val="0"/>
                <w:dstrike w:val="0"/>
                <w:color w:val="auto"/>
                <w:sz w:val="24"/>
                <w:szCs w:val="24"/>
                <w:highlight w:val="none"/>
                <w:lang w:eastAsia="zh-CN"/>
              </w:rPr>
              <w:t>成交</w:t>
            </w:r>
            <w:r>
              <w:rPr>
                <w:rFonts w:hint="eastAsia" w:ascii="宋体" w:hAnsi="宋体" w:eastAsia="宋体" w:cs="宋体"/>
                <w:strike w:val="0"/>
                <w:dstrike w:val="0"/>
                <w:color w:val="auto"/>
                <w:sz w:val="24"/>
                <w:szCs w:val="24"/>
                <w:highlight w:val="none"/>
              </w:rPr>
              <w:t>合同签订后，</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未及时履行义务影响</w:t>
            </w:r>
            <w:r>
              <w:rPr>
                <w:rFonts w:hint="eastAsia" w:ascii="宋体" w:hAnsi="宋体" w:cs="宋体"/>
                <w:strike w:val="0"/>
                <w:dstrike w:val="0"/>
                <w:color w:val="auto"/>
                <w:sz w:val="24"/>
                <w:szCs w:val="24"/>
                <w:highlight w:val="none"/>
                <w:lang w:eastAsia="zh-CN"/>
              </w:rPr>
              <w:t>成交人</w:t>
            </w:r>
            <w:r>
              <w:rPr>
                <w:rFonts w:hint="eastAsia" w:ascii="宋体" w:hAnsi="宋体" w:eastAsia="宋体" w:cs="宋体"/>
                <w:strike w:val="0"/>
                <w:dstrike w:val="0"/>
                <w:color w:val="auto"/>
                <w:sz w:val="24"/>
                <w:szCs w:val="24"/>
                <w:highlight w:val="none"/>
              </w:rPr>
              <w:t>履行义务的，</w:t>
            </w:r>
            <w:r>
              <w:rPr>
                <w:rFonts w:hint="eastAsia" w:ascii="宋体" w:hAnsi="宋体" w:cs="宋体"/>
                <w:strike w:val="0"/>
                <w:dstrike w:val="0"/>
                <w:color w:val="auto"/>
                <w:sz w:val="24"/>
                <w:szCs w:val="24"/>
                <w:highlight w:val="none"/>
                <w:lang w:eastAsia="zh-CN"/>
              </w:rPr>
              <w:t>成交人</w:t>
            </w:r>
            <w:r>
              <w:rPr>
                <w:rFonts w:hint="eastAsia" w:ascii="宋体" w:hAnsi="宋体" w:eastAsia="宋体" w:cs="宋体"/>
                <w:strike w:val="0"/>
                <w:dstrike w:val="0"/>
                <w:color w:val="auto"/>
                <w:sz w:val="24"/>
                <w:szCs w:val="24"/>
                <w:highlight w:val="none"/>
              </w:rPr>
              <w:t>应当及时向</w:t>
            </w:r>
            <w:r>
              <w:rPr>
                <w:rFonts w:hint="eastAsia" w:ascii="宋体" w:hAnsi="宋体" w:eastAsia="宋体" w:cs="宋体"/>
                <w:strike w:val="0"/>
                <w:dstrike w:val="0"/>
                <w:color w:val="auto"/>
                <w:sz w:val="24"/>
                <w:szCs w:val="24"/>
                <w:highlight w:val="none"/>
                <w:lang w:eastAsia="zh-CN"/>
              </w:rPr>
              <w:t>监管部门</w:t>
            </w:r>
            <w:r>
              <w:rPr>
                <w:rFonts w:hint="eastAsia" w:ascii="宋体" w:hAnsi="宋体" w:eastAsia="宋体" w:cs="宋体"/>
                <w:strike w:val="0"/>
                <w:dstrike w:val="0"/>
                <w:color w:val="auto"/>
                <w:sz w:val="24"/>
                <w:szCs w:val="24"/>
                <w:highlight w:val="none"/>
              </w:rPr>
              <w:t>反映，以便协调处理。</w:t>
            </w:r>
          </w:p>
          <w:p w14:paraId="0106AC1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val="0"/>
                <w:dstrike w:val="0"/>
                <w:color w:val="auto"/>
                <w:sz w:val="24"/>
                <w:szCs w:val="24"/>
                <w:highlight w:val="none"/>
              </w:rPr>
            </w:pP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和</w:t>
            </w:r>
            <w:r>
              <w:rPr>
                <w:rFonts w:hint="eastAsia" w:ascii="宋体" w:hAnsi="宋体" w:cs="宋体"/>
                <w:strike w:val="0"/>
                <w:dstrike w:val="0"/>
                <w:color w:val="auto"/>
                <w:sz w:val="24"/>
                <w:szCs w:val="24"/>
                <w:highlight w:val="none"/>
                <w:lang w:eastAsia="zh-CN"/>
              </w:rPr>
              <w:t>成交人</w:t>
            </w:r>
            <w:r>
              <w:rPr>
                <w:rFonts w:hint="eastAsia" w:ascii="宋体" w:hAnsi="宋体" w:eastAsia="宋体" w:cs="宋体"/>
                <w:strike w:val="0"/>
                <w:dstrike w:val="0"/>
                <w:color w:val="auto"/>
                <w:sz w:val="24"/>
                <w:szCs w:val="24"/>
                <w:highlight w:val="none"/>
              </w:rPr>
              <w:t>未履行上述义务的，</w:t>
            </w:r>
            <w:r>
              <w:rPr>
                <w:rFonts w:hint="eastAsia" w:ascii="宋体" w:hAnsi="宋体" w:eastAsia="宋体" w:cs="宋体"/>
                <w:strike w:val="0"/>
                <w:dstrike w:val="0"/>
                <w:color w:val="auto"/>
                <w:sz w:val="24"/>
                <w:szCs w:val="24"/>
                <w:highlight w:val="none"/>
                <w:lang w:eastAsia="zh-CN"/>
              </w:rPr>
              <w:t>监管部门</w:t>
            </w:r>
            <w:r>
              <w:rPr>
                <w:rFonts w:hint="eastAsia" w:ascii="宋体" w:hAnsi="宋体" w:eastAsia="宋体" w:cs="宋体"/>
                <w:strike w:val="0"/>
                <w:dstrike w:val="0"/>
                <w:color w:val="auto"/>
                <w:sz w:val="24"/>
                <w:szCs w:val="24"/>
                <w:highlight w:val="none"/>
              </w:rPr>
              <w:t>将依法对</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和</w:t>
            </w:r>
            <w:r>
              <w:rPr>
                <w:rFonts w:hint="eastAsia" w:ascii="宋体" w:hAnsi="宋体" w:cs="宋体"/>
                <w:strike w:val="0"/>
                <w:dstrike w:val="0"/>
                <w:color w:val="auto"/>
                <w:sz w:val="24"/>
                <w:szCs w:val="24"/>
                <w:highlight w:val="none"/>
                <w:lang w:eastAsia="zh-CN"/>
              </w:rPr>
              <w:t>成交人</w:t>
            </w:r>
            <w:r>
              <w:rPr>
                <w:rFonts w:hint="eastAsia" w:ascii="宋体" w:hAnsi="宋体" w:eastAsia="宋体" w:cs="宋体"/>
                <w:strike w:val="0"/>
                <w:dstrike w:val="0"/>
                <w:color w:val="auto"/>
                <w:sz w:val="24"/>
                <w:szCs w:val="24"/>
                <w:highlight w:val="none"/>
              </w:rPr>
              <w:t>进行处理，追究相关责任。</w:t>
            </w:r>
          </w:p>
        </w:tc>
      </w:tr>
      <w:tr w14:paraId="0CC6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noWrap w:val="0"/>
            <w:vAlign w:val="center"/>
          </w:tcPr>
          <w:p w14:paraId="482629E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25</w:t>
            </w:r>
          </w:p>
        </w:tc>
        <w:tc>
          <w:tcPr>
            <w:tcW w:w="1515" w:type="dxa"/>
            <w:noWrap w:val="0"/>
            <w:vAlign w:val="center"/>
          </w:tcPr>
          <w:p w14:paraId="7573A71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特别提示</w:t>
            </w:r>
          </w:p>
        </w:tc>
        <w:tc>
          <w:tcPr>
            <w:tcW w:w="7174" w:type="dxa"/>
            <w:noWrap w:val="0"/>
            <w:vAlign w:val="center"/>
          </w:tcPr>
          <w:p w14:paraId="282DD0BA">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1</w:t>
            </w:r>
            <w:r>
              <w:rPr>
                <w:rFonts w:hint="eastAsia" w:ascii="宋体" w:hAnsi="宋体" w:eastAsia="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eastAsia="zh-CN"/>
              </w:rPr>
              <w:t>参审单位</w:t>
            </w:r>
            <w:r>
              <w:rPr>
                <w:rFonts w:hint="eastAsia" w:ascii="宋体" w:hAnsi="宋体" w:eastAsia="宋体" w:cs="宋体"/>
                <w:strike w:val="0"/>
                <w:dstrike w:val="0"/>
                <w:color w:val="auto"/>
                <w:sz w:val="24"/>
                <w:szCs w:val="24"/>
                <w:highlight w:val="none"/>
              </w:rPr>
              <w:t>响应文件中填报人员及</w:t>
            </w:r>
            <w:r>
              <w:rPr>
                <w:rFonts w:hint="eastAsia" w:ascii="宋体" w:hAnsi="宋体" w:cs="宋体"/>
                <w:strike w:val="0"/>
                <w:dstrike w:val="0"/>
                <w:color w:val="auto"/>
                <w:sz w:val="24"/>
                <w:szCs w:val="24"/>
                <w:highlight w:val="none"/>
                <w:lang w:eastAsia="zh-CN"/>
              </w:rPr>
              <w:t>参审单位</w:t>
            </w:r>
            <w:r>
              <w:rPr>
                <w:rFonts w:hint="eastAsia" w:ascii="宋体" w:hAnsi="宋体" w:eastAsia="宋体" w:cs="宋体"/>
                <w:strike w:val="0"/>
                <w:dstrike w:val="0"/>
                <w:color w:val="auto"/>
                <w:sz w:val="24"/>
                <w:szCs w:val="24"/>
                <w:highlight w:val="none"/>
              </w:rPr>
              <w:t>按</w:t>
            </w:r>
            <w:r>
              <w:rPr>
                <w:rFonts w:hint="eastAsia" w:ascii="宋体" w:hAnsi="宋体" w:eastAsia="宋体" w:cs="宋体"/>
                <w:strike w:val="0"/>
                <w:dstrike w:val="0"/>
                <w:color w:val="auto"/>
                <w:sz w:val="24"/>
                <w:szCs w:val="24"/>
                <w:highlight w:val="none"/>
                <w:lang w:eastAsia="zh-CN"/>
              </w:rPr>
              <w:t>谈判</w:t>
            </w:r>
            <w:r>
              <w:rPr>
                <w:rFonts w:hint="eastAsia" w:ascii="宋体" w:hAnsi="宋体" w:eastAsia="宋体" w:cs="宋体"/>
                <w:strike w:val="0"/>
                <w:dstrike w:val="0"/>
                <w:color w:val="auto"/>
                <w:sz w:val="24"/>
                <w:szCs w:val="24"/>
                <w:highlight w:val="none"/>
              </w:rPr>
              <w:t>文件提出的最低要求填报派驻</w:t>
            </w:r>
            <w:r>
              <w:rPr>
                <w:rFonts w:hint="eastAsia" w:ascii="宋体" w:hAnsi="宋体" w:cs="宋体"/>
                <w:strike w:val="0"/>
                <w:dstrike w:val="0"/>
                <w:color w:val="auto"/>
                <w:sz w:val="24"/>
                <w:szCs w:val="24"/>
                <w:highlight w:val="none"/>
                <w:lang w:eastAsia="zh-CN"/>
              </w:rPr>
              <w:t>谈判</w:t>
            </w:r>
            <w:r>
              <w:rPr>
                <w:rFonts w:hint="eastAsia" w:ascii="宋体" w:hAnsi="宋体" w:eastAsia="宋体" w:cs="宋体"/>
                <w:strike w:val="0"/>
                <w:dstrike w:val="0"/>
                <w:color w:val="auto"/>
                <w:sz w:val="24"/>
                <w:szCs w:val="24"/>
                <w:highlight w:val="none"/>
              </w:rPr>
              <w:t>标段的其他管理和技术人员，经</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审核后不得进行更换。除非</w:t>
            </w:r>
            <w:r>
              <w:rPr>
                <w:rFonts w:hint="eastAsia" w:ascii="宋体" w:hAnsi="宋体" w:eastAsia="宋体" w:cs="宋体"/>
                <w:strike w:val="0"/>
                <w:dstrike w:val="0"/>
                <w:color w:val="auto"/>
                <w:sz w:val="24"/>
                <w:szCs w:val="24"/>
                <w:highlight w:val="none"/>
                <w:lang w:eastAsia="zh-CN"/>
              </w:rPr>
              <w:t>谈判</w:t>
            </w:r>
            <w:r>
              <w:rPr>
                <w:rFonts w:hint="eastAsia" w:ascii="宋体" w:hAnsi="宋体" w:eastAsia="宋体" w:cs="宋体"/>
                <w:strike w:val="0"/>
                <w:dstrike w:val="0"/>
                <w:color w:val="auto"/>
                <w:sz w:val="24"/>
                <w:szCs w:val="24"/>
                <w:highlight w:val="none"/>
              </w:rPr>
              <w:t>文件另有约定，</w:t>
            </w:r>
            <w:r>
              <w:rPr>
                <w:rFonts w:hint="eastAsia" w:ascii="宋体" w:hAnsi="宋体" w:cs="宋体"/>
                <w:strike w:val="0"/>
                <w:dstrike w:val="0"/>
                <w:color w:val="auto"/>
                <w:sz w:val="24"/>
                <w:szCs w:val="24"/>
                <w:highlight w:val="none"/>
                <w:lang w:eastAsia="zh-CN"/>
              </w:rPr>
              <w:t>参审单位</w:t>
            </w:r>
            <w:r>
              <w:rPr>
                <w:rFonts w:hint="eastAsia" w:ascii="宋体" w:hAnsi="宋体" w:eastAsia="宋体" w:cs="宋体"/>
                <w:strike w:val="0"/>
                <w:dstrike w:val="0"/>
                <w:color w:val="auto"/>
                <w:sz w:val="24"/>
                <w:szCs w:val="24"/>
                <w:highlight w:val="none"/>
              </w:rPr>
              <w:t>派驻</w:t>
            </w:r>
            <w:r>
              <w:rPr>
                <w:rFonts w:hint="eastAsia" w:ascii="宋体" w:hAnsi="宋体" w:cs="宋体"/>
                <w:strike w:val="0"/>
                <w:dstrike w:val="0"/>
                <w:color w:val="auto"/>
                <w:sz w:val="24"/>
                <w:szCs w:val="24"/>
                <w:highlight w:val="none"/>
                <w:lang w:eastAsia="zh-CN"/>
              </w:rPr>
              <w:t>谈判</w:t>
            </w:r>
            <w:r>
              <w:rPr>
                <w:rFonts w:hint="eastAsia" w:ascii="宋体" w:hAnsi="宋体" w:eastAsia="宋体" w:cs="宋体"/>
                <w:strike w:val="0"/>
                <w:dstrike w:val="0"/>
                <w:color w:val="auto"/>
                <w:sz w:val="24"/>
                <w:szCs w:val="24"/>
                <w:highlight w:val="none"/>
              </w:rPr>
              <w:t>标段的项目主要人员均应为</w:t>
            </w:r>
            <w:r>
              <w:rPr>
                <w:rFonts w:hint="eastAsia" w:ascii="宋体" w:hAnsi="宋体" w:cs="宋体"/>
                <w:strike w:val="0"/>
                <w:dstrike w:val="0"/>
                <w:color w:val="auto"/>
                <w:sz w:val="24"/>
                <w:szCs w:val="24"/>
                <w:highlight w:val="none"/>
                <w:lang w:val="en-US" w:eastAsia="zh-CN"/>
              </w:rPr>
              <w:t>供应商</w:t>
            </w:r>
            <w:r>
              <w:rPr>
                <w:rFonts w:hint="eastAsia" w:ascii="宋体" w:hAnsi="宋体" w:eastAsia="宋体" w:cs="宋体"/>
                <w:strike w:val="0"/>
                <w:dstrike w:val="0"/>
                <w:color w:val="auto"/>
                <w:sz w:val="24"/>
                <w:szCs w:val="24"/>
                <w:highlight w:val="none"/>
              </w:rPr>
              <w:t>在职人员（不含外聘人员、返聘人员、临时聘用人员），否则</w:t>
            </w:r>
            <w:r>
              <w:rPr>
                <w:rFonts w:hint="eastAsia" w:ascii="宋体" w:hAnsi="宋体" w:cs="宋体"/>
                <w:strike w:val="0"/>
                <w:dstrike w:val="0"/>
                <w:color w:val="auto"/>
                <w:sz w:val="24"/>
                <w:szCs w:val="24"/>
                <w:highlight w:val="none"/>
                <w:lang w:eastAsia="zh-CN"/>
              </w:rPr>
              <w:t>业主方（委托单位）</w:t>
            </w:r>
            <w:r>
              <w:rPr>
                <w:rFonts w:hint="eastAsia" w:ascii="宋体" w:hAnsi="宋体" w:eastAsia="宋体" w:cs="宋体"/>
                <w:strike w:val="0"/>
                <w:dstrike w:val="0"/>
                <w:color w:val="auto"/>
                <w:sz w:val="24"/>
                <w:szCs w:val="24"/>
                <w:highlight w:val="none"/>
              </w:rPr>
              <w:t>有权取消其</w:t>
            </w:r>
            <w:r>
              <w:rPr>
                <w:rFonts w:hint="eastAsia" w:ascii="宋体" w:hAnsi="宋体" w:cs="宋体"/>
                <w:strike w:val="0"/>
                <w:dstrike w:val="0"/>
                <w:color w:val="auto"/>
                <w:sz w:val="24"/>
                <w:szCs w:val="24"/>
                <w:highlight w:val="none"/>
                <w:lang w:eastAsia="zh-CN"/>
              </w:rPr>
              <w:t>成交</w:t>
            </w:r>
            <w:r>
              <w:rPr>
                <w:rFonts w:hint="eastAsia" w:ascii="宋体" w:hAnsi="宋体" w:eastAsia="宋体" w:cs="宋体"/>
                <w:strike w:val="0"/>
                <w:dstrike w:val="0"/>
                <w:color w:val="auto"/>
                <w:sz w:val="24"/>
                <w:szCs w:val="24"/>
                <w:highlight w:val="none"/>
              </w:rPr>
              <w:t>资格。</w:t>
            </w:r>
          </w:p>
          <w:p w14:paraId="58DB2117">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eastAsia="zh-CN"/>
              </w:rPr>
              <w:t>参审单位</w:t>
            </w:r>
            <w:r>
              <w:rPr>
                <w:rFonts w:hint="eastAsia" w:ascii="宋体" w:hAnsi="宋体" w:eastAsia="宋体" w:cs="宋体"/>
                <w:strike w:val="0"/>
                <w:dstrike w:val="0"/>
                <w:color w:val="auto"/>
                <w:sz w:val="24"/>
                <w:szCs w:val="24"/>
                <w:highlight w:val="none"/>
              </w:rPr>
              <w:t>提供的如营业执照、资质证书、安全生产许可证、安全生产考核合格证书、注册建造师证书、安全生产考核合格证书等证书证件应在有效期内，若法律法规或发证机构或相关主管部门另有规定的，从其规定，但</w:t>
            </w:r>
            <w:r>
              <w:rPr>
                <w:rFonts w:hint="eastAsia" w:ascii="宋体" w:hAnsi="宋体" w:cs="宋体"/>
                <w:strike w:val="0"/>
                <w:dstrike w:val="0"/>
                <w:color w:val="auto"/>
                <w:sz w:val="24"/>
                <w:szCs w:val="24"/>
                <w:highlight w:val="none"/>
                <w:lang w:eastAsia="zh-CN"/>
              </w:rPr>
              <w:t>参审单位</w:t>
            </w:r>
            <w:r>
              <w:rPr>
                <w:rFonts w:hint="eastAsia" w:ascii="宋体" w:hAnsi="宋体" w:eastAsia="宋体" w:cs="宋体"/>
                <w:strike w:val="0"/>
                <w:dstrike w:val="0"/>
                <w:color w:val="auto"/>
                <w:sz w:val="24"/>
                <w:szCs w:val="24"/>
                <w:highlight w:val="none"/>
              </w:rPr>
              <w:t>须在响应文件中提供发证机构或相关主管部门发布的相关证明材料，或经询标被</w:t>
            </w:r>
            <w:r>
              <w:rPr>
                <w:rFonts w:hint="eastAsia" w:ascii="宋体" w:hAnsi="宋体" w:eastAsia="宋体" w:cs="宋体"/>
                <w:strike w:val="0"/>
                <w:dstrike w:val="0"/>
                <w:color w:val="auto"/>
                <w:sz w:val="24"/>
                <w:szCs w:val="24"/>
                <w:highlight w:val="none"/>
                <w:lang w:eastAsia="zh-CN"/>
              </w:rPr>
              <w:t>谈判</w:t>
            </w:r>
            <w:r>
              <w:rPr>
                <w:rFonts w:hint="eastAsia" w:ascii="宋体" w:hAnsi="宋体" w:eastAsia="宋体" w:cs="宋体"/>
                <w:strike w:val="0"/>
                <w:dstrike w:val="0"/>
                <w:color w:val="auto"/>
                <w:sz w:val="24"/>
                <w:szCs w:val="24"/>
                <w:highlight w:val="none"/>
              </w:rPr>
              <w:t>小组认定符合相关规定的，</w:t>
            </w:r>
            <w:r>
              <w:rPr>
                <w:rFonts w:hint="eastAsia" w:ascii="宋体" w:hAnsi="宋体" w:eastAsia="宋体" w:cs="宋体"/>
                <w:strike w:val="0"/>
                <w:dstrike w:val="0"/>
                <w:color w:val="auto"/>
                <w:sz w:val="24"/>
                <w:szCs w:val="24"/>
                <w:highlight w:val="none"/>
                <w:lang w:eastAsia="zh-CN"/>
              </w:rPr>
              <w:t>谈判</w:t>
            </w:r>
            <w:r>
              <w:rPr>
                <w:rFonts w:hint="eastAsia" w:ascii="宋体" w:hAnsi="宋体" w:eastAsia="宋体" w:cs="宋体"/>
                <w:strike w:val="0"/>
                <w:dstrike w:val="0"/>
                <w:color w:val="auto"/>
                <w:sz w:val="24"/>
                <w:szCs w:val="24"/>
                <w:highlight w:val="none"/>
              </w:rPr>
              <w:t>小组应予以认可。</w:t>
            </w:r>
          </w:p>
        </w:tc>
      </w:tr>
    </w:tbl>
    <w:p w14:paraId="0F14E32B">
      <w:pPr>
        <w:spacing w:line="360" w:lineRule="auto"/>
        <w:rPr>
          <w:rFonts w:hint="eastAsia" w:ascii="宋体" w:hAnsi="宋体" w:eastAsia="宋体" w:cs="宋体"/>
          <w:color w:val="auto"/>
          <w:sz w:val="24"/>
          <w:szCs w:val="24"/>
          <w:highlight w:val="none"/>
        </w:rPr>
      </w:pPr>
      <w:bookmarkStart w:id="29" w:name="_Hlt509650027"/>
      <w:bookmarkEnd w:id="29"/>
      <w:bookmarkStart w:id="30" w:name="_Hlt519045778"/>
      <w:bookmarkEnd w:id="30"/>
    </w:p>
    <w:p w14:paraId="5AB6F455">
      <w:pPr>
        <w:pStyle w:val="30"/>
        <w:widowControl w:val="0"/>
        <w:autoSpaceDE w:val="0"/>
        <w:autoSpaceDN w:val="0"/>
        <w:adjustRightInd w:val="0"/>
        <w:spacing w:before="0" w:after="0" w:line="360" w:lineRule="auto"/>
        <w:jc w:val="center"/>
        <w:rPr>
          <w:rFonts w:hint="eastAsia" w:ascii="宋体" w:hAnsi="宋体" w:eastAsia="宋体" w:cs="宋体"/>
          <w:b/>
          <w:bCs/>
          <w:color w:val="auto"/>
          <w:sz w:val="28"/>
          <w:szCs w:val="28"/>
          <w:highlight w:val="none"/>
        </w:rPr>
      </w:pPr>
      <w:bookmarkStart w:id="31" w:name="_Toc14697"/>
    </w:p>
    <w:p w14:paraId="1DBBD7E4">
      <w:pPr>
        <w:pStyle w:val="30"/>
        <w:widowControl w:val="0"/>
        <w:autoSpaceDE w:val="0"/>
        <w:autoSpaceDN w:val="0"/>
        <w:adjustRightInd w:val="0"/>
        <w:spacing w:before="0" w:after="0" w:line="360" w:lineRule="auto"/>
        <w:jc w:val="center"/>
        <w:rPr>
          <w:rFonts w:hint="eastAsia" w:ascii="宋体" w:hAnsi="宋体" w:eastAsia="宋体" w:cs="宋体"/>
          <w:b/>
          <w:bCs/>
          <w:color w:val="auto"/>
          <w:sz w:val="28"/>
          <w:szCs w:val="28"/>
          <w:highlight w:val="none"/>
        </w:rPr>
      </w:pPr>
    </w:p>
    <w:p w14:paraId="16904B13">
      <w:pPr>
        <w:pStyle w:val="30"/>
        <w:widowControl w:val="0"/>
        <w:autoSpaceDE w:val="0"/>
        <w:autoSpaceDN w:val="0"/>
        <w:adjustRightInd w:val="0"/>
        <w:spacing w:before="0" w:after="0" w:line="360" w:lineRule="auto"/>
        <w:ind w:left="0" w:leftChars="0" w:firstLine="0" w:firstLineChars="0"/>
        <w:jc w:val="both"/>
        <w:rPr>
          <w:rFonts w:hint="eastAsia" w:ascii="宋体" w:hAnsi="宋体" w:eastAsia="宋体" w:cs="宋体"/>
          <w:b/>
          <w:bCs/>
          <w:color w:val="auto"/>
          <w:sz w:val="28"/>
          <w:szCs w:val="28"/>
          <w:highlight w:val="none"/>
        </w:rPr>
      </w:pPr>
    </w:p>
    <w:p w14:paraId="76457B72">
      <w:pPr>
        <w:pStyle w:val="4"/>
        <w:bidi w:val="0"/>
        <w:rPr>
          <w:rFonts w:hint="eastAsia"/>
          <w:color w:val="auto"/>
          <w:sz w:val="28"/>
          <w:szCs w:val="28"/>
          <w:highlight w:val="none"/>
        </w:rPr>
      </w:pPr>
      <w:bookmarkStart w:id="32" w:name="_Toc2152"/>
      <w:r>
        <w:rPr>
          <w:rFonts w:hint="eastAsia"/>
          <w:color w:val="auto"/>
          <w:sz w:val="28"/>
          <w:szCs w:val="28"/>
          <w:highlight w:val="none"/>
        </w:rPr>
        <w:t xml:space="preserve">第三章 </w:t>
      </w:r>
      <w:r>
        <w:rPr>
          <w:rFonts w:hint="eastAsia"/>
          <w:color w:val="auto"/>
          <w:sz w:val="28"/>
          <w:szCs w:val="28"/>
          <w:highlight w:val="none"/>
          <w:lang w:eastAsia="zh-CN"/>
        </w:rPr>
        <w:t>参审单位</w:t>
      </w:r>
      <w:r>
        <w:rPr>
          <w:rFonts w:hint="eastAsia"/>
          <w:color w:val="auto"/>
          <w:sz w:val="28"/>
          <w:szCs w:val="28"/>
          <w:highlight w:val="none"/>
        </w:rPr>
        <w:t>须知</w:t>
      </w:r>
      <w:bookmarkEnd w:id="31"/>
      <w:bookmarkEnd w:id="32"/>
    </w:p>
    <w:p w14:paraId="63094BF4">
      <w:pPr>
        <w:pStyle w:val="30"/>
        <w:widowControl w:val="0"/>
        <w:autoSpaceDE w:val="0"/>
        <w:autoSpaceDN w:val="0"/>
        <w:adjustRightInd w:val="0"/>
        <w:spacing w:before="0" w:after="0" w:line="360" w:lineRule="auto"/>
        <w:jc w:val="center"/>
        <w:rPr>
          <w:rFonts w:hint="eastAsia" w:ascii="宋体" w:hAnsi="宋体" w:eastAsia="宋体" w:cs="宋体"/>
          <w:b/>
          <w:bCs/>
          <w:color w:val="auto"/>
          <w:kern w:val="2"/>
          <w:sz w:val="28"/>
          <w:szCs w:val="32"/>
          <w:highlight w:val="none"/>
          <w:lang w:val="en-US" w:eastAsia="zh-CN" w:bidi="ar-SA"/>
        </w:rPr>
      </w:pPr>
      <w:bookmarkStart w:id="33" w:name="_Hlt509650686"/>
      <w:bookmarkEnd w:id="33"/>
      <w:bookmarkStart w:id="34" w:name="_Hlt526418143"/>
      <w:bookmarkEnd w:id="34"/>
      <w:bookmarkStart w:id="35" w:name="_Hlt509650955"/>
      <w:bookmarkEnd w:id="35"/>
      <w:bookmarkStart w:id="36" w:name="_Hlt509649998"/>
      <w:bookmarkEnd w:id="36"/>
      <w:bookmarkStart w:id="37" w:name="_Hlt509649722"/>
      <w:bookmarkEnd w:id="37"/>
      <w:bookmarkStart w:id="38" w:name="_Hlt509650126"/>
      <w:bookmarkEnd w:id="38"/>
      <w:bookmarkStart w:id="39" w:name="_Toc21093"/>
      <w:r>
        <w:rPr>
          <w:rFonts w:hint="eastAsia" w:ascii="宋体" w:hAnsi="宋体" w:eastAsia="宋体" w:cs="宋体"/>
          <w:b/>
          <w:bCs/>
          <w:color w:val="auto"/>
          <w:kern w:val="2"/>
          <w:sz w:val="28"/>
          <w:szCs w:val="32"/>
          <w:highlight w:val="none"/>
          <w:lang w:val="en-US" w:eastAsia="zh-CN" w:bidi="ar-SA"/>
        </w:rPr>
        <w:t>一．总    则</w:t>
      </w:r>
      <w:bookmarkEnd w:id="39"/>
    </w:p>
    <w:p w14:paraId="63187EB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14:paraId="459C07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文件仅适用于本次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所述的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项目招标。</w:t>
      </w:r>
    </w:p>
    <w:p w14:paraId="6E2F19D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2.有关定义</w:t>
      </w:r>
    </w:p>
    <w:p w14:paraId="577BA1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2.1交易监督管理部门：系指</w:t>
      </w:r>
      <w:r>
        <w:rPr>
          <w:rFonts w:hint="eastAsia" w:ascii="宋体" w:hAnsi="宋体" w:cs="宋体"/>
          <w:color w:val="auto"/>
          <w:sz w:val="24"/>
          <w:szCs w:val="24"/>
          <w:highlight w:val="none"/>
          <w:lang w:eastAsia="zh-CN"/>
        </w:rPr>
        <w:t>肥西县教育体育局</w:t>
      </w:r>
      <w:r>
        <w:rPr>
          <w:rFonts w:hint="eastAsia" w:ascii="宋体" w:hAnsi="宋体" w:eastAsia="宋体" w:cs="宋体"/>
          <w:color w:val="auto"/>
          <w:sz w:val="24"/>
          <w:szCs w:val="24"/>
          <w:highlight w:val="none"/>
        </w:rPr>
        <w:t>。</w:t>
      </w:r>
    </w:p>
    <w:p w14:paraId="793EB9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：系指本次</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项目的业主方。</w:t>
      </w:r>
    </w:p>
    <w:p w14:paraId="5108EB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2.3委托人：系指本次</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项目的委托方。</w:t>
      </w:r>
    </w:p>
    <w:p w14:paraId="2E4AAD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2.4代理机构：系指</w:t>
      </w:r>
      <w:r>
        <w:rPr>
          <w:rFonts w:hint="eastAsia" w:ascii="宋体" w:hAnsi="宋体"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w:t>
      </w:r>
    </w:p>
    <w:p w14:paraId="441A4A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：系指按规定获取了本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文件，且已经提交或准备提交本次响应文件的法人或者其他组织。</w:t>
      </w:r>
    </w:p>
    <w:p w14:paraId="617D04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2.6服务：系指除货物和工程以外的其他</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对象，包括咨询、调研、评估、规划、设计、监理、审计、保险、租赁、印刷、维修、物业管理等。</w:t>
      </w:r>
    </w:p>
    <w:p w14:paraId="6BC3191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2.7业绩：</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与其关联公司（如母公司、分公司、全资子公司、控股子公司、同一法定代表人的公司）之间签订的合同，均不予认可。</w:t>
      </w:r>
    </w:p>
    <w:p w14:paraId="42BA887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565303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3.1无论</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结果如何，</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应自行承担其编制与递交响应文件所涉及的一切费用。</w:t>
      </w:r>
    </w:p>
    <w:p w14:paraId="58FD90A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4.合格的</w:t>
      </w:r>
      <w:r>
        <w:rPr>
          <w:rFonts w:hint="eastAsia" w:ascii="宋体" w:hAnsi="宋体" w:cs="宋体"/>
          <w:b/>
          <w:bCs/>
          <w:color w:val="auto"/>
          <w:sz w:val="24"/>
          <w:szCs w:val="24"/>
          <w:highlight w:val="none"/>
          <w:lang w:eastAsia="zh-CN"/>
        </w:rPr>
        <w:t>参审单位</w:t>
      </w:r>
    </w:p>
    <w:p w14:paraId="4A1883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4.1合格的</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文件载明的</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资格。</w:t>
      </w:r>
    </w:p>
    <w:p w14:paraId="2F14D64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4.1.1除非</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文件认可，否则母、子公司之间的业绩、资质不得互用。</w:t>
      </w:r>
    </w:p>
    <w:p w14:paraId="7BD6AA4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4.2与</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存在利害关系可能影响</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公正性的法人、其他组织或个人，不得参加</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3401A31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单位负责人为同一人或者存在控股、管理关系的不同单位，不得参加同一标段</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或者未划分标段的同一</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的谈判</w:t>
      </w:r>
      <w:r>
        <w:rPr>
          <w:rFonts w:hint="eastAsia" w:ascii="宋体" w:hAnsi="宋体" w:eastAsia="宋体" w:cs="宋体"/>
          <w:color w:val="auto"/>
          <w:sz w:val="24"/>
          <w:szCs w:val="24"/>
          <w:highlight w:val="none"/>
        </w:rPr>
        <w:t>。</w:t>
      </w:r>
    </w:p>
    <w:p w14:paraId="77D013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违反前两款规定的，相关</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均无效。</w:t>
      </w:r>
    </w:p>
    <w:p w14:paraId="2C825C7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5.踏勘现场</w:t>
      </w:r>
    </w:p>
    <w:p w14:paraId="663866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5.1供应商应自行对供货（安装）、施工或服务现场和周围环境进行踏勘，以获取编制 响应文件和签署合同所需的资料。踏勘现场的方式、地址及联系方式见</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须知前附表。</w:t>
      </w:r>
    </w:p>
    <w:p w14:paraId="1C0E7D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踏勘现场所发生的费用由供应商自行承担。采购人向供应商提供的有关供货（安装）、施工或服务现场的资料和数据，是采购人现有的能使供应商利用的资料。采购人对供应商由此而做出的推论、理解和结论概不负责。供应商未到供货（安装）、施工或服务现场实地踏勘的，成交后签订合同时和履约过程中，不得以不完全了解现场情况为由，提出任何形式的增加合同价款或索赔的要求。</w:t>
      </w:r>
    </w:p>
    <w:p w14:paraId="78AA73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5.3除非有特殊要求，</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文件不单独提供供货（安装）、施工或服务地点的自然环境、气候条件、公用设施等情况，供应商被视为熟悉上述与履行合同有关的一切情况。</w:t>
      </w:r>
    </w:p>
    <w:p w14:paraId="27920B6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6.知识产权</w:t>
      </w:r>
    </w:p>
    <w:p w14:paraId="318FCC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须保证，</w:t>
      </w:r>
      <w:r>
        <w:rPr>
          <w:rFonts w:hint="eastAsia" w:ascii="宋体" w:hAnsi="宋体" w:cs="宋体"/>
          <w:bCs/>
          <w:color w:val="auto"/>
          <w:sz w:val="24"/>
          <w:szCs w:val="24"/>
          <w:highlight w:val="none"/>
          <w:lang w:eastAsia="zh-CN"/>
        </w:rPr>
        <w:t>业主方（委托单位）</w:t>
      </w:r>
      <w:r>
        <w:rPr>
          <w:rFonts w:hint="eastAsia" w:ascii="宋体" w:hAnsi="宋体" w:eastAsia="宋体" w:cs="宋体"/>
          <w:bCs/>
          <w:color w:val="auto"/>
          <w:sz w:val="24"/>
          <w:szCs w:val="24"/>
          <w:highlight w:val="none"/>
        </w:rPr>
        <w:t>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不拥有相应的知识产权，则在投标报价中必须包括合法获取该知识产权的一切相关费用。</w:t>
      </w:r>
      <w:r>
        <w:rPr>
          <w:rFonts w:hint="eastAsia" w:ascii="宋体" w:hAnsi="宋体" w:eastAsia="宋体" w:cs="宋体"/>
          <w:color w:val="auto"/>
          <w:sz w:val="24"/>
          <w:szCs w:val="24"/>
          <w:highlight w:val="none"/>
        </w:rPr>
        <w:t>如因此导致</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损失的，</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须承担全部赔偿责任。</w:t>
      </w:r>
    </w:p>
    <w:p w14:paraId="5395BE1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7.纪律与保密</w:t>
      </w:r>
    </w:p>
    <w:p w14:paraId="000BB1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行为应遵守中国的有关法律、法规和规章。</w:t>
      </w:r>
    </w:p>
    <w:p w14:paraId="2644A1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不得相互串通投标报价，不得排挤其他</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的公平竞争，损害</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或者其他</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的合法权益。</w:t>
      </w:r>
    </w:p>
    <w:p w14:paraId="6E20C28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不得与</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串通投标，损害国家利益、社会公共利益或者他人的合法权益。 禁止</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以向</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小组成员行贿的手段谋取</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w:t>
      </w:r>
    </w:p>
    <w:p w14:paraId="79A5AA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不得以低于成本的报价竞标，也不得以他人名义投标或者以其他方式弄虚作假，骗取</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w:t>
      </w:r>
    </w:p>
    <w:p w14:paraId="10C0C5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7.3在确定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之前，</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不得与</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就</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价格、</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方案等实质性内容进行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，也不得私下接触</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w:t>
      </w:r>
    </w:p>
    <w:p w14:paraId="1737CEF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7.4在确定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之前，</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试图在响应文件审查、澄清、比较和评价时对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施加任何影响都可能导致其</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无效。</w:t>
      </w:r>
    </w:p>
    <w:p w14:paraId="064625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7.5由</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提供的图纸、详细资料、样品、模型、模件和所有其它资料，被视为保密资料，仅被用于它所规定的用途。除非得到</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的同意，不能向任何第三方透露。</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结束后，应</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应归还所有从</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处获得的保密资料。</w:t>
      </w:r>
    </w:p>
    <w:p w14:paraId="497B93F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8.联合体</w:t>
      </w:r>
      <w:r>
        <w:rPr>
          <w:rFonts w:hint="eastAsia" w:ascii="宋体" w:hAnsi="宋体" w:eastAsia="宋体" w:cs="宋体"/>
          <w:b/>
          <w:color w:val="auto"/>
          <w:sz w:val="24"/>
          <w:szCs w:val="24"/>
          <w:highlight w:val="none"/>
          <w:lang w:eastAsia="zh-CN"/>
        </w:rPr>
        <w:t>谈判</w:t>
      </w:r>
    </w:p>
    <w:p w14:paraId="266641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8.1除非本项目明确要求不接受联合体形式</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外，两个以上法人（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文件如有约定，从其约定）或者其他组织可以组成一个联合体，以一个</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的身份共同</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szCs w:val="24"/>
          <w:highlight w:val="none"/>
        </w:rPr>
        <w:t>。</w:t>
      </w:r>
    </w:p>
    <w:p w14:paraId="2635A8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8.2以联合体形式参加</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szCs w:val="24"/>
          <w:highlight w:val="none"/>
        </w:rPr>
        <w:t>的，联合体各方均应当具备承担</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szCs w:val="24"/>
          <w:highlight w:val="none"/>
        </w:rPr>
        <w:t>项目的相应能力；国家有关规定或者</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文件对</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资格条件有规定的，联合体各方均应当具备规定的相应资格条件。由同一专业的单位组成的联合体，按照资质等级较低的单位确定资质等级。</w:t>
      </w:r>
    </w:p>
    <w:p w14:paraId="2E5197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8.3联合体各方应当签订联合体协议，明确约定各方拟承担的工作和责任，并将联合体协议连同响应文件一并提交。联合体</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的，联合体各方应当共同与</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签订合同，就</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项目向</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承担连带责任。联合体各方在同一</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项目中以自己名义单独</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szCs w:val="24"/>
          <w:highlight w:val="none"/>
        </w:rPr>
        <w:t>或者参加其他联合体</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的，相关</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szCs w:val="24"/>
          <w:highlight w:val="none"/>
        </w:rPr>
        <w:t>均无效。</w:t>
      </w:r>
    </w:p>
    <w:p w14:paraId="124A01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r>
        <w:rPr>
          <w:rFonts w:hint="eastAsia" w:ascii="宋体" w:hAnsi="宋体" w:eastAsia="宋体" w:cs="宋体"/>
          <w:color w:val="auto"/>
          <w:sz w:val="24"/>
          <w:highlight w:val="none"/>
        </w:rPr>
        <w:t>联合体</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保证金由联合体牵头方递交，以一方名义递交保证金的，对联合体各方均具有约束力。</w:t>
      </w:r>
    </w:p>
    <w:p w14:paraId="1E9E54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文件有明确约定的，联合体参加</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szCs w:val="24"/>
          <w:highlight w:val="none"/>
        </w:rPr>
        <w:t>的，可以由联合体中的任一方获取</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p>
    <w:p w14:paraId="38424C6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highlight w:val="none"/>
        </w:rPr>
        <w:t>投标专用章的效力</w:t>
      </w:r>
    </w:p>
    <w:p w14:paraId="722A1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文件中明确要求加盖公章的，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必须加盖</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公章。在有授权文件(原件或原件的扫描件)表明投标专用章法律效力等同于</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公章的情况下，可以加盖投标专用章，否则将导致投标无效。</w:t>
      </w:r>
    </w:p>
    <w:p w14:paraId="04B0373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.合同标的转让</w:t>
      </w:r>
    </w:p>
    <w:p w14:paraId="6A2972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.1合同未约定或者未经</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同意，</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不得向他人转让</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项目，也不得将</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项目肢解后分别向他人转让。</w:t>
      </w:r>
    </w:p>
    <w:p w14:paraId="5DC873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.2合同约定或者经</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同意，</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可以将</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项目的部分非主体、非关键性工作分包给他人完成。接受分包的人应当具备相应的资格条件，并不得再次分包。如果本项目允许分包，</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根据</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highlight w:val="none"/>
        </w:rPr>
        <w:t>项目的实际情况，拟在</w:t>
      </w:r>
      <w:r>
        <w:rPr>
          <w:rFonts w:hint="eastAsia" w:ascii="宋体" w:hAnsi="宋体" w:cs="宋体"/>
          <w:color w:val="auto"/>
          <w:sz w:val="24"/>
          <w:highlight w:val="none"/>
          <w:lang w:eastAsia="zh-CN"/>
        </w:rPr>
        <w:t>成交后</w:t>
      </w:r>
      <w:r>
        <w:rPr>
          <w:rFonts w:hint="eastAsia" w:ascii="宋体" w:hAnsi="宋体" w:eastAsia="宋体" w:cs="宋体"/>
          <w:color w:val="auto"/>
          <w:sz w:val="24"/>
          <w:highlight w:val="none"/>
        </w:rPr>
        <w:t>将</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项目的非主体、非关键性工作交由他人完成的，应在响应文件中载明。</w:t>
      </w:r>
    </w:p>
    <w:p w14:paraId="679261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应当就分包项目向</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负责，接受分包的人就分包项目承担连带责任。</w:t>
      </w:r>
    </w:p>
    <w:p w14:paraId="2DDA89D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谈判</w:t>
      </w:r>
      <w:r>
        <w:rPr>
          <w:rFonts w:hint="eastAsia" w:ascii="宋体" w:hAnsi="宋体" w:eastAsia="宋体" w:cs="宋体"/>
          <w:b/>
          <w:bCs/>
          <w:color w:val="auto"/>
          <w:sz w:val="24"/>
          <w:highlight w:val="none"/>
        </w:rPr>
        <w:t>信息的发布</w:t>
      </w:r>
    </w:p>
    <w:p w14:paraId="4A433C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lang w:val="en-US" w:eastAsia="zh-CN"/>
        </w:rPr>
        <w:t>本项目相关信息同时在</w:t>
      </w:r>
      <w:r>
        <w:rPr>
          <w:rFonts w:hint="eastAsia" w:ascii="宋体" w:hAnsi="宋体" w:cs="宋体"/>
          <w:color w:val="auto"/>
          <w:sz w:val="24"/>
          <w:szCs w:val="18"/>
          <w:highlight w:val="none"/>
          <w:lang w:val="en-US" w:eastAsia="zh-CN"/>
        </w:rPr>
        <w:t>肥西县公共资源交易有限责任公司</w:t>
      </w:r>
      <w:r>
        <w:rPr>
          <w:rFonts w:hint="eastAsia" w:ascii="宋体" w:hAnsi="宋体" w:eastAsia="宋体" w:cs="宋体"/>
          <w:color w:val="auto"/>
          <w:sz w:val="24"/>
          <w:szCs w:val="18"/>
          <w:highlight w:val="none"/>
          <w:lang w:val="en-US" w:eastAsia="zh-CN"/>
        </w:rPr>
        <w:t>、</w:t>
      </w:r>
      <w:r>
        <w:rPr>
          <w:rFonts w:hint="eastAsia" w:ascii="宋体" w:hAnsi="宋体" w:eastAsia="宋体" w:cs="宋体"/>
          <w:color w:val="auto"/>
          <w:sz w:val="24"/>
          <w:szCs w:val="18"/>
          <w:highlight w:val="none"/>
        </w:rPr>
        <w:t>优质采云采购平台、安徽省招标投标信息网、中国采购与招标</w:t>
      </w:r>
      <w:r>
        <w:rPr>
          <w:rFonts w:hint="eastAsia" w:ascii="宋体" w:hAnsi="宋体" w:eastAsia="宋体" w:cs="宋体"/>
          <w:color w:val="auto"/>
          <w:sz w:val="24"/>
          <w:szCs w:val="18"/>
          <w:highlight w:val="none"/>
          <w:lang w:val="en-US" w:eastAsia="zh-CN"/>
        </w:rPr>
        <w:t>网上发布</w:t>
      </w:r>
      <w:r>
        <w:rPr>
          <w:rFonts w:hint="eastAsia" w:ascii="宋体" w:hAnsi="宋体" w:eastAsia="宋体" w:cs="宋体"/>
          <w:color w:val="auto"/>
          <w:sz w:val="24"/>
          <w:highlight w:val="none"/>
        </w:rPr>
        <w:t>。</w:t>
      </w:r>
    </w:p>
    <w:p w14:paraId="5AC7C84C">
      <w:pPr>
        <w:pStyle w:val="4"/>
        <w:spacing w:line="500" w:lineRule="exact"/>
        <w:rPr>
          <w:rFonts w:hint="eastAsia" w:ascii="宋体" w:hAnsi="宋体" w:eastAsia="宋体" w:cs="宋体"/>
          <w:color w:val="auto"/>
          <w:sz w:val="28"/>
          <w:highlight w:val="none"/>
        </w:rPr>
      </w:pPr>
      <w:bookmarkStart w:id="40" w:name="_Toc36"/>
      <w:bookmarkStart w:id="41" w:name="_Toc27865"/>
      <w:bookmarkStart w:id="42" w:name="_Toc16845"/>
      <w:r>
        <w:rPr>
          <w:rFonts w:hint="eastAsia" w:ascii="宋体" w:hAnsi="宋体" w:eastAsia="宋体" w:cs="宋体"/>
          <w:color w:val="auto"/>
          <w:sz w:val="28"/>
          <w:highlight w:val="none"/>
        </w:rPr>
        <w:t>二．</w:t>
      </w:r>
      <w:r>
        <w:rPr>
          <w:rFonts w:hint="eastAsia" w:ascii="宋体" w:hAnsi="宋体" w:eastAsia="宋体" w:cs="宋体"/>
          <w:color w:val="auto"/>
          <w:sz w:val="28"/>
          <w:highlight w:val="none"/>
          <w:lang w:eastAsia="zh-CN"/>
        </w:rPr>
        <w:t>谈判</w:t>
      </w:r>
      <w:r>
        <w:rPr>
          <w:rFonts w:hint="eastAsia" w:ascii="宋体" w:hAnsi="宋体" w:eastAsia="宋体" w:cs="宋体"/>
          <w:color w:val="auto"/>
          <w:sz w:val="28"/>
          <w:highlight w:val="none"/>
        </w:rPr>
        <w:t>文件</w:t>
      </w:r>
      <w:bookmarkEnd w:id="40"/>
      <w:bookmarkEnd w:id="41"/>
      <w:bookmarkEnd w:id="42"/>
      <w:bookmarkStart w:id="43" w:name="_Hlt509650361"/>
      <w:bookmarkEnd w:id="43"/>
      <w:bookmarkStart w:id="44" w:name="_Hlt509649791"/>
      <w:bookmarkEnd w:id="44"/>
      <w:bookmarkStart w:id="45" w:name="_Hlt509649930"/>
      <w:bookmarkEnd w:id="45"/>
    </w:p>
    <w:p w14:paraId="4D708B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bookmarkStart w:id="46" w:name="_Hlt509650734"/>
      <w:bookmarkEnd w:id="46"/>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文件构成</w:t>
      </w:r>
    </w:p>
    <w:p w14:paraId="36044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文件包括以下部分：</w:t>
      </w:r>
    </w:p>
    <w:p w14:paraId="4A2C6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12.1.1第一章：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邀请（</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w:t>
      </w:r>
    </w:p>
    <w:p w14:paraId="7844A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12.1.2第二章：</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须知前附表；</w:t>
      </w:r>
    </w:p>
    <w:p w14:paraId="58FAF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12.1.3第三章：</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须知；</w:t>
      </w:r>
    </w:p>
    <w:p w14:paraId="54382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12.1.4第四章：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需求；</w:t>
      </w:r>
    </w:p>
    <w:p w14:paraId="4FF9B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12.1.5第五章：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与评审办法；</w:t>
      </w:r>
    </w:p>
    <w:p w14:paraId="1C9240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12.1.6第六章：合同；</w:t>
      </w:r>
    </w:p>
    <w:p w14:paraId="23B62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12.1.7第七章：响应文件格式；</w:t>
      </w:r>
    </w:p>
    <w:p w14:paraId="4FC97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发布的图纸、答疑、补遗、补充通知等。</w:t>
      </w:r>
    </w:p>
    <w:p w14:paraId="54253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 </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文件中所有的事项、格式、条件、条款和规范等要求。</w:t>
      </w:r>
    </w:p>
    <w:p w14:paraId="7D790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应当按照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文件的要求编制响应文件。响应文件应对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文件提出的要求和条件作出实质性响应。</w:t>
      </w:r>
    </w:p>
    <w:p w14:paraId="4BA7D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文件后，应仔细检查</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文件的所有内容，如有残缺等问题应在获得</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文件3日内向</w:t>
      </w:r>
      <w:r>
        <w:rPr>
          <w:rFonts w:hint="eastAsia" w:ascii="宋体" w:hAnsi="宋体"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提出，否则，由此引起的损失由</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自行承担。</w:t>
      </w:r>
    </w:p>
    <w:p w14:paraId="27E988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文件的澄清与修改</w:t>
      </w:r>
    </w:p>
    <w:p w14:paraId="62927B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13.1</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如对</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文件内容有疑问，必须在</w:t>
      </w:r>
      <w:r>
        <w:rPr>
          <w:rFonts w:hint="eastAsia" w:ascii="宋体" w:hAnsi="宋体" w:cs="宋体"/>
          <w:color w:val="auto"/>
          <w:sz w:val="24"/>
          <w:highlight w:val="none"/>
          <w:u w:val="single"/>
          <w:lang w:val="en-US" w:eastAsia="zh-CN"/>
        </w:rPr>
        <w:t>参审单位</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规定的网上询问截止时间前以网上提问形式提交给采购代理机构。</w:t>
      </w:r>
    </w:p>
    <w:p w14:paraId="374DB0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13.2</w:t>
      </w:r>
      <w:r>
        <w:rPr>
          <w:rFonts w:hint="eastAsia" w:ascii="宋体" w:hAnsi="宋体" w:cs="宋体"/>
          <w:color w:val="auto"/>
          <w:sz w:val="24"/>
          <w:highlight w:val="none"/>
          <w:lang w:val="en-US" w:eastAsia="zh-CN"/>
        </w:rPr>
        <w:t>业主方（委托单位）</w:t>
      </w:r>
      <w:r>
        <w:rPr>
          <w:rFonts w:hint="eastAsia" w:ascii="宋体" w:hAnsi="宋体" w:eastAsia="宋体" w:cs="宋体"/>
          <w:color w:val="auto"/>
          <w:sz w:val="24"/>
          <w:highlight w:val="none"/>
        </w:rPr>
        <w:t>可主动或在解答供应商提出的问题时对</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文件进行澄清或者修改。代理机构将在</w:t>
      </w:r>
      <w:r>
        <w:rPr>
          <w:rFonts w:hint="eastAsia" w:ascii="宋体" w:hAnsi="宋体" w:eastAsia="宋体" w:cs="宋体"/>
          <w:color w:val="auto"/>
          <w:sz w:val="24"/>
          <w:szCs w:val="18"/>
          <w:highlight w:val="none"/>
          <w:lang w:eastAsia="zh-CN"/>
        </w:rPr>
        <w:t>优质采云采购平台</w:t>
      </w:r>
      <w:r>
        <w:rPr>
          <w:rFonts w:hint="eastAsia" w:ascii="宋体" w:hAnsi="宋体" w:eastAsia="宋体" w:cs="宋体"/>
          <w:color w:val="auto"/>
          <w:sz w:val="24"/>
          <w:highlight w:val="none"/>
        </w:rPr>
        <w:t>以发布更正公告的方式澄清或者修改</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文件，更正公告的内容作为</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文件的组成部分，对</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起约束作用。供应商应主动上网查询。代理机构不承担</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未及时关注相关信息引发的相关责任。</w:t>
      </w:r>
    </w:p>
    <w:p w14:paraId="16B50E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.3任何人或任何组织向</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提供的任何书面或口头资料，未经代理机构在网上发布或书面通知，均作无效处理，不得作为</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文件的组成部分。代理机构对</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由此而做出的推论、理解和结论概不负责。</w:t>
      </w:r>
    </w:p>
    <w:p w14:paraId="4A623B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.4对于没有提出询问又参与了本项目</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的供应商将被视为完全认同本</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文件（含更正公告的内容）</w:t>
      </w:r>
      <w:r>
        <w:rPr>
          <w:rFonts w:hint="eastAsia" w:ascii="宋体" w:hAnsi="宋体" w:eastAsia="宋体" w:cs="宋体"/>
          <w:color w:val="auto"/>
          <w:sz w:val="24"/>
          <w:highlight w:val="none"/>
          <w:lang w:eastAsia="zh-CN"/>
        </w:rPr>
        <w:t>。</w:t>
      </w:r>
    </w:p>
    <w:p w14:paraId="06B02490">
      <w:pPr>
        <w:pStyle w:val="4"/>
        <w:spacing w:line="500" w:lineRule="exact"/>
        <w:rPr>
          <w:rFonts w:hint="eastAsia" w:ascii="宋体" w:hAnsi="宋体" w:eastAsia="宋体" w:cs="宋体"/>
          <w:color w:val="auto"/>
          <w:sz w:val="28"/>
          <w:highlight w:val="none"/>
        </w:rPr>
      </w:pPr>
      <w:bookmarkStart w:id="47" w:name="_Hlt509649724"/>
      <w:bookmarkEnd w:id="47"/>
      <w:bookmarkStart w:id="48" w:name="_Hlt509650697"/>
      <w:bookmarkEnd w:id="48"/>
      <w:bookmarkStart w:id="49" w:name="_Hlt510342861"/>
      <w:bookmarkEnd w:id="49"/>
      <w:bookmarkStart w:id="50" w:name="_Toc31174"/>
      <w:bookmarkStart w:id="51" w:name="_Toc21487"/>
      <w:bookmarkStart w:id="52" w:name="_Toc9916"/>
      <w:r>
        <w:rPr>
          <w:rFonts w:hint="eastAsia" w:ascii="宋体" w:hAnsi="宋体" w:eastAsia="宋体" w:cs="宋体"/>
          <w:color w:val="auto"/>
          <w:sz w:val="28"/>
          <w:highlight w:val="none"/>
        </w:rPr>
        <w:t>三．响应文件的编制</w:t>
      </w:r>
      <w:bookmarkEnd w:id="50"/>
      <w:bookmarkEnd w:id="51"/>
      <w:bookmarkEnd w:id="52"/>
    </w:p>
    <w:p w14:paraId="46AEC7C8">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.响应文件构成与要求</w:t>
      </w:r>
    </w:p>
    <w:p w14:paraId="610DEBD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bookmarkStart w:id="53" w:name="_Hlt509650345"/>
      <w:bookmarkEnd w:id="5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.1响应文件是对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文件的实质性响应及承诺文件。</w:t>
      </w:r>
    </w:p>
    <w:p w14:paraId="016358D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除非注明“</w:t>
      </w:r>
      <w:r>
        <w:rPr>
          <w:rFonts w:hint="eastAsia" w:ascii="宋体" w:hAnsi="宋体" w:cs="宋体"/>
          <w:bCs/>
          <w:color w:val="auto"/>
          <w:sz w:val="24"/>
          <w:szCs w:val="24"/>
          <w:highlight w:val="none"/>
          <w:lang w:eastAsia="zh-CN"/>
        </w:rPr>
        <w:t>参审单位</w:t>
      </w:r>
      <w:r>
        <w:rPr>
          <w:rFonts w:hint="eastAsia" w:ascii="宋体" w:hAnsi="宋体" w:eastAsia="宋体" w:cs="宋体"/>
          <w:color w:val="auto"/>
          <w:sz w:val="24"/>
          <w:szCs w:val="24"/>
          <w:highlight w:val="none"/>
        </w:rPr>
        <w:t>可自行制作格式”，响应文件应使用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文件提供的格式。</w:t>
      </w:r>
    </w:p>
    <w:p w14:paraId="6D44C190">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.3除专用术语外，响应文件以及</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就有关</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的往来函电均应使用中文。</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提交的支持性文件和印制的文件可以用另一种语言，但相应内容应翻译成中文，对不同文字文本响应文件的解释发生异议的，以中文文本为准。</w:t>
      </w:r>
    </w:p>
    <w:p w14:paraId="021A08D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.4除非</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文件另有规定，响应文件应使用中华人民共和国法定计量单位。</w:t>
      </w:r>
    </w:p>
    <w:p w14:paraId="27D1901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.5除非</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文件另有规定，响应文件应使用人民币填报所有报价。允许以多种货币报价的，或涉及合同金额等计算的，均按照中国银行在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日公布的汇率中间价换算成人民币。公司注册资本为外币，须折算成人民币的，按照公司成立日期当日(以营业执照注明的成立日期为准）中国人民银行公布的汇率的中间价计算（</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应提供成立日期当日中国人民银行公布的汇率的中间价作为参考）。</w:t>
      </w:r>
    </w:p>
    <w:p w14:paraId="0794BC43">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提供的资质证书（或资格证明、认证证书等）处于年检、换证、升级、变更等期间，除非法律法规或发证机构有书面材料明确表明</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资质（或资格)有效，否则一律不予认可。</w:t>
      </w:r>
    </w:p>
    <w:p w14:paraId="3459C0C3">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.7电报、电话、传真形式的投标概不接受。</w:t>
      </w:r>
    </w:p>
    <w:p w14:paraId="4253C972">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文件所要求的证书、认证、资质，均应当是有权机构颁发，且在有效期内的。</w:t>
      </w:r>
    </w:p>
    <w:p w14:paraId="7A56E167">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.报价</w:t>
      </w:r>
    </w:p>
    <w:p w14:paraId="62B421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的报价应当包括满足本次</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全部采购需求所应提供的货物，以及伴随的服务和工程。所有内容均应以人民币报价，</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报价应遵守《中华人民共和国价格法》。</w:t>
      </w:r>
    </w:p>
    <w:p w14:paraId="07711A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应在分项报价表上标明所投货物及相关服务的单价（如适用）和总价，未标明的视同包含在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报价中。</w:t>
      </w:r>
    </w:p>
    <w:p w14:paraId="05FD08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.3除非</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文件另有规定或经</w:t>
      </w:r>
      <w:r>
        <w:rPr>
          <w:rFonts w:hint="eastAsia" w:ascii="宋体" w:hAnsi="宋体" w:cs="宋体"/>
          <w:color w:val="auto"/>
          <w:sz w:val="24"/>
          <w:highlight w:val="none"/>
          <w:lang w:val="en-US" w:eastAsia="zh-CN"/>
        </w:rPr>
        <w:t>业主方（委托单位）</w:t>
      </w:r>
      <w:r>
        <w:rPr>
          <w:rFonts w:hint="eastAsia" w:ascii="宋体" w:hAnsi="宋体" w:eastAsia="宋体" w:cs="宋体"/>
          <w:color w:val="auto"/>
          <w:sz w:val="24"/>
          <w:highlight w:val="none"/>
        </w:rPr>
        <w:t>同意支付的，最后报价均不得高于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08DE0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.4报价在合同履行过程中是固定不变的，不得以任何理由予以变更。任何包含价格调整要求的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08C8B0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业主方（委托单位）</w:t>
      </w:r>
      <w:r>
        <w:rPr>
          <w:rFonts w:hint="eastAsia" w:ascii="宋体" w:hAnsi="宋体" w:eastAsia="宋体" w:cs="宋体"/>
          <w:color w:val="auto"/>
          <w:sz w:val="24"/>
          <w:highlight w:val="none"/>
        </w:rPr>
        <w:t>不接受具有附加条件的报价。</w:t>
      </w:r>
    </w:p>
    <w:p w14:paraId="179F67D5">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.投标内容填写及说明</w:t>
      </w:r>
    </w:p>
    <w:p w14:paraId="0AAEB41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.1响应文件须对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文件载明的投标资格、技术、资信、服务、报价等全部要求和条件做出实质性和完整的响应，如果响应文件填报的内容资料不详，或没有提供</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文件中所要求的全部资料、证明及数据，将可能导致投标无效。</w:t>
      </w:r>
    </w:p>
    <w:p w14:paraId="19890763">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应在响应文件中提交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文件要求的有关证明文件，作为其响应文件的一部分。</w:t>
      </w:r>
    </w:p>
    <w:p w14:paraId="259AA775">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17.3</w:t>
      </w:r>
      <w:r>
        <w:rPr>
          <w:rFonts w:hint="eastAsia" w:ascii="宋体" w:hAnsi="宋体" w:eastAsia="宋体" w:cs="宋体"/>
          <w:color w:val="auto"/>
          <w:sz w:val="24"/>
          <w:szCs w:val="24"/>
          <w:highlight w:val="none"/>
        </w:rPr>
        <w:t>响应文件须对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文件载明的全部初审要求（如</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资格、技术、资信、服务、报价等），做出实质性响应，如果响应文件填报的内容资料不详，或没有提供</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文件中所要求的资料、证明及数据，将导致</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w:t>
      </w:r>
    </w:p>
    <w:p w14:paraId="2CF92DE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响应文件应字迹清楚、编排有序、内容齐全、不得涂改或增删。如有错漏处必须修改，应在修改处加盖</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公章。</w:t>
      </w:r>
    </w:p>
    <w:p w14:paraId="412B47AB">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保证金</w:t>
      </w:r>
    </w:p>
    <w:p w14:paraId="7EAC0A52">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.1</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在递交响应文件的同时，应按</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须知前附表规定的金额、担保形式和第七章“响应文件格式”规定的</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保证金格式递交</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保证金，并作为其响应文件的组成部分。境内</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以现金或者支票形式提交的</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保证金，应当从其基本账户转出并在响应文件中附上基本账户开户证明。联合体投标的，其</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保证金由牵头人递交，并应符合</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须知前附表的规定。</w:t>
      </w:r>
    </w:p>
    <w:p w14:paraId="352922E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.2无论采取何种形式的</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保证金有效期均应与投标有效期一致。</w:t>
      </w:r>
      <w:r>
        <w:rPr>
          <w:rFonts w:hint="eastAsia" w:ascii="宋体" w:hAnsi="宋体" w:cs="宋体"/>
          <w:color w:val="auto"/>
          <w:sz w:val="24"/>
          <w:szCs w:val="22"/>
          <w:highlight w:val="none"/>
          <w:lang w:eastAsia="zh-CN"/>
        </w:rPr>
        <w:t>业主方（委托单位）</w:t>
      </w:r>
      <w:r>
        <w:rPr>
          <w:rFonts w:hint="eastAsia" w:ascii="宋体" w:hAnsi="宋体" w:eastAsia="宋体" w:cs="宋体"/>
          <w:color w:val="auto"/>
          <w:sz w:val="24"/>
          <w:szCs w:val="22"/>
          <w:highlight w:val="none"/>
        </w:rPr>
        <w:t>如果按本章1</w:t>
      </w:r>
      <w:r>
        <w:rPr>
          <w:rFonts w:hint="eastAsia" w:ascii="宋体" w:hAnsi="宋体" w:eastAsia="宋体" w:cs="宋体"/>
          <w:color w:val="auto"/>
          <w:sz w:val="24"/>
          <w:szCs w:val="22"/>
          <w:highlight w:val="none"/>
          <w:lang w:val="en-US" w:eastAsia="zh-CN"/>
        </w:rPr>
        <w:t>9</w:t>
      </w:r>
      <w:r>
        <w:rPr>
          <w:rFonts w:hint="eastAsia" w:ascii="宋体" w:hAnsi="宋体" w:eastAsia="宋体" w:cs="宋体"/>
          <w:color w:val="auto"/>
          <w:sz w:val="24"/>
          <w:szCs w:val="22"/>
          <w:highlight w:val="none"/>
        </w:rPr>
        <w:t>.4项的规定延长了投标有效期，则</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保证金的有效期也相应延长。</w:t>
      </w:r>
    </w:p>
    <w:p w14:paraId="217D35D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 xml:space="preserve">.3 </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不按本章1</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.1要求提交</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保证金的，</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小组</w:t>
      </w:r>
      <w:r>
        <w:rPr>
          <w:rFonts w:hint="eastAsia" w:ascii="宋体" w:hAnsi="宋体" w:eastAsia="宋体" w:cs="宋体"/>
          <w:color w:val="auto"/>
          <w:sz w:val="24"/>
          <w:szCs w:val="22"/>
          <w:highlight w:val="none"/>
        </w:rPr>
        <w:t>将否决其投标。</w:t>
      </w:r>
    </w:p>
    <w:p w14:paraId="6EF8749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.4</w:t>
      </w:r>
      <w:r>
        <w:rPr>
          <w:rFonts w:hint="eastAsia" w:ascii="宋体" w:hAnsi="宋体" w:cs="宋体"/>
          <w:color w:val="auto"/>
          <w:sz w:val="24"/>
          <w:szCs w:val="22"/>
          <w:highlight w:val="none"/>
          <w:lang w:eastAsia="zh-CN"/>
        </w:rPr>
        <w:t>业主方（委托单位）</w:t>
      </w:r>
      <w:r>
        <w:rPr>
          <w:rFonts w:hint="eastAsia" w:ascii="宋体" w:hAnsi="宋体" w:eastAsia="宋体" w:cs="宋体"/>
          <w:color w:val="auto"/>
          <w:sz w:val="24"/>
          <w:szCs w:val="22"/>
          <w:highlight w:val="none"/>
        </w:rPr>
        <w:t>最迟将在</w:t>
      </w:r>
      <w:r>
        <w:rPr>
          <w:rFonts w:hint="eastAsia" w:ascii="宋体" w:hAnsi="宋体" w:cs="宋体"/>
          <w:color w:val="auto"/>
          <w:sz w:val="24"/>
          <w:szCs w:val="22"/>
          <w:highlight w:val="none"/>
          <w:lang w:eastAsia="zh-CN"/>
        </w:rPr>
        <w:t>成交通知书</w:t>
      </w:r>
      <w:r>
        <w:rPr>
          <w:rFonts w:hint="eastAsia" w:ascii="宋体" w:hAnsi="宋体" w:eastAsia="宋体" w:cs="宋体"/>
          <w:color w:val="auto"/>
          <w:sz w:val="24"/>
          <w:szCs w:val="22"/>
          <w:highlight w:val="none"/>
        </w:rPr>
        <w:t>发出后5日内向</w:t>
      </w:r>
      <w:r>
        <w:rPr>
          <w:rFonts w:hint="eastAsia" w:ascii="宋体" w:hAnsi="宋体" w:cs="宋体"/>
          <w:color w:val="auto"/>
          <w:sz w:val="24"/>
          <w:szCs w:val="22"/>
          <w:highlight w:val="none"/>
          <w:lang w:eastAsia="zh-CN"/>
        </w:rPr>
        <w:t>成交候选人</w:t>
      </w:r>
      <w:r>
        <w:rPr>
          <w:rFonts w:hint="eastAsia" w:ascii="宋体" w:hAnsi="宋体" w:eastAsia="宋体" w:cs="宋体"/>
          <w:color w:val="auto"/>
          <w:sz w:val="24"/>
          <w:szCs w:val="22"/>
          <w:highlight w:val="none"/>
        </w:rPr>
        <w:t>以外的其他</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退还</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保证金，与</w:t>
      </w:r>
      <w:r>
        <w:rPr>
          <w:rFonts w:hint="eastAsia" w:ascii="宋体" w:hAnsi="宋体" w:cs="宋体"/>
          <w:color w:val="auto"/>
          <w:sz w:val="24"/>
          <w:szCs w:val="22"/>
          <w:highlight w:val="none"/>
          <w:lang w:eastAsia="zh-CN"/>
        </w:rPr>
        <w:t>成交人</w:t>
      </w:r>
      <w:r>
        <w:rPr>
          <w:rFonts w:hint="eastAsia" w:ascii="宋体" w:hAnsi="宋体" w:eastAsia="宋体" w:cs="宋体"/>
          <w:color w:val="auto"/>
          <w:sz w:val="24"/>
          <w:szCs w:val="22"/>
          <w:highlight w:val="none"/>
        </w:rPr>
        <w:t>签订合同后5日内向</w:t>
      </w:r>
      <w:r>
        <w:rPr>
          <w:rFonts w:hint="eastAsia" w:ascii="宋体" w:hAnsi="宋体" w:cs="宋体"/>
          <w:color w:val="auto"/>
          <w:sz w:val="24"/>
          <w:szCs w:val="22"/>
          <w:highlight w:val="none"/>
          <w:lang w:eastAsia="zh-CN"/>
        </w:rPr>
        <w:t>成交人</w:t>
      </w:r>
      <w:r>
        <w:rPr>
          <w:rFonts w:hint="eastAsia" w:ascii="宋体" w:hAnsi="宋体" w:eastAsia="宋体" w:cs="宋体"/>
          <w:color w:val="auto"/>
          <w:sz w:val="24"/>
          <w:szCs w:val="22"/>
          <w:highlight w:val="none"/>
        </w:rPr>
        <w:t>和其他</w:t>
      </w:r>
      <w:r>
        <w:rPr>
          <w:rFonts w:hint="eastAsia" w:ascii="宋体" w:hAnsi="宋体" w:cs="宋体"/>
          <w:color w:val="auto"/>
          <w:sz w:val="24"/>
          <w:szCs w:val="22"/>
          <w:highlight w:val="none"/>
          <w:lang w:eastAsia="zh-CN"/>
        </w:rPr>
        <w:t>成交候选人</w:t>
      </w:r>
      <w:r>
        <w:rPr>
          <w:rFonts w:hint="eastAsia" w:ascii="宋体" w:hAnsi="宋体" w:eastAsia="宋体" w:cs="宋体"/>
          <w:color w:val="auto"/>
          <w:sz w:val="24"/>
          <w:szCs w:val="22"/>
          <w:highlight w:val="none"/>
        </w:rPr>
        <w:t>退还</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w:t>
      </w:r>
    </w:p>
    <w:p w14:paraId="13409FC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.5有下列情形之一的，</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保证金将不予退还：</w:t>
      </w:r>
    </w:p>
    <w:p w14:paraId="6859434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在规定的</w:t>
      </w:r>
      <w:r>
        <w:rPr>
          <w:rFonts w:hint="eastAsia" w:ascii="宋体" w:hAnsi="宋体" w:cs="宋体"/>
          <w:color w:val="auto"/>
          <w:sz w:val="24"/>
          <w:szCs w:val="22"/>
          <w:highlight w:val="none"/>
          <w:lang w:val="en-US" w:eastAsia="zh-CN"/>
        </w:rPr>
        <w:t>谈判</w:t>
      </w:r>
      <w:r>
        <w:rPr>
          <w:rFonts w:hint="eastAsia" w:ascii="宋体" w:hAnsi="宋体" w:eastAsia="宋体" w:cs="宋体"/>
          <w:color w:val="auto"/>
          <w:sz w:val="24"/>
          <w:szCs w:val="22"/>
          <w:highlight w:val="none"/>
        </w:rPr>
        <w:t>有效期内撤销其</w:t>
      </w:r>
      <w:r>
        <w:rPr>
          <w:rFonts w:hint="eastAsia" w:ascii="宋体" w:hAnsi="宋体" w:cs="宋体"/>
          <w:color w:val="auto"/>
          <w:sz w:val="24"/>
          <w:szCs w:val="22"/>
          <w:highlight w:val="none"/>
          <w:lang w:val="en-US" w:eastAsia="zh-CN"/>
        </w:rPr>
        <w:t>响应文件</w:t>
      </w:r>
      <w:r>
        <w:rPr>
          <w:rFonts w:hint="eastAsia" w:ascii="宋体" w:hAnsi="宋体" w:eastAsia="宋体" w:cs="宋体"/>
          <w:color w:val="auto"/>
          <w:sz w:val="24"/>
          <w:szCs w:val="22"/>
          <w:highlight w:val="none"/>
        </w:rPr>
        <w:t>；</w:t>
      </w:r>
    </w:p>
    <w:p w14:paraId="0DA77D4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cs="宋体"/>
          <w:color w:val="auto"/>
          <w:sz w:val="24"/>
          <w:szCs w:val="22"/>
          <w:highlight w:val="none"/>
          <w:lang w:eastAsia="zh-CN"/>
        </w:rPr>
        <w:t>成交候选人</w:t>
      </w:r>
      <w:r>
        <w:rPr>
          <w:rFonts w:hint="eastAsia" w:ascii="宋体" w:hAnsi="宋体" w:eastAsia="宋体" w:cs="宋体"/>
          <w:color w:val="auto"/>
          <w:sz w:val="24"/>
          <w:szCs w:val="22"/>
          <w:highlight w:val="none"/>
        </w:rPr>
        <w:t>无正当理由放弃</w:t>
      </w:r>
      <w:r>
        <w:rPr>
          <w:rFonts w:hint="eastAsia" w:ascii="宋体" w:hAnsi="宋体" w:cs="宋体"/>
          <w:color w:val="auto"/>
          <w:sz w:val="24"/>
          <w:szCs w:val="22"/>
          <w:highlight w:val="none"/>
          <w:lang w:eastAsia="zh-CN"/>
        </w:rPr>
        <w:t>成交</w:t>
      </w:r>
      <w:r>
        <w:rPr>
          <w:rFonts w:hint="eastAsia" w:ascii="宋体" w:hAnsi="宋体" w:eastAsia="宋体" w:cs="宋体"/>
          <w:color w:val="auto"/>
          <w:sz w:val="24"/>
          <w:szCs w:val="22"/>
          <w:highlight w:val="none"/>
        </w:rPr>
        <w:t>项目资格的；或</w:t>
      </w:r>
      <w:r>
        <w:rPr>
          <w:rFonts w:hint="eastAsia" w:ascii="宋体" w:hAnsi="宋体" w:cs="宋体"/>
          <w:color w:val="auto"/>
          <w:sz w:val="24"/>
          <w:szCs w:val="22"/>
          <w:highlight w:val="none"/>
          <w:lang w:eastAsia="zh-CN"/>
        </w:rPr>
        <w:t>成交人</w:t>
      </w:r>
      <w:r>
        <w:rPr>
          <w:rFonts w:hint="eastAsia" w:ascii="宋体" w:hAnsi="宋体" w:eastAsia="宋体" w:cs="宋体"/>
          <w:color w:val="auto"/>
          <w:sz w:val="24"/>
          <w:szCs w:val="22"/>
          <w:highlight w:val="none"/>
        </w:rPr>
        <w:t>无正当理由不与</w:t>
      </w:r>
      <w:r>
        <w:rPr>
          <w:rFonts w:hint="eastAsia" w:ascii="宋体" w:hAnsi="宋体" w:cs="宋体"/>
          <w:color w:val="auto"/>
          <w:sz w:val="24"/>
          <w:szCs w:val="22"/>
          <w:highlight w:val="none"/>
          <w:lang w:eastAsia="zh-CN"/>
        </w:rPr>
        <w:t>业主方（委托单位）</w:t>
      </w:r>
      <w:r>
        <w:rPr>
          <w:rFonts w:hint="eastAsia" w:ascii="宋体" w:hAnsi="宋体" w:eastAsia="宋体" w:cs="宋体"/>
          <w:color w:val="auto"/>
          <w:sz w:val="24"/>
          <w:szCs w:val="22"/>
          <w:highlight w:val="none"/>
        </w:rPr>
        <w:t>签订合同的；或</w:t>
      </w:r>
      <w:r>
        <w:rPr>
          <w:rFonts w:hint="eastAsia" w:ascii="宋体" w:hAnsi="宋体" w:cs="宋体"/>
          <w:color w:val="auto"/>
          <w:sz w:val="24"/>
          <w:szCs w:val="22"/>
          <w:highlight w:val="none"/>
          <w:lang w:eastAsia="zh-CN"/>
        </w:rPr>
        <w:t>成交人</w:t>
      </w:r>
      <w:r>
        <w:rPr>
          <w:rFonts w:hint="eastAsia" w:ascii="宋体" w:hAnsi="宋体" w:eastAsia="宋体" w:cs="宋体"/>
          <w:color w:val="auto"/>
          <w:sz w:val="24"/>
          <w:szCs w:val="22"/>
          <w:highlight w:val="none"/>
        </w:rPr>
        <w:t>在签订合同时向</w:t>
      </w:r>
      <w:r>
        <w:rPr>
          <w:rFonts w:hint="eastAsia" w:ascii="宋体" w:hAnsi="宋体" w:cs="宋体"/>
          <w:color w:val="auto"/>
          <w:sz w:val="24"/>
          <w:szCs w:val="22"/>
          <w:highlight w:val="none"/>
          <w:lang w:eastAsia="zh-CN"/>
        </w:rPr>
        <w:t>业主方（委托单位）</w:t>
      </w:r>
      <w:r>
        <w:rPr>
          <w:rFonts w:hint="eastAsia" w:ascii="宋体" w:hAnsi="宋体" w:eastAsia="宋体" w:cs="宋体"/>
          <w:color w:val="auto"/>
          <w:sz w:val="24"/>
          <w:szCs w:val="22"/>
          <w:highlight w:val="none"/>
        </w:rPr>
        <w:t>提出附加条件或者更改合同实质性内容的；或</w:t>
      </w:r>
      <w:r>
        <w:rPr>
          <w:rFonts w:hint="eastAsia" w:ascii="宋体" w:hAnsi="宋体" w:cs="宋体"/>
          <w:color w:val="auto"/>
          <w:sz w:val="24"/>
          <w:szCs w:val="22"/>
          <w:highlight w:val="none"/>
          <w:lang w:eastAsia="zh-CN"/>
        </w:rPr>
        <w:t>成交人</w:t>
      </w:r>
      <w:r>
        <w:rPr>
          <w:rFonts w:hint="eastAsia" w:ascii="宋体" w:hAnsi="宋体" w:eastAsia="宋体" w:cs="宋体"/>
          <w:color w:val="auto"/>
          <w:sz w:val="24"/>
          <w:szCs w:val="22"/>
          <w:highlight w:val="none"/>
        </w:rPr>
        <w:t>不提交</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文件所要求的履约保证金的；</w:t>
      </w:r>
    </w:p>
    <w:p w14:paraId="2EDF125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存在弄虚作假行为的。</w:t>
      </w:r>
    </w:p>
    <w:p w14:paraId="284432F1">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注：如</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保证金采用第二类形式，出现以上情形的，由受益人向开立人申请索赔。</w:t>
      </w:r>
    </w:p>
    <w:p w14:paraId="5F51B73E">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.6由于</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行为导致</w:t>
      </w:r>
      <w:r>
        <w:rPr>
          <w:rFonts w:hint="eastAsia" w:ascii="宋体" w:hAnsi="宋体" w:cs="宋体"/>
          <w:color w:val="auto"/>
          <w:sz w:val="24"/>
          <w:szCs w:val="22"/>
          <w:highlight w:val="none"/>
          <w:lang w:eastAsia="zh-CN"/>
        </w:rPr>
        <w:t>业主方（委托单位）</w:t>
      </w:r>
      <w:r>
        <w:rPr>
          <w:rFonts w:hint="eastAsia" w:ascii="宋体" w:hAnsi="宋体" w:eastAsia="宋体" w:cs="宋体"/>
          <w:color w:val="auto"/>
          <w:sz w:val="24"/>
          <w:szCs w:val="22"/>
          <w:highlight w:val="none"/>
        </w:rPr>
        <w:t>或</w:t>
      </w:r>
      <w:r>
        <w:rPr>
          <w:rFonts w:hint="eastAsia" w:ascii="宋体" w:hAnsi="宋体" w:cs="宋体"/>
          <w:color w:val="auto"/>
          <w:sz w:val="24"/>
          <w:szCs w:val="22"/>
          <w:highlight w:val="none"/>
          <w:lang w:eastAsia="zh-CN"/>
        </w:rPr>
        <w:t>肥西县公共资源交易有限责任公司</w:t>
      </w:r>
      <w:r>
        <w:rPr>
          <w:rFonts w:hint="eastAsia" w:ascii="宋体" w:hAnsi="宋体" w:eastAsia="宋体" w:cs="宋体"/>
          <w:color w:val="auto"/>
          <w:sz w:val="24"/>
          <w:szCs w:val="22"/>
          <w:highlight w:val="none"/>
        </w:rPr>
        <w:t>损失的，相应损失由</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承担，从</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保证金中扣除。</w:t>
      </w:r>
      <w:r>
        <w:rPr>
          <w:rFonts w:hint="eastAsia" w:ascii="宋体" w:hAnsi="宋体" w:eastAsia="宋体" w:cs="宋体"/>
          <w:color w:val="auto"/>
          <w:sz w:val="24"/>
          <w:szCs w:val="22"/>
          <w:highlight w:val="none"/>
          <w:lang w:eastAsia="zh-CN"/>
        </w:rPr>
        <w:t>谈判</w:t>
      </w:r>
      <w:r>
        <w:rPr>
          <w:rFonts w:hint="eastAsia" w:ascii="宋体" w:hAnsi="宋体" w:eastAsia="宋体" w:cs="宋体"/>
          <w:color w:val="auto"/>
          <w:sz w:val="24"/>
          <w:szCs w:val="22"/>
          <w:highlight w:val="none"/>
        </w:rPr>
        <w:t>保证金扣除后仍不足以弥补损失的，</w:t>
      </w:r>
      <w:r>
        <w:rPr>
          <w:rFonts w:hint="eastAsia" w:ascii="宋体" w:hAnsi="宋体" w:cs="宋体"/>
          <w:color w:val="auto"/>
          <w:sz w:val="24"/>
          <w:szCs w:val="22"/>
          <w:highlight w:val="none"/>
          <w:lang w:eastAsia="zh-CN"/>
        </w:rPr>
        <w:t>参审单位</w:t>
      </w:r>
      <w:r>
        <w:rPr>
          <w:rFonts w:hint="eastAsia" w:ascii="宋体" w:hAnsi="宋体" w:eastAsia="宋体" w:cs="宋体"/>
          <w:color w:val="auto"/>
          <w:sz w:val="24"/>
          <w:szCs w:val="22"/>
          <w:highlight w:val="none"/>
        </w:rPr>
        <w:t>应当对超过部分予以赔偿。</w:t>
      </w:r>
    </w:p>
    <w:p w14:paraId="5B0EAE86">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谈判</w:t>
      </w:r>
      <w:r>
        <w:rPr>
          <w:rFonts w:hint="eastAsia" w:ascii="宋体" w:hAnsi="宋体" w:eastAsia="宋体" w:cs="宋体"/>
          <w:b/>
          <w:color w:val="auto"/>
          <w:sz w:val="24"/>
          <w:szCs w:val="24"/>
          <w:highlight w:val="none"/>
        </w:rPr>
        <w:t>有效期</w:t>
      </w:r>
    </w:p>
    <w:p w14:paraId="0FF67EF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.1为保证</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有足够的时间完成评</w:t>
      </w:r>
      <w:r>
        <w:rPr>
          <w:rFonts w:hint="eastAsia" w:ascii="宋体" w:hAnsi="宋体" w:cs="宋体"/>
          <w:color w:val="auto"/>
          <w:sz w:val="24"/>
          <w:szCs w:val="24"/>
          <w:highlight w:val="none"/>
          <w:lang w:val="en-US" w:eastAsia="zh-CN"/>
        </w:rPr>
        <w:t>审</w:t>
      </w:r>
      <w:r>
        <w:rPr>
          <w:rFonts w:hint="eastAsia" w:ascii="宋体" w:hAnsi="宋体" w:eastAsia="宋体" w:cs="宋体"/>
          <w:color w:val="auto"/>
          <w:sz w:val="24"/>
          <w:szCs w:val="24"/>
          <w:highlight w:val="none"/>
        </w:rPr>
        <w:t>和与</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签订合同，规定</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有效期期限见</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须知前附表。</w:t>
      </w:r>
    </w:p>
    <w:p w14:paraId="593F4C7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.2在</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保持有效，</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不得要求撤销或修改其响应文件。</w:t>
      </w:r>
    </w:p>
    <w:p w14:paraId="0B50545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有效期从</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截止日起计算。</w:t>
      </w:r>
    </w:p>
    <w:p w14:paraId="6520576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.4出现特殊情况需要延长</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有效期的，</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以书面形式通知所有</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延长</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应予以书面答复，同意延长的，应相应延长其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保证金的有效期，但不得要求或被允许修改其响应文件。</w:t>
      </w:r>
    </w:p>
    <w:p w14:paraId="18D04A67">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.响应文件</w:t>
      </w:r>
      <w:r>
        <w:rPr>
          <w:rFonts w:hint="eastAsia" w:ascii="宋体" w:hAnsi="宋体" w:eastAsia="宋体" w:cs="宋体"/>
          <w:b/>
          <w:color w:val="auto"/>
          <w:sz w:val="24"/>
          <w:szCs w:val="24"/>
          <w:highlight w:val="none"/>
          <w:lang w:val="en-US" w:eastAsia="zh-CN"/>
        </w:rPr>
        <w:t>的制作</w:t>
      </w:r>
    </w:p>
    <w:p w14:paraId="54BF2A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20.1.本项目采用全流程电子化采购方式，</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lang w:val="en-US" w:eastAsia="zh-CN"/>
        </w:rPr>
        <w:t>必须递交电子</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文件，并对电子</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文件进行电子签章并使用CA锁进行加密，在谈判文件规定的</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lang w:val="en-US" w:eastAsia="zh-CN"/>
        </w:rPr>
        <w:t>截止时间前使用“优质采投标工具客户端”完成上传。</w:t>
      </w:r>
    </w:p>
    <w:p w14:paraId="2106B3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20.2.全流程电子采购项目供应商必须上传CA锁加密的电子</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文件，供应商下载谈判文件后，如未在谈判文件规定的</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lang w:val="en-US" w:eastAsia="zh-CN"/>
        </w:rPr>
        <w:t>文件递交截止时间前上传电子投标文件，视为投标无效；</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lang w:val="en-US" w:eastAsia="zh-CN"/>
        </w:rPr>
        <w:t>在</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lang w:val="en-US" w:eastAsia="zh-CN"/>
        </w:rPr>
        <w:t>文件递交截止时间前，可以对其所递交的电子</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文件进行撤回，修改后重新上传（具体操作详见教程）；</w:t>
      </w:r>
    </w:p>
    <w:p w14:paraId="644CC8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20.3.响应文件递交截止时间以优质采云采购平台（www.youzhicai.com）系统的时间为准，逾期系统将自动关闭,电子响应文件未完成上传的，视为没有递交响应文件；</w:t>
      </w:r>
    </w:p>
    <w:p w14:paraId="276C44D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20.4.响应文件可远程解密，供应商无需到达</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lang w:val="en-US" w:eastAsia="zh-CN"/>
        </w:rPr>
        <w:t>现场。谈判文件“</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lang w:val="en-US" w:eastAsia="zh-CN"/>
        </w:rPr>
        <w:t>须知”中另有规定的，从其规定。</w:t>
      </w:r>
    </w:p>
    <w:p w14:paraId="48845C87">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20.5.</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lang w:val="en-US" w:eastAsia="zh-CN"/>
        </w:rPr>
        <w:t>在制作、上传电子</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文件过程中，若存在技术操作问题，请及时联系优质采云采购平台客服人员，客服电话：400-0099-555，0551-62220164，0551-62220012。</w:t>
      </w:r>
    </w:p>
    <w:p w14:paraId="5C6775CC">
      <w:pPr>
        <w:pStyle w:val="4"/>
        <w:spacing w:line="360" w:lineRule="auto"/>
        <w:ind w:firstLine="628"/>
        <w:rPr>
          <w:rFonts w:hint="eastAsia" w:ascii="宋体" w:hAnsi="宋体" w:eastAsia="宋体" w:cs="宋体"/>
          <w:color w:val="auto"/>
          <w:sz w:val="28"/>
          <w:highlight w:val="none"/>
        </w:rPr>
      </w:pPr>
      <w:bookmarkStart w:id="54" w:name="_Hlt509650572"/>
      <w:bookmarkEnd w:id="54"/>
      <w:bookmarkStart w:id="55" w:name="_Hlt509649294"/>
      <w:bookmarkEnd w:id="55"/>
      <w:bookmarkStart w:id="56" w:name="_Toc30216"/>
      <w:bookmarkStart w:id="57" w:name="_Toc15471"/>
      <w:bookmarkStart w:id="58" w:name="_Toc1863"/>
      <w:bookmarkStart w:id="59" w:name="_Toc522466826"/>
      <w:r>
        <w:rPr>
          <w:rFonts w:hint="eastAsia" w:ascii="宋体" w:hAnsi="宋体" w:eastAsia="宋体" w:cs="宋体"/>
          <w:color w:val="auto"/>
          <w:sz w:val="28"/>
          <w:highlight w:val="none"/>
        </w:rPr>
        <w:t>四．响应文件的递交</w:t>
      </w:r>
      <w:bookmarkEnd w:id="56"/>
      <w:bookmarkEnd w:id="57"/>
      <w:bookmarkEnd w:id="58"/>
      <w:bookmarkEnd w:id="59"/>
      <w:bookmarkStart w:id="60" w:name="_Hlt509649414"/>
      <w:bookmarkEnd w:id="60"/>
    </w:p>
    <w:p w14:paraId="2F6B1D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highlight w:val="none"/>
        </w:rPr>
        <w:t>响应文件的递交</w:t>
      </w:r>
    </w:p>
    <w:p w14:paraId="13269B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应在</w:t>
      </w:r>
      <w:r>
        <w:rPr>
          <w:rFonts w:hint="eastAsia" w:ascii="宋体" w:hAnsi="宋体" w:cs="宋体"/>
          <w:color w:val="auto"/>
          <w:sz w:val="24"/>
          <w:highlight w:val="none"/>
          <w:u w:val="single"/>
          <w:lang w:val="en-US" w:eastAsia="zh-CN"/>
        </w:rPr>
        <w:t>参审单位</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中规定的响应文件提交截止时间前，在网上提交加密电子响应文件。</w:t>
      </w:r>
    </w:p>
    <w:p w14:paraId="6B373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文件规定的响应文件提交截止时间前上传了网上加密电子响应文件，但未在规定时间内进行解密的，</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4890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业主方（委托单位）</w:t>
      </w:r>
      <w:r>
        <w:rPr>
          <w:rFonts w:hint="eastAsia" w:ascii="宋体" w:hAnsi="宋体" w:eastAsia="宋体" w:cs="宋体"/>
          <w:color w:val="auto"/>
          <w:sz w:val="24"/>
          <w:highlight w:val="none"/>
        </w:rPr>
        <w:t>和</w:t>
      </w:r>
      <w:r>
        <w:rPr>
          <w:rFonts w:hint="eastAsia" w:ascii="宋体" w:hAnsi="宋体" w:cs="宋体"/>
          <w:color w:val="auto"/>
          <w:sz w:val="24"/>
          <w:highlight w:val="none"/>
          <w:lang w:val="en-US" w:eastAsia="zh-CN"/>
        </w:rPr>
        <w:t>代理机构</w:t>
      </w:r>
      <w:r>
        <w:rPr>
          <w:rFonts w:hint="eastAsia" w:ascii="宋体" w:hAnsi="宋体" w:eastAsia="宋体" w:cs="宋体"/>
          <w:color w:val="auto"/>
          <w:sz w:val="24"/>
          <w:highlight w:val="none"/>
        </w:rPr>
        <w:t>延迟响应文件提交截止时间的。</w:t>
      </w:r>
      <w:r>
        <w:rPr>
          <w:rFonts w:hint="eastAsia" w:ascii="宋体" w:hAnsi="宋体" w:cs="宋体"/>
          <w:color w:val="auto"/>
          <w:sz w:val="24"/>
          <w:highlight w:val="none"/>
          <w:lang w:val="en-US" w:eastAsia="zh-CN"/>
        </w:rPr>
        <w:t>业主方（委托单位）</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代理机构</w:t>
      </w:r>
      <w:r>
        <w:rPr>
          <w:rFonts w:hint="eastAsia" w:ascii="宋体" w:hAnsi="宋体" w:eastAsia="宋体" w:cs="宋体"/>
          <w:color w:val="auto"/>
          <w:sz w:val="24"/>
          <w:highlight w:val="none"/>
        </w:rPr>
        <w:t>和</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受响应文件提交截止时间制约的所有权利和义务均应延长至新的截止时间。</w:t>
      </w:r>
    </w:p>
    <w:p w14:paraId="64BDB4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.响应文件的修改和撤回</w:t>
      </w:r>
    </w:p>
    <w:p w14:paraId="4F7EC2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应当在第一章“</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邀请”规定的响应文件提交截止时间前，将加密的响应文件在</w:t>
      </w:r>
      <w:r>
        <w:rPr>
          <w:rFonts w:hint="eastAsia" w:ascii="宋体" w:hAnsi="宋体" w:eastAsia="宋体" w:cs="宋体"/>
          <w:color w:val="auto"/>
          <w:sz w:val="24"/>
          <w:highlight w:val="none"/>
          <w:lang w:val="en-US" w:eastAsia="zh-CN"/>
        </w:rPr>
        <w:t>优质采云采购平台（www.youzhicai.com）</w:t>
      </w:r>
      <w:r>
        <w:rPr>
          <w:rFonts w:hint="eastAsia" w:ascii="宋体" w:hAnsi="宋体" w:eastAsia="宋体" w:cs="宋体"/>
          <w:color w:val="auto"/>
          <w:sz w:val="24"/>
          <w:highlight w:val="none"/>
        </w:rPr>
        <w:t>上传。</w:t>
      </w:r>
    </w:p>
    <w:p w14:paraId="0BD017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231B7B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应在</w:t>
      </w:r>
      <w:r>
        <w:rPr>
          <w:rFonts w:hint="eastAsia" w:ascii="宋体" w:hAnsi="宋体" w:cs="宋体"/>
          <w:color w:val="auto"/>
          <w:sz w:val="24"/>
          <w:highlight w:val="none"/>
          <w:u w:val="single"/>
          <w:lang w:val="en-US" w:eastAsia="zh-CN"/>
        </w:rPr>
        <w:t>参审单位</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规定的解密时间前（以</w:t>
      </w:r>
      <w:r>
        <w:rPr>
          <w:rFonts w:hint="eastAsia" w:ascii="宋体" w:hAnsi="宋体" w:eastAsia="宋体" w:cs="宋体"/>
          <w:color w:val="auto"/>
          <w:sz w:val="24"/>
          <w:highlight w:val="none"/>
          <w:lang w:val="en-US" w:eastAsia="zh-CN"/>
        </w:rPr>
        <w:t>优质采云采购平台（www.youzhicai.com）系统的</w:t>
      </w:r>
      <w:r>
        <w:rPr>
          <w:rFonts w:hint="eastAsia" w:ascii="宋体" w:hAnsi="宋体" w:eastAsia="宋体" w:cs="宋体"/>
          <w:color w:val="auto"/>
          <w:sz w:val="24"/>
          <w:highlight w:val="none"/>
        </w:rPr>
        <w:t>解密倒计时为准）对本单位的响应文件进行解密，</w:t>
      </w:r>
      <w:r>
        <w:rPr>
          <w:rFonts w:hint="eastAsia" w:ascii="宋体" w:hAnsi="宋体" w:cs="宋体"/>
          <w:color w:val="auto"/>
          <w:sz w:val="24"/>
          <w:highlight w:val="none"/>
          <w:lang w:val="en-US" w:eastAsia="zh-CN"/>
        </w:rPr>
        <w:t>代理机构</w:t>
      </w:r>
      <w:r>
        <w:rPr>
          <w:rFonts w:hint="eastAsia" w:ascii="宋体" w:hAnsi="宋体" w:eastAsia="宋体" w:cs="宋体"/>
          <w:color w:val="auto"/>
          <w:sz w:val="24"/>
          <w:highlight w:val="none"/>
        </w:rPr>
        <w:t>工作人员在监督员监督下解密所有响应文件。</w:t>
      </w:r>
    </w:p>
    <w:p w14:paraId="264F8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.4在响应文件提交截止时间之后，</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不得对其响应文件做任何修改。但属于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小组在评审中发现的计算错误并进行核实的修改、按照</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文件的变动情况和</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小组的要求重新提交响应文件的，不在此列。</w:t>
      </w:r>
    </w:p>
    <w:p w14:paraId="6E5CA18C">
      <w:pPr>
        <w:pStyle w:val="4"/>
        <w:spacing w:line="360" w:lineRule="auto"/>
        <w:ind w:firstLine="628"/>
        <w:rPr>
          <w:rFonts w:hint="eastAsia" w:ascii="宋体" w:hAnsi="宋体" w:eastAsia="宋体" w:cs="宋体"/>
          <w:color w:val="auto"/>
          <w:sz w:val="28"/>
          <w:highlight w:val="none"/>
          <w:lang w:eastAsia="zh-CN"/>
        </w:rPr>
      </w:pPr>
      <w:bookmarkStart w:id="61" w:name="_Toc459990140"/>
      <w:bookmarkStart w:id="62" w:name="_Toc522466827"/>
      <w:bookmarkStart w:id="63" w:name="_Toc20388"/>
      <w:bookmarkStart w:id="64" w:name="_Toc10942"/>
      <w:bookmarkStart w:id="65" w:name="_Toc14734"/>
      <w:r>
        <w:rPr>
          <w:rFonts w:hint="eastAsia" w:ascii="宋体" w:hAnsi="宋体" w:eastAsia="宋体" w:cs="宋体"/>
          <w:color w:val="auto"/>
          <w:sz w:val="28"/>
          <w:highlight w:val="none"/>
        </w:rPr>
        <w:t>五．</w:t>
      </w:r>
      <w:bookmarkEnd w:id="61"/>
      <w:r>
        <w:rPr>
          <w:rFonts w:hint="eastAsia" w:ascii="宋体" w:hAnsi="宋体" w:eastAsia="宋体" w:cs="宋体"/>
          <w:color w:val="auto"/>
          <w:sz w:val="28"/>
          <w:highlight w:val="none"/>
        </w:rPr>
        <w:t>响应文件</w:t>
      </w:r>
      <w:bookmarkEnd w:id="62"/>
      <w:bookmarkEnd w:id="63"/>
      <w:r>
        <w:rPr>
          <w:rFonts w:hint="eastAsia" w:ascii="宋体" w:hAnsi="宋体" w:eastAsia="宋体" w:cs="宋体"/>
          <w:color w:val="auto"/>
          <w:sz w:val="28"/>
          <w:highlight w:val="none"/>
          <w:lang w:eastAsia="zh-CN"/>
        </w:rPr>
        <w:t>谈判</w:t>
      </w:r>
      <w:bookmarkEnd w:id="64"/>
      <w:bookmarkEnd w:id="65"/>
    </w:p>
    <w:p w14:paraId="34A92B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业主方（委托单位）</w:t>
      </w:r>
      <w:r>
        <w:rPr>
          <w:rFonts w:hint="eastAsia" w:ascii="宋体" w:hAnsi="宋体" w:eastAsia="宋体" w:cs="宋体"/>
          <w:color w:val="auto"/>
          <w:sz w:val="24"/>
          <w:highlight w:val="none"/>
        </w:rPr>
        <w:t>和</w:t>
      </w:r>
      <w:r>
        <w:rPr>
          <w:rFonts w:hint="eastAsia" w:ascii="宋体" w:hAnsi="宋体" w:cs="宋体"/>
          <w:color w:val="auto"/>
          <w:sz w:val="24"/>
          <w:highlight w:val="none"/>
          <w:lang w:val="en-US" w:eastAsia="zh-CN"/>
        </w:rPr>
        <w:t>代理机构</w:t>
      </w:r>
      <w:r>
        <w:rPr>
          <w:rFonts w:hint="eastAsia" w:ascii="宋体" w:hAnsi="宋体" w:eastAsia="宋体" w:cs="宋体"/>
          <w:color w:val="auto"/>
          <w:sz w:val="24"/>
          <w:highlight w:val="none"/>
        </w:rPr>
        <w:t>将在</w:t>
      </w:r>
      <w:r>
        <w:rPr>
          <w:rFonts w:hint="eastAsia" w:ascii="宋体" w:hAnsi="宋体" w:cs="宋体"/>
          <w:color w:val="auto"/>
          <w:sz w:val="24"/>
          <w:highlight w:val="none"/>
          <w:u w:val="single"/>
          <w:lang w:val="en-US" w:eastAsia="zh-CN"/>
        </w:rPr>
        <w:t>参审单位</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规定的时间和地点组织</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w:t>
      </w:r>
    </w:p>
    <w:p w14:paraId="214C6B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 xml:space="preserve">.2 </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采用最低评标价法评审。</w:t>
      </w:r>
    </w:p>
    <w:p w14:paraId="5FEE6AC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最低评标价法，是指响应文件满足谈判文件全部实质性要求且最后报价最低的供应商为成交候选人的评标方法。</w:t>
      </w:r>
    </w:p>
    <w:p w14:paraId="7F9BD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.3谈判小组将按照谈判文件规定的评审方法和标准对供应商独立进行评审。评审程序如下：</w:t>
      </w:r>
    </w:p>
    <w:p w14:paraId="594EB9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.3.1初审。谈判小组对</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必须满足和实质性响应的内容进行评审，</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未实质性响应谈判文件要求导致响应无效的，谈判小组将以书面询标的方式告知有关</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w:t>
      </w:r>
    </w:p>
    <w:p w14:paraId="042A82E6">
      <w:pPr>
        <w:spacing w:line="360" w:lineRule="auto"/>
        <w:ind w:firstLine="470" w:firstLineChars="196"/>
        <w:rPr>
          <w:rFonts w:hint="eastAsia" w:ascii="宋体" w:hAnsi="宋体" w:eastAsia="宋体" w:cs="宋体"/>
          <w:color w:val="auto"/>
          <w:sz w:val="24"/>
          <w:highlight w:val="none"/>
        </w:rPr>
      </w:pP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存在不良信用记录的，其响应文件将被认定为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3CB46785">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以联合体形式参加谈判的，联合体任何成员存在以上不良信用记录的，联合体谈判将被认定为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81C47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.3.2谈判。初审合格后，谈判小组将按网上加密电子响应文件提交顺序集中与单一</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分别进行谈判，并给予所有参加谈判的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平等的谈判机会。</w:t>
      </w:r>
    </w:p>
    <w:p w14:paraId="0539BB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.3.3报价。谈判结束后，谈判小组应当要求所有继续参加谈判的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在规定时间内提交最后报价。</w:t>
      </w:r>
    </w:p>
    <w:p w14:paraId="4B7183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.4相关说明。</w:t>
      </w:r>
    </w:p>
    <w:p w14:paraId="6F2A72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.4.1为保证谈判活动顺利进行，</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可派相关技术人员进行网上答疑；</w:t>
      </w:r>
    </w:p>
    <w:p w14:paraId="12851A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.4.2谈判小组根据与</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谈判情况可能实质性变动谈判文件的内容，包括采购需求中的技术、服务要求以及合同草案条款。谈判文件有实质性变动的，经采购人代表确认作为谈判文件的有效组成部分，谈判小组将以书面形式通知所有参加谈判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w:t>
      </w:r>
    </w:p>
    <w:p w14:paraId="2F0774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.4.3谈判小组发现</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的报价或者某些分项报价明显低于其他通过初审的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的报价，有可能影响产品质量和不能诚信履约的，应当要求其在合理的时间内提供书面说明，必要时提交相关证明材料；</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63B17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.4.4无论何种原因，即使</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谈判时携带了证书材料的原件，但响应文件中未提供与之内容完全一致的扫描件的，谈判小组可以视同其未提供。</w:t>
      </w:r>
    </w:p>
    <w:p w14:paraId="1775CB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.4.5谈判小组决定响应文件的响应性及符合性只根据响应文件本身的内容，而不寻求其他外部证据。</w:t>
      </w:r>
    </w:p>
    <w:p w14:paraId="150AAE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 xml:space="preserve">授权代表对谈判过程有疑义，以及认为采购人、采购代理机构相关工作人员有需要回避的情形的，应当场提出询问或者回避申请，并说明理由。 </w:t>
      </w:r>
    </w:p>
    <w:p w14:paraId="04974632">
      <w:pPr>
        <w:spacing w:line="360" w:lineRule="auto"/>
        <w:ind w:firstLine="482" w:firstLineChars="200"/>
        <w:outlineLvl w:val="3"/>
        <w:rPr>
          <w:rFonts w:hint="eastAsia" w:ascii="宋体" w:hAnsi="宋体" w:eastAsia="宋体" w:cs="宋体"/>
          <w:b/>
          <w:color w:val="auto"/>
          <w:sz w:val="24"/>
          <w:highlight w:val="none"/>
          <w:lang w:eastAsia="zh-CN"/>
        </w:rPr>
      </w:pPr>
      <w:bookmarkStart w:id="66" w:name="_Toc11808"/>
      <w:bookmarkStart w:id="67" w:name="_Toc6059"/>
      <w:r>
        <w:rPr>
          <w:rFonts w:hint="eastAsia" w:ascii="宋体" w:hAnsi="宋体" w:eastAsia="宋体" w:cs="宋体"/>
          <w:b/>
          <w:color w:val="auto"/>
          <w:sz w:val="24"/>
          <w:highlight w:val="none"/>
          <w:lang w:val="en-US" w:eastAsia="zh-CN"/>
        </w:rPr>
        <w:t>24</w:t>
      </w:r>
      <w:r>
        <w:rPr>
          <w:rFonts w:hint="eastAsia" w:ascii="宋体" w:hAnsi="宋体" w:eastAsia="宋体" w:cs="宋体"/>
          <w:b/>
          <w:color w:val="auto"/>
          <w:sz w:val="24"/>
          <w:highlight w:val="none"/>
        </w:rPr>
        <w:t>.终止</w:t>
      </w:r>
      <w:bookmarkEnd w:id="66"/>
      <w:bookmarkEnd w:id="67"/>
      <w:r>
        <w:rPr>
          <w:rFonts w:hint="eastAsia" w:ascii="宋体" w:hAnsi="宋体" w:cs="宋体"/>
          <w:b/>
          <w:color w:val="auto"/>
          <w:sz w:val="24"/>
          <w:highlight w:val="none"/>
          <w:lang w:eastAsia="zh-CN"/>
        </w:rPr>
        <w:t>谈判</w:t>
      </w:r>
    </w:p>
    <w:p w14:paraId="3D0F7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中，符合专业条件的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或对</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文件作实质响应的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不足规定家数的，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highlight w:val="none"/>
        </w:rPr>
        <w:t>有权对</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项目作流标处理。流标后，流标原因将</w:t>
      </w:r>
      <w:r>
        <w:rPr>
          <w:rFonts w:hint="eastAsia" w:ascii="宋体" w:hAnsi="宋体" w:eastAsia="宋体" w:cs="宋体"/>
          <w:bCs/>
          <w:color w:val="auto"/>
          <w:sz w:val="24"/>
          <w:highlight w:val="none"/>
        </w:rPr>
        <w:t>在网上公</w:t>
      </w:r>
      <w:r>
        <w:rPr>
          <w:rFonts w:hint="eastAsia" w:ascii="宋体" w:hAnsi="宋体" w:eastAsia="宋体" w:cs="宋体"/>
          <w:color w:val="auto"/>
          <w:sz w:val="24"/>
          <w:highlight w:val="none"/>
        </w:rPr>
        <w:t>示</w:t>
      </w:r>
      <w:r>
        <w:rPr>
          <w:rFonts w:hint="eastAsia" w:ascii="宋体" w:hAnsi="宋体" w:eastAsia="宋体" w:cs="宋体"/>
          <w:bCs/>
          <w:color w:val="auto"/>
          <w:sz w:val="24"/>
          <w:highlight w:val="none"/>
        </w:rPr>
        <w:t>。</w:t>
      </w:r>
    </w:p>
    <w:p w14:paraId="6957A4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24</w:t>
      </w:r>
      <w:r>
        <w:rPr>
          <w:rFonts w:hint="eastAsia" w:ascii="宋体" w:hAnsi="宋体" w:eastAsia="宋体" w:cs="宋体"/>
          <w:b/>
          <w:color w:val="auto"/>
          <w:sz w:val="24"/>
          <w:highlight w:val="none"/>
        </w:rPr>
        <w:t>.响应文件的澄清、说明或补正</w:t>
      </w:r>
    </w:p>
    <w:p w14:paraId="0A47E482">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小组将对响应文件的有效性、完整性和响应程度进行审查，审查时可以要求</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对响应文件中含义不明确、同类问题表述不一致或者有明显文字和计算错误的内容等作出必要的澄清、说明或者更正。</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的澄清、说明或者更正不得超出响应文件的范围或者改变响应文件的实质性内容。对不同文字文本响应文件的解释发生异议的，以中文文本为准。</w:t>
      </w:r>
    </w:p>
    <w:p w14:paraId="54D3B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trike w:val="0"/>
          <w:dstrike w:val="0"/>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谈判小组通过优质采电子评标工具将需要澄清、说明或补正的内容以询标函的形式发送给</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lang w:val="en-US" w:eastAsia="zh-CN"/>
        </w:rPr>
        <w:t>应登录优质采投标工具客户端并保持在线状态，以便及时接收谈判小组可能发出的询标函，并在询标函载明的时间内回复，若</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lang w:val="en-US" w:eastAsia="zh-CN"/>
        </w:rPr>
        <w:t>未及时回复，视为放弃澄清。</w:t>
      </w:r>
    </w:p>
    <w:p w14:paraId="62E6CD13">
      <w:pPr>
        <w:spacing w:line="360" w:lineRule="auto"/>
        <w:ind w:firstLine="437"/>
        <w:outlineLvl w:val="3"/>
        <w:rPr>
          <w:rFonts w:hint="eastAsia" w:ascii="宋体" w:hAnsi="宋体" w:eastAsia="宋体" w:cs="宋体"/>
          <w:b/>
          <w:color w:val="auto"/>
          <w:sz w:val="24"/>
          <w:highlight w:val="none"/>
        </w:rPr>
      </w:pPr>
      <w:bookmarkStart w:id="68" w:name="_Toc3186"/>
      <w:bookmarkStart w:id="69" w:name="_Toc9592"/>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.最后报价</w:t>
      </w:r>
      <w:bookmarkEnd w:id="68"/>
      <w:bookmarkEnd w:id="69"/>
    </w:p>
    <w:p w14:paraId="145DE5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并不限定只进行二轮报价，如果</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小组认为有必要，可以要求</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进行多轮报价。</w:t>
      </w:r>
    </w:p>
    <w:p w14:paraId="6FB7AF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.2在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内容不做实质性变更或重大调整的前提下，</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下轮报价不得高于上一轮报价。</w:t>
      </w:r>
    </w:p>
    <w:p w14:paraId="5AFBE5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.3最后报价是</w:t>
      </w: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响应文件的有效组成部分，最后报价也是签订合同的依据。</w:t>
      </w:r>
    </w:p>
    <w:p w14:paraId="38FEEF76">
      <w:pPr>
        <w:pStyle w:val="4"/>
        <w:spacing w:line="360" w:lineRule="auto"/>
        <w:ind w:firstLine="628"/>
        <w:rPr>
          <w:rFonts w:hint="eastAsia" w:ascii="宋体" w:hAnsi="宋体" w:eastAsia="宋体" w:cs="宋体"/>
          <w:color w:val="auto"/>
          <w:sz w:val="28"/>
          <w:highlight w:val="none"/>
        </w:rPr>
      </w:pPr>
      <w:bookmarkStart w:id="70" w:name="_Toc477793061"/>
      <w:bookmarkStart w:id="71" w:name="_Toc522466828"/>
      <w:bookmarkStart w:id="72" w:name="_Toc460487454"/>
      <w:bookmarkStart w:id="73" w:name="_Toc15057"/>
    </w:p>
    <w:p w14:paraId="6EF3403B">
      <w:pPr>
        <w:rPr>
          <w:rFonts w:hint="eastAsia" w:ascii="宋体" w:hAnsi="宋体" w:eastAsia="宋体" w:cs="宋体"/>
          <w:color w:val="auto"/>
          <w:sz w:val="28"/>
          <w:highlight w:val="none"/>
        </w:rPr>
      </w:pPr>
    </w:p>
    <w:p w14:paraId="7DF9D321">
      <w:pPr>
        <w:pStyle w:val="33"/>
        <w:rPr>
          <w:rFonts w:hint="eastAsia" w:ascii="宋体" w:hAnsi="宋体" w:eastAsia="宋体" w:cs="宋体"/>
          <w:color w:val="auto"/>
          <w:sz w:val="28"/>
          <w:highlight w:val="none"/>
        </w:rPr>
      </w:pPr>
    </w:p>
    <w:p w14:paraId="73AC0A7F">
      <w:pPr>
        <w:pStyle w:val="33"/>
        <w:rPr>
          <w:rFonts w:hint="eastAsia" w:ascii="宋体" w:hAnsi="宋体" w:eastAsia="宋体" w:cs="宋体"/>
          <w:color w:val="auto"/>
          <w:sz w:val="28"/>
          <w:highlight w:val="none"/>
        </w:rPr>
      </w:pPr>
    </w:p>
    <w:p w14:paraId="44C69533">
      <w:pPr>
        <w:pStyle w:val="4"/>
        <w:spacing w:line="360" w:lineRule="auto"/>
        <w:ind w:firstLine="628"/>
        <w:rPr>
          <w:rFonts w:hint="eastAsia" w:ascii="宋体" w:hAnsi="宋体" w:eastAsia="宋体" w:cs="宋体"/>
          <w:color w:val="auto"/>
          <w:sz w:val="28"/>
          <w:highlight w:val="none"/>
        </w:rPr>
      </w:pPr>
      <w:bookmarkStart w:id="74" w:name="_Toc9522"/>
      <w:bookmarkStart w:id="75" w:name="_Toc13733"/>
      <w:r>
        <w:rPr>
          <w:rFonts w:hint="eastAsia" w:ascii="宋体" w:hAnsi="宋体" w:eastAsia="宋体" w:cs="宋体"/>
          <w:color w:val="auto"/>
          <w:sz w:val="28"/>
          <w:highlight w:val="none"/>
        </w:rPr>
        <w:t>六．定标与签订合同</w:t>
      </w:r>
      <w:bookmarkEnd w:id="70"/>
      <w:bookmarkEnd w:id="71"/>
      <w:bookmarkEnd w:id="72"/>
      <w:bookmarkEnd w:id="73"/>
      <w:bookmarkEnd w:id="74"/>
      <w:bookmarkEnd w:id="75"/>
    </w:p>
    <w:p w14:paraId="47AEC24F">
      <w:pPr>
        <w:keepNext w:val="0"/>
        <w:keepLines w:val="0"/>
        <w:pageBreakBefore w:val="0"/>
        <w:widowControl w:val="0"/>
        <w:kinsoku/>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.定标</w:t>
      </w:r>
    </w:p>
    <w:p w14:paraId="6C67767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26.1谈判小组应当按谈判文件规定的标准和方法提出独立评审意见，推荐</w:t>
      </w:r>
      <w:r>
        <w:rPr>
          <w:rFonts w:hint="eastAsia" w:ascii="宋体" w:hAnsi="宋体" w:cs="宋体"/>
          <w:color w:val="auto"/>
          <w:sz w:val="24"/>
          <w:highlight w:val="none"/>
          <w:lang w:val="en-US" w:eastAsia="zh-CN"/>
        </w:rPr>
        <w:t>成交候选人</w:t>
      </w:r>
      <w:r>
        <w:rPr>
          <w:rFonts w:hint="eastAsia" w:ascii="宋体" w:hAnsi="宋体" w:eastAsia="宋体" w:cs="宋体"/>
          <w:color w:val="auto"/>
          <w:sz w:val="24"/>
          <w:highlight w:val="none"/>
          <w:lang w:val="en-US" w:eastAsia="zh-CN"/>
        </w:rPr>
        <w:t>。</w:t>
      </w:r>
    </w:p>
    <w:p w14:paraId="0B0F8EA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26.2成交候选人的推荐原则及标准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谈判小组依据本项目谈判文件所约定的评审方法和标准，按照最后报价由低到高的顺序依次推荐成交候选人。最后报价相同的，则由谈判小组采取随机抽取方式确定。</w:t>
      </w:r>
    </w:p>
    <w:p w14:paraId="0198760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26.3</w:t>
      </w:r>
      <w:r>
        <w:rPr>
          <w:rFonts w:ascii="宋体" w:hAnsi="宋体" w:eastAsia="宋体" w:cs="宋体"/>
          <w:color w:val="auto"/>
          <w:sz w:val="24"/>
          <w:szCs w:val="24"/>
          <w:highlight w:val="none"/>
        </w:rPr>
        <w:t>确定成交候选人和成交供应商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谈判小组按照最后报价由低到高的顺序和供应商须知前附表中规定确定成交候选人，并标明排列顺序。排名第一的成交候选人经采购人或采购人授权的谈判小组确定为成交供应商后，由采购代理机构在指定媒体上予以公告。</w:t>
      </w:r>
    </w:p>
    <w:p w14:paraId="2B76983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26.4 最低报价并不是被授予合同的保证。</w:t>
      </w:r>
    </w:p>
    <w:p w14:paraId="53A195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26.5 凡发现</w:t>
      </w: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有下列行为之一的，其</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无效，并移交</w:t>
      </w:r>
      <w:r>
        <w:rPr>
          <w:rFonts w:hint="eastAsia" w:ascii="宋体" w:hAnsi="宋体" w:eastAsia="宋体" w:cs="宋体"/>
          <w:color w:val="auto"/>
          <w:sz w:val="24"/>
          <w:highlight w:val="none"/>
          <w:lang w:eastAsia="zh-CN"/>
        </w:rPr>
        <w:t>监管部门</w:t>
      </w:r>
      <w:r>
        <w:rPr>
          <w:rFonts w:hint="eastAsia" w:ascii="宋体" w:hAnsi="宋体" w:eastAsia="宋体" w:cs="宋体"/>
          <w:color w:val="auto"/>
          <w:sz w:val="24"/>
          <w:highlight w:val="none"/>
        </w:rPr>
        <w:t>依法处理：</w:t>
      </w:r>
    </w:p>
    <w:p w14:paraId="53F96ABD">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.5.1</w:t>
      </w:r>
      <w:r>
        <w:rPr>
          <w:rFonts w:hint="eastAsia" w:ascii="宋体" w:hAnsi="宋体" w:eastAsia="宋体" w:cs="宋体"/>
          <w:color w:val="auto"/>
          <w:sz w:val="24"/>
          <w:highlight w:val="none"/>
        </w:rPr>
        <w:t>有下列情形之一的，属于</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相互串通投标：</w:t>
      </w:r>
    </w:p>
    <w:p w14:paraId="1AC70B58">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.5.1.1</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之间协商投标报价等响应文件的实质性内容；</w:t>
      </w:r>
    </w:p>
    <w:p w14:paraId="0AF878D6">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.5.1.2</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之间约定</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w:t>
      </w:r>
    </w:p>
    <w:p w14:paraId="4DC148F7">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.5.1.3</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之间约定部分</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放弃投标或者</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w:t>
      </w:r>
    </w:p>
    <w:p w14:paraId="3502723F">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.5.1.4属于同一集团、协会、商会等组织成员的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按照该组织要求协同投标；</w:t>
      </w:r>
    </w:p>
    <w:p w14:paraId="54AA5F96">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.5.1.5</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之间为谋取</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或者排斥特定</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而采取的其他联合行动。</w:t>
      </w:r>
    </w:p>
    <w:p w14:paraId="5130EA3A">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.5.2</w:t>
      </w:r>
      <w:r>
        <w:rPr>
          <w:rFonts w:hint="eastAsia" w:ascii="宋体" w:hAnsi="宋体" w:eastAsia="宋体" w:cs="宋体"/>
          <w:color w:val="auto"/>
          <w:sz w:val="24"/>
          <w:highlight w:val="none"/>
        </w:rPr>
        <w:t>有下列情形之一的，视为</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相互串通投标：</w:t>
      </w:r>
    </w:p>
    <w:p w14:paraId="467A94A0">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.5.2.1不同</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的响应文件由同一单位或者个人编制；</w:t>
      </w:r>
    </w:p>
    <w:p w14:paraId="06698F83">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.5.2.2不同</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委托同一单位或者个人办理投标事宜；</w:t>
      </w:r>
    </w:p>
    <w:p w14:paraId="4C2CC50C">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.5.2.3不同</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的响应文件载明的项目管理成员为同一人；</w:t>
      </w:r>
    </w:p>
    <w:p w14:paraId="735034CB">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.5.2.4不同</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的响应文件异常一致或者投标报价呈规律性差异；</w:t>
      </w:r>
    </w:p>
    <w:p w14:paraId="69DE145F">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.5.2.5不同</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的响应文件相互混装；</w:t>
      </w:r>
    </w:p>
    <w:p w14:paraId="64BAC307">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.5.2.6不同</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保证金从同一单位或者个人的账户转出。</w:t>
      </w:r>
    </w:p>
    <w:p w14:paraId="58798C8B">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.5.3</w:t>
      </w:r>
      <w:r>
        <w:rPr>
          <w:rFonts w:hint="eastAsia" w:ascii="宋体" w:hAnsi="宋体" w:eastAsia="宋体" w:cs="宋体"/>
          <w:color w:val="auto"/>
          <w:sz w:val="24"/>
          <w:highlight w:val="none"/>
        </w:rPr>
        <w:t>有下列情形之一的，属于</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串通投标：</w:t>
      </w:r>
    </w:p>
    <w:p w14:paraId="3DDE5D7D">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bCs/>
          <w:color w:val="auto"/>
          <w:sz w:val="24"/>
          <w:highlight w:val="none"/>
        </w:rPr>
        <w:t>.5.3.1</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在开标前开启响应文件并将有关信息泄露给其他</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w:t>
      </w:r>
    </w:p>
    <w:p w14:paraId="149AF0AB">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bCs/>
          <w:color w:val="auto"/>
          <w:sz w:val="24"/>
          <w:highlight w:val="none"/>
        </w:rPr>
        <w:t>.5.3.2</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直接或者间接向</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泄露标底、</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小组成员等信息；</w:t>
      </w:r>
    </w:p>
    <w:p w14:paraId="69C6652D">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bCs/>
          <w:color w:val="auto"/>
          <w:sz w:val="24"/>
          <w:highlight w:val="none"/>
        </w:rPr>
        <w:t>.5.3.3</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明示或者暗示</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压低或者抬高投标报价；</w:t>
      </w:r>
    </w:p>
    <w:p w14:paraId="5ED0D227">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bCs/>
          <w:color w:val="auto"/>
          <w:sz w:val="24"/>
          <w:highlight w:val="none"/>
        </w:rPr>
        <w:t>.5.3.4</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授意</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撤换、修改响应文件；</w:t>
      </w:r>
    </w:p>
    <w:p w14:paraId="035DCEED">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bCs/>
          <w:color w:val="auto"/>
          <w:sz w:val="24"/>
          <w:highlight w:val="none"/>
        </w:rPr>
        <w:t>.5.3.5</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明示或者暗示</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为特定</w:t>
      </w:r>
      <w:r>
        <w:rPr>
          <w:rFonts w:hint="eastAsia" w:ascii="宋体" w:hAnsi="宋体" w:cs="宋体"/>
          <w:color w:val="auto"/>
          <w:sz w:val="24"/>
          <w:highlight w:val="none"/>
          <w:lang w:eastAsia="zh-CN"/>
        </w:rPr>
        <w:t>参审单位成交</w:t>
      </w:r>
      <w:r>
        <w:rPr>
          <w:rFonts w:hint="eastAsia" w:ascii="宋体" w:hAnsi="宋体" w:eastAsia="宋体" w:cs="宋体"/>
          <w:color w:val="auto"/>
          <w:sz w:val="24"/>
          <w:highlight w:val="none"/>
        </w:rPr>
        <w:t>提供方便；</w:t>
      </w:r>
    </w:p>
    <w:p w14:paraId="760F222B">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bCs/>
          <w:color w:val="auto"/>
          <w:sz w:val="24"/>
          <w:highlight w:val="none"/>
        </w:rPr>
        <w:t>.5.3.6</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为谋求特定</w:t>
      </w:r>
      <w:r>
        <w:rPr>
          <w:rFonts w:hint="eastAsia" w:ascii="宋体" w:hAnsi="宋体" w:cs="宋体"/>
          <w:color w:val="auto"/>
          <w:sz w:val="24"/>
          <w:highlight w:val="none"/>
          <w:lang w:eastAsia="zh-CN"/>
        </w:rPr>
        <w:t>参审单位成交</w:t>
      </w:r>
      <w:r>
        <w:rPr>
          <w:rFonts w:hint="eastAsia" w:ascii="宋体" w:hAnsi="宋体" w:eastAsia="宋体" w:cs="宋体"/>
          <w:color w:val="auto"/>
          <w:sz w:val="24"/>
          <w:highlight w:val="none"/>
        </w:rPr>
        <w:t>而采取的其他串通行为。</w:t>
      </w:r>
    </w:p>
    <w:p w14:paraId="6596637F">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.5.4</w:t>
      </w:r>
      <w:r>
        <w:rPr>
          <w:rFonts w:hint="eastAsia" w:ascii="宋体" w:hAnsi="宋体" w:eastAsia="宋体" w:cs="宋体"/>
          <w:color w:val="auto"/>
          <w:sz w:val="24"/>
          <w:highlight w:val="none"/>
        </w:rPr>
        <w:t>使用通过受让或者租借等方式获取的资格、资质证书投标的，</w:t>
      </w:r>
    </w:p>
    <w:p w14:paraId="774DC204">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.5.5</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有下列情形之一的，属于以其他方式弄虚作假的行为：</w:t>
      </w:r>
    </w:p>
    <w:p w14:paraId="06523919">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.5.5.1使用伪造、变造的许可证件；</w:t>
      </w:r>
    </w:p>
    <w:p w14:paraId="32296E2A">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.5.5.2提供虚假的财务状况或者业绩；</w:t>
      </w:r>
    </w:p>
    <w:p w14:paraId="6D74ABAB">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.5.5.3提供虚假的项目负责人或者主要技术人员简历、劳动关系证明；</w:t>
      </w:r>
    </w:p>
    <w:p w14:paraId="535B29BD">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.5.5.4提供虚假的信用状况；</w:t>
      </w:r>
    </w:p>
    <w:p w14:paraId="2E79C5F9">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.5.5.5其他弄虚作假的行为。</w:t>
      </w:r>
    </w:p>
    <w:p w14:paraId="72FCE445">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.5.6</w:t>
      </w:r>
      <w:r>
        <w:rPr>
          <w:rFonts w:hint="eastAsia" w:ascii="宋体" w:hAnsi="宋体" w:eastAsia="宋体" w:cs="宋体"/>
          <w:color w:val="auto"/>
          <w:sz w:val="24"/>
          <w:highlight w:val="none"/>
        </w:rPr>
        <w:t>其他违反招投标法律、法规和规章强制性规定的行为。</w:t>
      </w:r>
    </w:p>
    <w:p w14:paraId="503A44B3">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.6 定标前，</w:t>
      </w:r>
      <w:r>
        <w:rPr>
          <w:rFonts w:hint="eastAsia" w:ascii="宋体" w:hAnsi="宋体" w:cs="宋体"/>
          <w:color w:val="auto"/>
          <w:sz w:val="24"/>
          <w:highlight w:val="none"/>
          <w:lang w:eastAsia="zh-CN"/>
        </w:rPr>
        <w:t>肥西县公共资源交易有限责任公司</w:t>
      </w:r>
      <w:r>
        <w:rPr>
          <w:rFonts w:hint="eastAsia" w:ascii="宋体" w:hAnsi="宋体" w:eastAsia="宋体" w:cs="宋体"/>
          <w:color w:val="auto"/>
          <w:sz w:val="24"/>
          <w:highlight w:val="none"/>
        </w:rPr>
        <w:t>可能会同</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进行约谈。约谈包括诚信承诺、履约承诺以及原件核查等内容。</w:t>
      </w:r>
    </w:p>
    <w:p w14:paraId="2C53D25F">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.7</w:t>
      </w: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信息将</w:t>
      </w:r>
      <w:r>
        <w:rPr>
          <w:rFonts w:hint="eastAsia" w:ascii="宋体" w:hAnsi="宋体" w:eastAsia="宋体" w:cs="宋体"/>
          <w:bCs/>
          <w:color w:val="auto"/>
          <w:sz w:val="24"/>
          <w:highlight w:val="none"/>
        </w:rPr>
        <w:t>在网上公</w:t>
      </w:r>
      <w:r>
        <w:rPr>
          <w:rFonts w:hint="eastAsia" w:ascii="宋体" w:hAnsi="宋体" w:eastAsia="宋体" w:cs="宋体"/>
          <w:color w:val="auto"/>
          <w:sz w:val="24"/>
          <w:highlight w:val="none"/>
        </w:rPr>
        <w:t>示，公示期不少于3日，期满无异议则发布</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结果公告。</w:t>
      </w:r>
    </w:p>
    <w:p w14:paraId="6970BA43">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成交通知书</w:t>
      </w:r>
    </w:p>
    <w:p w14:paraId="1BAA1FDE">
      <w:pPr>
        <w:pStyle w:val="34"/>
        <w:keepNext w:val="0"/>
        <w:keepLines w:val="0"/>
        <w:pageBreakBefore w:val="0"/>
        <w:widowControl w:val="0"/>
        <w:numPr>
          <w:ilvl w:val="0"/>
          <w:numId w:val="0"/>
        </w:numPr>
        <w:kinsoku/>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cs="宋体"/>
          <w:color w:val="auto"/>
          <w:sz w:val="24"/>
          <w:highlight w:val="none"/>
          <w:lang w:eastAsia="zh-CN"/>
        </w:rPr>
        <w:t>肥西县公共资源交易有限责任公司</w:t>
      </w:r>
      <w:r>
        <w:rPr>
          <w:rFonts w:hint="eastAsia" w:ascii="宋体" w:hAnsi="宋体" w:eastAsia="宋体" w:cs="宋体"/>
          <w:color w:val="auto"/>
          <w:sz w:val="24"/>
          <w:highlight w:val="none"/>
        </w:rPr>
        <w:t>将以</w:t>
      </w:r>
      <w:r>
        <w:rPr>
          <w:rFonts w:hint="eastAsia" w:cs="宋体"/>
          <w:color w:val="auto"/>
          <w:sz w:val="24"/>
          <w:highlight w:val="none"/>
          <w:lang w:eastAsia="zh-CN"/>
        </w:rPr>
        <w:t>成交通知书</w:t>
      </w:r>
      <w:r>
        <w:rPr>
          <w:rFonts w:hint="eastAsia" w:ascii="宋体" w:hAnsi="宋体" w:eastAsia="宋体" w:cs="宋体"/>
          <w:color w:val="auto"/>
          <w:sz w:val="24"/>
          <w:highlight w:val="none"/>
        </w:rPr>
        <w:t>形式通知</w:t>
      </w:r>
      <w:r>
        <w:rPr>
          <w:rFonts w:hint="eastAsia" w:cs="宋体"/>
          <w:color w:val="auto"/>
          <w:sz w:val="24"/>
          <w:highlight w:val="none"/>
          <w:lang w:eastAsia="zh-CN"/>
        </w:rPr>
        <w:t>成交人</w:t>
      </w:r>
      <w:r>
        <w:rPr>
          <w:rFonts w:hint="eastAsia" w:ascii="宋体" w:hAnsi="宋体" w:eastAsia="宋体" w:cs="宋体"/>
          <w:color w:val="auto"/>
          <w:sz w:val="24"/>
          <w:highlight w:val="none"/>
        </w:rPr>
        <w:t>，其投标已被接受。</w:t>
      </w:r>
    </w:p>
    <w:p w14:paraId="761A2170">
      <w:pPr>
        <w:pStyle w:val="34"/>
        <w:keepNext w:val="0"/>
        <w:keepLines w:val="0"/>
        <w:pageBreakBefore w:val="0"/>
        <w:widowControl w:val="0"/>
        <w:numPr>
          <w:ilvl w:val="0"/>
          <w:numId w:val="0"/>
        </w:numPr>
        <w:kinsoku/>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w:t>
      </w:r>
      <w:r>
        <w:rPr>
          <w:rFonts w:hint="eastAsia" w:cs="宋体"/>
          <w:color w:val="auto"/>
          <w:sz w:val="24"/>
          <w:highlight w:val="none"/>
          <w:lang w:eastAsia="zh-CN"/>
        </w:rPr>
        <w:t>肥西县公共资源交易有限责任公司</w:t>
      </w:r>
      <w:r>
        <w:rPr>
          <w:rFonts w:hint="eastAsia" w:ascii="宋体" w:hAnsi="宋体" w:eastAsia="宋体" w:cs="宋体"/>
          <w:color w:val="auto"/>
          <w:sz w:val="24"/>
          <w:highlight w:val="none"/>
        </w:rPr>
        <w:t>对未</w:t>
      </w:r>
      <w:r>
        <w:rPr>
          <w:rFonts w:hint="eastAsia" w:cs="宋体"/>
          <w:color w:val="auto"/>
          <w:sz w:val="24"/>
          <w:highlight w:val="none"/>
          <w:lang w:eastAsia="zh-CN"/>
        </w:rPr>
        <w:t>成交</w:t>
      </w:r>
      <w:r>
        <w:rPr>
          <w:rFonts w:hint="eastAsia" w:ascii="宋体" w:hAnsi="宋体" w:eastAsia="宋体" w:cs="宋体"/>
          <w:color w:val="auto"/>
          <w:sz w:val="24"/>
          <w:highlight w:val="none"/>
        </w:rPr>
        <w:t>的</w:t>
      </w:r>
      <w:r>
        <w:rPr>
          <w:rFonts w:hint="eastAsia" w:cs="宋体"/>
          <w:color w:val="auto"/>
          <w:sz w:val="24"/>
          <w:highlight w:val="none"/>
          <w:lang w:eastAsia="zh-CN"/>
        </w:rPr>
        <w:t>参审单位</w:t>
      </w:r>
      <w:r>
        <w:rPr>
          <w:rFonts w:hint="eastAsia" w:ascii="宋体" w:hAnsi="宋体" w:eastAsia="宋体" w:cs="宋体"/>
          <w:color w:val="auto"/>
          <w:sz w:val="24"/>
          <w:highlight w:val="none"/>
        </w:rPr>
        <w:t>不做未</w:t>
      </w:r>
      <w:r>
        <w:rPr>
          <w:rFonts w:hint="eastAsia" w:cs="宋体"/>
          <w:color w:val="auto"/>
          <w:sz w:val="24"/>
          <w:highlight w:val="none"/>
          <w:lang w:eastAsia="zh-CN"/>
        </w:rPr>
        <w:t>成交</w:t>
      </w:r>
      <w:r>
        <w:rPr>
          <w:rFonts w:hint="eastAsia" w:ascii="宋体" w:hAnsi="宋体" w:eastAsia="宋体" w:cs="宋体"/>
          <w:color w:val="auto"/>
          <w:sz w:val="24"/>
          <w:highlight w:val="none"/>
        </w:rPr>
        <w:t>原因的解释。</w:t>
      </w:r>
    </w:p>
    <w:p w14:paraId="4B752771">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SA"/>
        </w:rPr>
        <w:t>27.</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结果公告发布后，</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请在3个工作日</w:t>
      </w:r>
      <w:r>
        <w:rPr>
          <w:rFonts w:hint="eastAsia" w:ascii="宋体" w:hAnsi="宋体" w:eastAsia="宋体" w:cs="宋体"/>
          <w:color w:val="auto"/>
          <w:kern w:val="0"/>
          <w:sz w:val="24"/>
          <w:highlight w:val="none"/>
        </w:rPr>
        <w:t>内领取</w:t>
      </w:r>
      <w:r>
        <w:rPr>
          <w:rFonts w:hint="eastAsia" w:ascii="宋体" w:hAnsi="宋体" w:cs="宋体"/>
          <w:color w:val="auto"/>
          <w:kern w:val="0"/>
          <w:sz w:val="24"/>
          <w:highlight w:val="none"/>
          <w:lang w:eastAsia="zh-CN"/>
        </w:rPr>
        <w:t>成交通知书</w:t>
      </w:r>
      <w:r>
        <w:rPr>
          <w:rFonts w:hint="eastAsia" w:ascii="宋体" w:hAnsi="宋体" w:eastAsia="宋体" w:cs="宋体"/>
          <w:color w:val="auto"/>
          <w:kern w:val="0"/>
          <w:sz w:val="24"/>
          <w:highlight w:val="none"/>
        </w:rPr>
        <w:t>。</w:t>
      </w:r>
    </w:p>
    <w:p w14:paraId="6E905951">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.代理服务费</w:t>
      </w:r>
    </w:p>
    <w:p w14:paraId="69F1EBE5">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highlight w:val="none"/>
          <w:lang w:eastAsia="zh-CN"/>
        </w:rPr>
        <w:t>在</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lang w:val="en-US" w:eastAsia="zh-CN"/>
        </w:rPr>
        <w:t>通知书发放后三个工作日内</w:t>
      </w:r>
      <w:r>
        <w:rPr>
          <w:rFonts w:hint="eastAsia" w:ascii="宋体" w:hAnsi="宋体" w:eastAsia="宋体" w:cs="宋体"/>
          <w:color w:val="auto"/>
          <w:sz w:val="24"/>
          <w:szCs w:val="24"/>
          <w:highlight w:val="none"/>
        </w:rPr>
        <w:t>须向</w:t>
      </w:r>
      <w:r>
        <w:rPr>
          <w:rFonts w:hint="eastAsia" w:ascii="宋体" w:hAnsi="宋体" w:cs="宋体"/>
          <w:color w:val="auto"/>
          <w:sz w:val="24"/>
          <w:szCs w:val="24"/>
          <w:highlight w:val="none"/>
          <w:lang w:eastAsia="zh-CN"/>
        </w:rPr>
        <w:t>代理机构</w:t>
      </w:r>
      <w:r>
        <w:rPr>
          <w:rFonts w:hint="eastAsia" w:ascii="宋体" w:hAnsi="宋体" w:eastAsia="宋体" w:cs="宋体"/>
          <w:color w:val="auto"/>
          <w:sz w:val="24"/>
          <w:szCs w:val="24"/>
          <w:highlight w:val="none"/>
        </w:rPr>
        <w:t>缴纳代理服务费，可以银行转账、银行电汇方式。代理服务费以</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价为计算基数，参照</w:t>
      </w:r>
      <w:r>
        <w:rPr>
          <w:rFonts w:hint="eastAsia" w:ascii="宋体" w:hAnsi="宋体" w:eastAsia="宋体" w:cs="宋体"/>
          <w:color w:val="auto"/>
          <w:sz w:val="24"/>
          <w:szCs w:val="24"/>
          <w:highlight w:val="none"/>
          <w:lang w:val="en-US" w:eastAsia="zh-CN"/>
        </w:rPr>
        <w:t>关于印发《招标（采购）代理行业服务收费指导意见》的通知（合公协〔2023]03号）文件收取</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在报价单中不单列，包含在投标总价中，</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不再单独计量支付。</w:t>
      </w:r>
    </w:p>
    <w:p w14:paraId="22F1103F">
      <w:pPr>
        <w:keepNext w:val="0"/>
        <w:keepLines w:val="0"/>
        <w:pageBreakBefore w:val="0"/>
        <w:widowControl w:val="0"/>
        <w:kinsoku/>
        <w:wordWrap w:val="0"/>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须知前附表约定收取定额服务费或免收服务费的，从其规定。</w:t>
      </w:r>
    </w:p>
    <w:p w14:paraId="5EA867BD">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如果</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未按照上条规定交纳代理服务费，</w:t>
      </w:r>
      <w:r>
        <w:rPr>
          <w:rFonts w:hint="eastAsia" w:ascii="宋体" w:hAnsi="宋体" w:cs="宋体"/>
          <w:color w:val="auto"/>
          <w:sz w:val="24"/>
          <w:highlight w:val="none"/>
          <w:lang w:val="en-US" w:eastAsia="zh-CN"/>
        </w:rPr>
        <w:t>肥西县公共资源交易有限责任公司</w:t>
      </w:r>
      <w:r>
        <w:rPr>
          <w:rFonts w:hint="eastAsia" w:ascii="宋体" w:hAnsi="宋体" w:eastAsia="宋体" w:cs="宋体"/>
          <w:color w:val="auto"/>
          <w:sz w:val="24"/>
          <w:highlight w:val="none"/>
        </w:rPr>
        <w:t>可从其</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保证金中抵扣。</w:t>
      </w:r>
    </w:p>
    <w:p w14:paraId="21E7B1DD">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代理</w:t>
      </w:r>
      <w:r>
        <w:rPr>
          <w:rFonts w:hint="eastAsia" w:ascii="宋体" w:hAnsi="宋体" w:cs="宋体"/>
          <w:b/>
          <w:bCs/>
          <w:color w:val="auto"/>
          <w:sz w:val="24"/>
          <w:szCs w:val="24"/>
          <w:highlight w:val="none"/>
        </w:rPr>
        <w:t>服务费缴纳账户：</w:t>
      </w:r>
    </w:p>
    <w:p w14:paraId="5216F3D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开户银行：中国银行股份有限公司肥西支行</w:t>
      </w:r>
    </w:p>
    <w:p w14:paraId="4440FE6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开户名：</w:t>
      </w:r>
      <w:r>
        <w:rPr>
          <w:rFonts w:hint="eastAsia" w:ascii="宋体" w:hAnsi="宋体" w:cs="宋体"/>
          <w:color w:val="auto"/>
          <w:sz w:val="24"/>
          <w:szCs w:val="24"/>
          <w:highlight w:val="none"/>
          <w:lang w:eastAsia="zh-CN"/>
        </w:rPr>
        <w:t>肥西县公共资源交易有限责任公司</w:t>
      </w:r>
    </w:p>
    <w:p w14:paraId="61DD8E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账号：179746801939</w:t>
      </w:r>
    </w:p>
    <w:p w14:paraId="73F478D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代理</w:t>
      </w:r>
      <w:r>
        <w:rPr>
          <w:rFonts w:hint="eastAsia" w:ascii="宋体" w:hAnsi="宋体" w:cs="宋体"/>
          <w:color w:val="auto"/>
          <w:sz w:val="24"/>
          <w:szCs w:val="24"/>
          <w:highlight w:val="none"/>
        </w:rPr>
        <w:t>服务费的收取采用差额定率累进计费方式，具体收费标准参照关于印发《</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（采购）代理行业服务收费指导意见》的通知（合公协〔2023]03号）文件收取。</w:t>
      </w:r>
    </w:p>
    <w:p w14:paraId="562ED646">
      <w:pPr>
        <w:jc w:val="center"/>
        <w:rPr>
          <w:rFonts w:ascii="宋体" w:hAnsi="宋体" w:cs="宋体"/>
          <w:bCs/>
          <w:color w:val="auto"/>
          <w:sz w:val="24"/>
          <w:highlight w:val="none"/>
        </w:rPr>
      </w:pPr>
      <w:r>
        <w:rPr>
          <w:rFonts w:hint="eastAsia" w:ascii="宋体" w:hAnsi="宋体" w:cs="宋体"/>
          <w:b/>
          <w:bCs/>
          <w:color w:val="auto"/>
          <w:sz w:val="24"/>
          <w:highlight w:val="none"/>
          <w:lang w:eastAsia="zh-CN"/>
        </w:rPr>
        <w:t>代理</w:t>
      </w:r>
      <w:r>
        <w:rPr>
          <w:rFonts w:hint="eastAsia" w:ascii="宋体" w:hAnsi="宋体" w:cs="宋体"/>
          <w:b/>
          <w:bCs/>
          <w:color w:val="auto"/>
          <w:sz w:val="24"/>
          <w:highlight w:val="none"/>
        </w:rPr>
        <w:t>服务收费标准</w:t>
      </w:r>
    </w:p>
    <w:tbl>
      <w:tblPr>
        <w:tblStyle w:val="24"/>
        <w:tblW w:w="93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2336"/>
        <w:gridCol w:w="2336"/>
        <w:gridCol w:w="2337"/>
      </w:tblGrid>
      <w:tr w14:paraId="7222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0BE457E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lang w:eastAsia="zh-CN"/>
              </w:rPr>
              <w:t>成交</w:t>
            </w:r>
            <w:r>
              <w:rPr>
                <w:rFonts w:hint="eastAsia" w:ascii="宋体" w:hAnsi="宋体" w:cs="宋体"/>
                <w:b/>
                <w:bCs/>
                <w:color w:val="auto"/>
                <w:sz w:val="24"/>
                <w:highlight w:val="none"/>
              </w:rPr>
              <w:t>金额</w:t>
            </w:r>
          </w:p>
        </w:tc>
        <w:tc>
          <w:tcPr>
            <w:tcW w:w="2336" w:type="dxa"/>
            <w:tcBorders>
              <w:top w:val="single" w:color="auto" w:sz="4" w:space="0"/>
              <w:left w:val="single" w:color="auto" w:sz="4" w:space="0"/>
              <w:bottom w:val="single" w:color="auto" w:sz="4" w:space="0"/>
              <w:right w:val="single" w:color="auto" w:sz="4" w:space="0"/>
            </w:tcBorders>
            <w:vAlign w:val="center"/>
          </w:tcPr>
          <w:p w14:paraId="02AAE7AA">
            <w:pPr>
              <w:spacing w:line="36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货物</w:t>
            </w:r>
            <w:r>
              <w:rPr>
                <w:rFonts w:hint="eastAsia" w:ascii="宋体" w:hAnsi="宋体" w:cs="宋体"/>
                <w:b/>
                <w:bCs/>
                <w:color w:val="auto"/>
                <w:sz w:val="24"/>
                <w:highlight w:val="none"/>
                <w:lang w:eastAsia="zh-CN"/>
              </w:rPr>
              <w:t>谈判</w:t>
            </w:r>
          </w:p>
        </w:tc>
        <w:tc>
          <w:tcPr>
            <w:tcW w:w="2336" w:type="dxa"/>
            <w:tcBorders>
              <w:top w:val="single" w:color="auto" w:sz="4" w:space="0"/>
              <w:left w:val="single" w:color="auto" w:sz="4" w:space="0"/>
              <w:bottom w:val="single" w:color="auto" w:sz="4" w:space="0"/>
              <w:right w:val="single" w:color="auto" w:sz="4" w:space="0"/>
            </w:tcBorders>
            <w:vAlign w:val="center"/>
          </w:tcPr>
          <w:p w14:paraId="4D1010B6">
            <w:pPr>
              <w:spacing w:line="36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服务</w:t>
            </w:r>
            <w:r>
              <w:rPr>
                <w:rFonts w:hint="eastAsia" w:ascii="宋体" w:hAnsi="宋体" w:cs="宋体"/>
                <w:b/>
                <w:bCs/>
                <w:color w:val="auto"/>
                <w:sz w:val="24"/>
                <w:highlight w:val="none"/>
                <w:lang w:eastAsia="zh-CN"/>
              </w:rPr>
              <w:t>谈判</w:t>
            </w:r>
          </w:p>
        </w:tc>
        <w:tc>
          <w:tcPr>
            <w:tcW w:w="2337" w:type="dxa"/>
            <w:tcBorders>
              <w:top w:val="single" w:color="auto" w:sz="4" w:space="0"/>
              <w:left w:val="single" w:color="auto" w:sz="4" w:space="0"/>
              <w:bottom w:val="single" w:color="auto" w:sz="4" w:space="0"/>
            </w:tcBorders>
            <w:vAlign w:val="center"/>
          </w:tcPr>
          <w:p w14:paraId="042C00F6">
            <w:pPr>
              <w:spacing w:line="36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工程</w:t>
            </w:r>
            <w:r>
              <w:rPr>
                <w:rFonts w:hint="eastAsia" w:ascii="宋体" w:hAnsi="宋体" w:cs="宋体"/>
                <w:b/>
                <w:bCs/>
                <w:color w:val="auto"/>
                <w:sz w:val="24"/>
                <w:highlight w:val="none"/>
                <w:lang w:eastAsia="zh-CN"/>
              </w:rPr>
              <w:t>谈判</w:t>
            </w:r>
          </w:p>
        </w:tc>
      </w:tr>
      <w:tr w14:paraId="64E47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C9F3D7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33B7A8F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45D8882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1.5%</w:t>
            </w:r>
          </w:p>
        </w:tc>
        <w:tc>
          <w:tcPr>
            <w:tcW w:w="2337" w:type="dxa"/>
            <w:tcBorders>
              <w:top w:val="single" w:color="auto" w:sz="4" w:space="0"/>
              <w:left w:val="single" w:color="auto" w:sz="4" w:space="0"/>
              <w:bottom w:val="single" w:color="auto" w:sz="4" w:space="0"/>
            </w:tcBorders>
            <w:vAlign w:val="center"/>
          </w:tcPr>
          <w:p w14:paraId="51C3011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1.0%</w:t>
            </w:r>
          </w:p>
        </w:tc>
      </w:tr>
      <w:tr w14:paraId="28EF2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1CC879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100万元-500万元（含500万元）</w:t>
            </w:r>
          </w:p>
        </w:tc>
        <w:tc>
          <w:tcPr>
            <w:tcW w:w="2336" w:type="dxa"/>
            <w:tcBorders>
              <w:top w:val="single" w:color="auto" w:sz="4" w:space="0"/>
              <w:left w:val="single" w:color="auto" w:sz="4" w:space="0"/>
              <w:bottom w:val="single" w:color="auto" w:sz="4" w:space="0"/>
              <w:right w:val="single" w:color="auto" w:sz="4" w:space="0"/>
            </w:tcBorders>
            <w:vAlign w:val="center"/>
          </w:tcPr>
          <w:p w14:paraId="2112E6D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1.1%</w:t>
            </w:r>
          </w:p>
        </w:tc>
        <w:tc>
          <w:tcPr>
            <w:tcW w:w="2336" w:type="dxa"/>
            <w:tcBorders>
              <w:top w:val="single" w:color="auto" w:sz="4" w:space="0"/>
              <w:left w:val="single" w:color="auto" w:sz="4" w:space="0"/>
              <w:bottom w:val="single" w:color="auto" w:sz="4" w:space="0"/>
              <w:right w:val="single" w:color="auto" w:sz="4" w:space="0"/>
            </w:tcBorders>
            <w:vAlign w:val="center"/>
          </w:tcPr>
          <w:p w14:paraId="158150F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0.8%</w:t>
            </w:r>
          </w:p>
        </w:tc>
        <w:tc>
          <w:tcPr>
            <w:tcW w:w="2337" w:type="dxa"/>
            <w:tcBorders>
              <w:top w:val="single" w:color="auto" w:sz="4" w:space="0"/>
              <w:left w:val="single" w:color="auto" w:sz="4" w:space="0"/>
              <w:bottom w:val="single" w:color="auto" w:sz="4" w:space="0"/>
            </w:tcBorders>
            <w:vAlign w:val="center"/>
          </w:tcPr>
          <w:p w14:paraId="199071C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0.7%</w:t>
            </w:r>
          </w:p>
        </w:tc>
      </w:tr>
      <w:tr w14:paraId="11B4B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F4127B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500万元-1000万元（含1000万元）</w:t>
            </w:r>
          </w:p>
        </w:tc>
        <w:tc>
          <w:tcPr>
            <w:tcW w:w="2336" w:type="dxa"/>
            <w:tcBorders>
              <w:top w:val="single" w:color="auto" w:sz="4" w:space="0"/>
              <w:left w:val="single" w:color="auto" w:sz="4" w:space="0"/>
              <w:bottom w:val="single" w:color="auto" w:sz="4" w:space="0"/>
              <w:right w:val="single" w:color="auto" w:sz="4" w:space="0"/>
            </w:tcBorders>
            <w:vAlign w:val="center"/>
          </w:tcPr>
          <w:p w14:paraId="1C36F3C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4204A2F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0.45%</w:t>
            </w:r>
          </w:p>
        </w:tc>
        <w:tc>
          <w:tcPr>
            <w:tcW w:w="2337" w:type="dxa"/>
            <w:tcBorders>
              <w:top w:val="single" w:color="auto" w:sz="4" w:space="0"/>
              <w:left w:val="single" w:color="auto" w:sz="4" w:space="0"/>
              <w:bottom w:val="single" w:color="auto" w:sz="4" w:space="0"/>
            </w:tcBorders>
            <w:vAlign w:val="center"/>
          </w:tcPr>
          <w:p w14:paraId="6991A8C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0.55%</w:t>
            </w:r>
          </w:p>
        </w:tc>
      </w:tr>
      <w:tr w14:paraId="64272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0575D68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1000万元-5000万元（含5000万元）</w:t>
            </w:r>
          </w:p>
        </w:tc>
        <w:tc>
          <w:tcPr>
            <w:tcW w:w="2336" w:type="dxa"/>
            <w:tcBorders>
              <w:top w:val="single" w:color="auto" w:sz="4" w:space="0"/>
              <w:left w:val="single" w:color="auto" w:sz="4" w:space="0"/>
              <w:bottom w:val="single" w:color="auto" w:sz="4" w:space="0"/>
              <w:right w:val="single" w:color="auto" w:sz="4" w:space="0"/>
            </w:tcBorders>
            <w:vAlign w:val="center"/>
          </w:tcPr>
          <w:p w14:paraId="31B1E7C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0.5%</w:t>
            </w:r>
          </w:p>
        </w:tc>
        <w:tc>
          <w:tcPr>
            <w:tcW w:w="2336" w:type="dxa"/>
            <w:tcBorders>
              <w:top w:val="single" w:color="auto" w:sz="4" w:space="0"/>
              <w:left w:val="single" w:color="auto" w:sz="4" w:space="0"/>
              <w:bottom w:val="single" w:color="auto" w:sz="4" w:space="0"/>
              <w:right w:val="single" w:color="auto" w:sz="4" w:space="0"/>
            </w:tcBorders>
            <w:vAlign w:val="center"/>
          </w:tcPr>
          <w:p w14:paraId="6AC34D0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0.25%</w:t>
            </w:r>
          </w:p>
        </w:tc>
        <w:tc>
          <w:tcPr>
            <w:tcW w:w="2337" w:type="dxa"/>
            <w:tcBorders>
              <w:top w:val="single" w:color="auto" w:sz="4" w:space="0"/>
              <w:left w:val="single" w:color="auto" w:sz="4" w:space="0"/>
              <w:bottom w:val="single" w:color="auto" w:sz="4" w:space="0"/>
            </w:tcBorders>
            <w:vAlign w:val="center"/>
          </w:tcPr>
          <w:p w14:paraId="67ADAFB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0.35%</w:t>
            </w:r>
          </w:p>
        </w:tc>
      </w:tr>
      <w:tr w14:paraId="41115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CE7937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5000万元-1亿元（含1亿元）</w:t>
            </w:r>
          </w:p>
        </w:tc>
        <w:tc>
          <w:tcPr>
            <w:tcW w:w="2336" w:type="dxa"/>
            <w:tcBorders>
              <w:top w:val="single" w:color="auto" w:sz="4" w:space="0"/>
              <w:left w:val="single" w:color="auto" w:sz="4" w:space="0"/>
              <w:bottom w:val="single" w:color="auto" w:sz="4" w:space="0"/>
              <w:right w:val="single" w:color="auto" w:sz="4" w:space="0"/>
            </w:tcBorders>
            <w:vAlign w:val="center"/>
          </w:tcPr>
          <w:p w14:paraId="16FAF98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52BC900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0.1%</w:t>
            </w:r>
          </w:p>
        </w:tc>
        <w:tc>
          <w:tcPr>
            <w:tcW w:w="2337" w:type="dxa"/>
            <w:tcBorders>
              <w:top w:val="single" w:color="auto" w:sz="4" w:space="0"/>
              <w:left w:val="single" w:color="auto" w:sz="4" w:space="0"/>
              <w:bottom w:val="single" w:color="auto" w:sz="4" w:space="0"/>
            </w:tcBorders>
            <w:vAlign w:val="center"/>
          </w:tcPr>
          <w:p w14:paraId="6C84959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0.2%</w:t>
            </w:r>
          </w:p>
        </w:tc>
      </w:tr>
      <w:tr w14:paraId="04E55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4F23F4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1亿元-10亿元</w:t>
            </w:r>
          </w:p>
        </w:tc>
        <w:tc>
          <w:tcPr>
            <w:tcW w:w="2336" w:type="dxa"/>
            <w:tcBorders>
              <w:top w:val="single" w:color="auto" w:sz="4" w:space="0"/>
              <w:left w:val="single" w:color="auto" w:sz="4" w:space="0"/>
              <w:bottom w:val="single" w:color="auto" w:sz="4" w:space="0"/>
              <w:right w:val="single" w:color="auto" w:sz="4" w:space="0"/>
            </w:tcBorders>
            <w:vAlign w:val="center"/>
          </w:tcPr>
          <w:p w14:paraId="377D578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477E1FC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0.05%</w:t>
            </w:r>
          </w:p>
        </w:tc>
        <w:tc>
          <w:tcPr>
            <w:tcW w:w="2337" w:type="dxa"/>
            <w:tcBorders>
              <w:top w:val="single" w:color="auto" w:sz="4" w:space="0"/>
              <w:left w:val="single" w:color="auto" w:sz="4" w:space="0"/>
              <w:bottom w:val="single" w:color="auto" w:sz="4" w:space="0"/>
            </w:tcBorders>
            <w:vAlign w:val="center"/>
          </w:tcPr>
          <w:p w14:paraId="6CF822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0.05%</w:t>
            </w:r>
          </w:p>
        </w:tc>
      </w:tr>
      <w:tr w14:paraId="676E6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EAB5A8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10亿以上</w:t>
            </w:r>
          </w:p>
        </w:tc>
        <w:tc>
          <w:tcPr>
            <w:tcW w:w="2336" w:type="dxa"/>
            <w:tcBorders>
              <w:top w:val="single" w:color="auto" w:sz="4" w:space="0"/>
              <w:left w:val="single" w:color="auto" w:sz="4" w:space="0"/>
              <w:bottom w:val="single" w:color="auto" w:sz="4" w:space="0"/>
              <w:right w:val="single" w:color="auto" w:sz="4" w:space="0"/>
            </w:tcBorders>
            <w:vAlign w:val="center"/>
          </w:tcPr>
          <w:p w14:paraId="29284CB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0.01%</w:t>
            </w:r>
          </w:p>
        </w:tc>
        <w:tc>
          <w:tcPr>
            <w:tcW w:w="2336" w:type="dxa"/>
            <w:tcBorders>
              <w:top w:val="single" w:color="auto" w:sz="4" w:space="0"/>
              <w:left w:val="single" w:color="auto" w:sz="4" w:space="0"/>
              <w:bottom w:val="single" w:color="auto" w:sz="4" w:space="0"/>
              <w:right w:val="single" w:color="auto" w:sz="4" w:space="0"/>
            </w:tcBorders>
            <w:vAlign w:val="center"/>
          </w:tcPr>
          <w:p w14:paraId="1C50767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0.01%</w:t>
            </w:r>
          </w:p>
        </w:tc>
        <w:tc>
          <w:tcPr>
            <w:tcW w:w="2337" w:type="dxa"/>
            <w:tcBorders>
              <w:top w:val="single" w:color="auto" w:sz="4" w:space="0"/>
              <w:left w:val="single" w:color="auto" w:sz="4" w:space="0"/>
              <w:bottom w:val="single" w:color="auto" w:sz="4" w:space="0"/>
            </w:tcBorders>
            <w:vAlign w:val="center"/>
          </w:tcPr>
          <w:p w14:paraId="57D21C5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0.01%</w:t>
            </w:r>
          </w:p>
        </w:tc>
      </w:tr>
    </w:tbl>
    <w:p w14:paraId="0841EC35">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29</w:t>
      </w:r>
      <w:r>
        <w:rPr>
          <w:rFonts w:hint="eastAsia" w:ascii="宋体" w:hAnsi="宋体" w:eastAsia="宋体" w:cs="宋体"/>
          <w:b/>
          <w:color w:val="auto"/>
          <w:sz w:val="24"/>
          <w:szCs w:val="24"/>
          <w:highlight w:val="none"/>
        </w:rPr>
        <w:t>.履约保证金</w:t>
      </w:r>
    </w:p>
    <w:p w14:paraId="624222F0">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.1签订合同前，</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应提交履约保证金。履约保证金金额、收受方式及收受人见</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须知前附表规定。</w:t>
      </w:r>
    </w:p>
    <w:p w14:paraId="6A29909B">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须知前附表约定收取定额履约保证金或免收履约保证金的，从其规定。</w:t>
      </w:r>
    </w:p>
    <w:p w14:paraId="49E3FF38">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如果</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未按规定交纳履约保证金的，视为放弃</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，其</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保证金不予退还，给</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造成的损失超过</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保证金数额的，</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还应当对超过部分予以赔偿。在此情况下</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可以按照</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小组</w:t>
      </w:r>
      <w:r>
        <w:rPr>
          <w:rFonts w:hint="eastAsia" w:ascii="宋体" w:hAnsi="宋体" w:eastAsia="宋体" w:cs="宋体"/>
          <w:color w:val="auto"/>
          <w:sz w:val="24"/>
          <w:highlight w:val="none"/>
        </w:rPr>
        <w:t>提出的</w:t>
      </w: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名单排序依次确定其他</w:t>
      </w: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为</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，也可以重新</w:t>
      </w:r>
      <w:r>
        <w:rPr>
          <w:rFonts w:hint="eastAsia" w:ascii="宋体" w:hAnsi="宋体" w:cs="宋体"/>
          <w:color w:val="auto"/>
          <w:sz w:val="24"/>
          <w:highlight w:val="none"/>
          <w:lang w:val="en-US" w:eastAsia="zh-CN"/>
        </w:rPr>
        <w:t>组织谈判</w:t>
      </w:r>
      <w:r>
        <w:rPr>
          <w:rFonts w:hint="eastAsia" w:ascii="宋体" w:hAnsi="宋体" w:eastAsia="宋体" w:cs="宋体"/>
          <w:color w:val="auto"/>
          <w:sz w:val="24"/>
          <w:highlight w:val="none"/>
        </w:rPr>
        <w:t>。</w:t>
      </w:r>
    </w:p>
    <w:p w14:paraId="343E0BA9">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.签订合同</w:t>
      </w:r>
    </w:p>
    <w:p w14:paraId="1D732DE9">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应在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发出之日起三十日内（具体时间、地点见</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签订合同。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的响应文件及澄清文件等，均作为合同的附件。合同签订前</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应出示</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履约保证金交纳证明。</w:t>
      </w:r>
    </w:p>
    <w:p w14:paraId="502EB9DC">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双方必须严格按照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文件、响应文件及有关承诺签订合同，不得擅自变更。合同的标的、价款、质量、履行期限等主要条款应当与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的响应文件的内容一致，</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不得再行订立背离合同实质性内容的其他协议。对任何因双方擅自变更合同引起的问题</w:t>
      </w:r>
      <w:r>
        <w:rPr>
          <w:rFonts w:hint="eastAsia" w:ascii="宋体" w:hAnsi="宋体"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概不负责，合同风险由双方自行承担。</w:t>
      </w:r>
    </w:p>
    <w:p w14:paraId="10F01886">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业主方（委托单位）</w:t>
      </w:r>
      <w:r>
        <w:rPr>
          <w:rFonts w:hint="eastAsia" w:ascii="宋体" w:hAnsi="宋体" w:eastAsia="宋体" w:cs="宋体"/>
          <w:color w:val="auto"/>
          <w:sz w:val="24"/>
          <w:szCs w:val="24"/>
          <w:highlight w:val="none"/>
        </w:rPr>
        <w:t>保留以书面形式要求合同的卖方对其所投服务的方式、地点及服务细则等作适当调整的权利。</w:t>
      </w:r>
    </w:p>
    <w:p w14:paraId="4513601E">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无论基于何种原因，各项本应作拒绝处理的情形即便未被及时发现而使该</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进入初审、详细评审或其它后续程序，包括已经签约的情形，一旦在任何时间被发现，</w:t>
      </w:r>
      <w:r>
        <w:rPr>
          <w:rFonts w:hint="eastAsia" w:ascii="宋体" w:hAnsi="宋体" w:cs="宋体"/>
          <w:bCs/>
          <w:color w:val="auto"/>
          <w:sz w:val="24"/>
          <w:szCs w:val="24"/>
          <w:highlight w:val="none"/>
          <w:lang w:eastAsia="zh-CN"/>
        </w:rPr>
        <w:t>业主方（委托单位）</w:t>
      </w:r>
      <w:r>
        <w:rPr>
          <w:rFonts w:hint="eastAsia" w:ascii="宋体" w:hAnsi="宋体" w:eastAsia="宋体" w:cs="宋体"/>
          <w:bCs/>
          <w:color w:val="auto"/>
          <w:sz w:val="24"/>
          <w:szCs w:val="24"/>
          <w:highlight w:val="none"/>
        </w:rPr>
        <w:t>或</w:t>
      </w:r>
      <w:r>
        <w:rPr>
          <w:rFonts w:hint="eastAsia" w:ascii="宋体" w:hAnsi="宋体" w:cs="宋体"/>
          <w:bCs/>
          <w:color w:val="auto"/>
          <w:sz w:val="24"/>
          <w:szCs w:val="24"/>
          <w:highlight w:val="none"/>
          <w:lang w:eastAsia="zh-CN"/>
        </w:rPr>
        <w:t>肥西县公共资源交易有限责任公司</w:t>
      </w:r>
      <w:r>
        <w:rPr>
          <w:rFonts w:hint="eastAsia" w:ascii="宋体" w:hAnsi="宋体" w:eastAsia="宋体" w:cs="宋体"/>
          <w:bCs/>
          <w:color w:val="auto"/>
          <w:sz w:val="24"/>
          <w:szCs w:val="24"/>
          <w:highlight w:val="none"/>
        </w:rPr>
        <w:t>均有权决定是否取消该</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此前评议的结果或是否对该报价予以拒绝，并有权采取相应的补救或纠正措施。一旦该</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被拒绝或被取消此前评议结果，其现有的位置将被其他</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依序替代或重新组织</w:t>
      </w:r>
      <w:r>
        <w:rPr>
          <w:rFonts w:hint="eastAsia" w:ascii="宋体" w:hAnsi="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，相关的一切损失均由该</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自行承担。</w:t>
      </w:r>
    </w:p>
    <w:p w14:paraId="6E1D7B64">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lang w:eastAsia="zh-CN"/>
        </w:rPr>
        <w:t>验收</w:t>
      </w:r>
    </w:p>
    <w:p w14:paraId="4DCD2476">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检测、验收费用均由合同乙方（</w:t>
      </w:r>
      <w:r>
        <w:rPr>
          <w:rFonts w:hint="eastAsia" w:ascii="宋体" w:hAnsi="宋体" w:cs="宋体"/>
          <w:bCs/>
          <w:color w:val="auto"/>
          <w:sz w:val="24"/>
          <w:highlight w:val="none"/>
          <w:lang w:eastAsia="zh-CN"/>
        </w:rPr>
        <w:t>成交人</w:t>
      </w:r>
      <w:r>
        <w:rPr>
          <w:rFonts w:hint="eastAsia" w:ascii="宋体" w:hAnsi="宋体" w:eastAsia="宋体" w:cs="宋体"/>
          <w:bCs/>
          <w:color w:val="auto"/>
          <w:sz w:val="24"/>
          <w:highlight w:val="none"/>
        </w:rPr>
        <w:t>）承担</w:t>
      </w:r>
    </w:p>
    <w:p w14:paraId="7AE12595">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异议</w:t>
      </w:r>
    </w:p>
    <w:p w14:paraId="399BB126">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highlight w:val="none"/>
        </w:rPr>
        <w:t>.1</w:t>
      </w:r>
      <w:r>
        <w:rPr>
          <w:rFonts w:hint="eastAsia" w:ascii="宋体" w:hAnsi="宋体" w:eastAsia="宋体" w:cs="宋体"/>
          <w:bCs/>
          <w:color w:val="auto"/>
          <w:sz w:val="24"/>
          <w:highlight w:val="none"/>
        </w:rPr>
        <w:t>若</w:t>
      </w:r>
      <w:r>
        <w:rPr>
          <w:rFonts w:hint="eastAsia" w:ascii="宋体" w:hAnsi="宋体" w:cs="宋体"/>
          <w:bCs/>
          <w:color w:val="auto"/>
          <w:sz w:val="24"/>
          <w:highlight w:val="none"/>
          <w:lang w:eastAsia="zh-CN"/>
        </w:rPr>
        <w:t>参审单位</w:t>
      </w:r>
      <w:r>
        <w:rPr>
          <w:rFonts w:hint="eastAsia" w:ascii="宋体" w:hAnsi="宋体" w:eastAsia="宋体" w:cs="宋体"/>
          <w:bCs/>
          <w:color w:val="auto"/>
          <w:sz w:val="24"/>
          <w:highlight w:val="none"/>
        </w:rPr>
        <w:t>对评标结果有异议，可在</w:t>
      </w:r>
      <w:r>
        <w:rPr>
          <w:rFonts w:hint="eastAsia" w:ascii="宋体" w:hAnsi="宋体" w:cs="宋体"/>
          <w:bCs/>
          <w:color w:val="auto"/>
          <w:sz w:val="24"/>
          <w:highlight w:val="none"/>
          <w:lang w:eastAsia="zh-CN"/>
        </w:rPr>
        <w:t>成交候选人</w:t>
      </w:r>
      <w:r>
        <w:rPr>
          <w:rFonts w:hint="eastAsia" w:ascii="宋体" w:hAnsi="宋体" w:eastAsia="宋体" w:cs="宋体"/>
          <w:bCs/>
          <w:color w:val="auto"/>
          <w:sz w:val="24"/>
          <w:highlight w:val="none"/>
        </w:rPr>
        <w:t>公示期内以书面形式在工作时间向</w:t>
      </w:r>
      <w:r>
        <w:rPr>
          <w:rFonts w:hint="eastAsia" w:ascii="宋体" w:hAnsi="宋体" w:cs="宋体"/>
          <w:bCs/>
          <w:color w:val="auto"/>
          <w:sz w:val="24"/>
          <w:highlight w:val="none"/>
          <w:lang w:eastAsia="zh-CN"/>
        </w:rPr>
        <w:t>肥西县公共资源交易有限责任公司</w:t>
      </w:r>
      <w:r>
        <w:rPr>
          <w:rFonts w:hint="eastAsia" w:ascii="宋体" w:hAnsi="宋体" w:eastAsia="宋体" w:cs="宋体"/>
          <w:bCs/>
          <w:color w:val="auto"/>
          <w:sz w:val="24"/>
          <w:highlight w:val="none"/>
        </w:rPr>
        <w:t>提出。</w:t>
      </w:r>
    </w:p>
    <w:p w14:paraId="760F696F">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highlight w:val="none"/>
        </w:rPr>
        <w:t>.</w:t>
      </w:r>
      <w:r>
        <w:rPr>
          <w:rFonts w:hint="eastAsia" w:ascii="宋体" w:hAnsi="宋体" w:eastAsia="宋体" w:cs="宋体"/>
          <w:bCs/>
          <w:color w:val="auto"/>
          <w:sz w:val="24"/>
          <w:highlight w:val="none"/>
        </w:rPr>
        <w:t>2异议应以书面形式实名提出，书面异议材料应当包括以下内容：</w:t>
      </w:r>
    </w:p>
    <w:p w14:paraId="72A24B10">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.2.1异议人的名称、地址、有效联系方式；</w:t>
      </w:r>
    </w:p>
    <w:p w14:paraId="02ED7D4D">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.2.2项目名称、项目编号、标段号（如有）；</w:t>
      </w:r>
    </w:p>
    <w:p w14:paraId="0BA3E1EB">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.2.3被异议人名称；</w:t>
      </w:r>
    </w:p>
    <w:p w14:paraId="30E1104D">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.2.4具体的异议事项、基本事实及必要的证明材料；</w:t>
      </w:r>
    </w:p>
    <w:p w14:paraId="62AFE12E">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.2.5明确的请求及主张；</w:t>
      </w:r>
    </w:p>
    <w:p w14:paraId="08DE2245">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.2.6提起异议的日期。</w:t>
      </w:r>
    </w:p>
    <w:p w14:paraId="69065375">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异议人为法人或者其他组织的，应当由法定代表人或其委托代理人（需有委托授权书）签字并加盖公章。</w:t>
      </w:r>
    </w:p>
    <w:p w14:paraId="1773D1AE">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异议人需要修改、补充异议材料的，应当在异议期内提交修改或补充材料。</w:t>
      </w:r>
    </w:p>
    <w:p w14:paraId="019EB5BC">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33</w:t>
      </w:r>
      <w:r>
        <w:rPr>
          <w:rFonts w:hint="eastAsia" w:ascii="宋体" w:hAnsi="宋体" w:eastAsia="宋体" w:cs="宋体"/>
          <w:b/>
          <w:color w:val="auto"/>
          <w:sz w:val="24"/>
          <w:highlight w:val="none"/>
        </w:rPr>
        <w:t>.未尽事宜</w:t>
      </w:r>
    </w:p>
    <w:p w14:paraId="6DEFA945">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未尽事宜按有关法律法规的规定执行。</w:t>
      </w:r>
    </w:p>
    <w:p w14:paraId="0D3FFA9A">
      <w:pPr>
        <w:keepNext w:val="0"/>
        <w:keepLines w:val="0"/>
        <w:pageBreakBefore w:val="0"/>
        <w:widowControl w:val="0"/>
        <w:kinsoku/>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lang w:val="en-US" w:eastAsia="zh-CN"/>
        </w:rPr>
        <w:t>34</w:t>
      </w:r>
      <w:r>
        <w:rPr>
          <w:rFonts w:hint="eastAsia" w:ascii="宋体" w:hAnsi="宋体" w:eastAsia="宋体" w:cs="宋体"/>
          <w:b/>
          <w:color w:val="auto"/>
          <w:sz w:val="24"/>
          <w:highlight w:val="none"/>
        </w:rPr>
        <w:t>.解释权</w:t>
      </w:r>
    </w:p>
    <w:p w14:paraId="1A6E88C5">
      <w:pPr>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本</w:t>
      </w:r>
      <w:r>
        <w:rPr>
          <w:rFonts w:hint="eastAsia" w:ascii="宋体" w:hAnsi="宋体" w:eastAsia="宋体" w:cs="宋体"/>
          <w:bCs/>
          <w:color w:val="auto"/>
          <w:sz w:val="24"/>
          <w:highlight w:val="none"/>
          <w:lang w:eastAsia="zh-CN"/>
        </w:rPr>
        <w:t>谈判</w:t>
      </w:r>
      <w:r>
        <w:rPr>
          <w:rFonts w:hint="eastAsia" w:ascii="宋体" w:hAnsi="宋体" w:eastAsia="宋体" w:cs="宋体"/>
          <w:bCs/>
          <w:color w:val="auto"/>
          <w:sz w:val="24"/>
          <w:highlight w:val="none"/>
        </w:rPr>
        <w:t>文件的解释权属于</w:t>
      </w:r>
      <w:r>
        <w:rPr>
          <w:rFonts w:hint="eastAsia" w:ascii="宋体" w:hAnsi="宋体" w:cs="宋体"/>
          <w:bCs/>
          <w:color w:val="auto"/>
          <w:sz w:val="24"/>
          <w:highlight w:val="none"/>
          <w:lang w:eastAsia="zh-CN"/>
        </w:rPr>
        <w:t>业主方（委托单位）</w:t>
      </w:r>
      <w:r>
        <w:rPr>
          <w:rFonts w:hint="eastAsia" w:ascii="宋体" w:hAnsi="宋体" w:eastAsia="宋体" w:cs="宋体"/>
          <w:bCs/>
          <w:color w:val="auto"/>
          <w:sz w:val="24"/>
          <w:highlight w:val="none"/>
        </w:rPr>
        <w:t>和</w:t>
      </w:r>
      <w:r>
        <w:rPr>
          <w:rFonts w:hint="eastAsia" w:ascii="宋体" w:hAnsi="宋体" w:cs="宋体"/>
          <w:bCs/>
          <w:color w:val="auto"/>
          <w:sz w:val="24"/>
          <w:highlight w:val="none"/>
          <w:lang w:eastAsia="zh-CN"/>
        </w:rPr>
        <w:t>肥西县公共资源交易有限责任公司</w:t>
      </w:r>
      <w:r>
        <w:rPr>
          <w:rFonts w:hint="eastAsia" w:ascii="宋体" w:hAnsi="宋体" w:eastAsia="宋体" w:cs="宋体"/>
          <w:bCs/>
          <w:color w:val="auto"/>
          <w:sz w:val="24"/>
          <w:highlight w:val="none"/>
        </w:rPr>
        <w:t>。</w:t>
      </w:r>
    </w:p>
    <w:p w14:paraId="09356C5D">
      <w:pPr>
        <w:autoSpaceDE w:val="0"/>
        <w:autoSpaceDN w:val="0"/>
        <w:adjustRightInd w:val="0"/>
        <w:spacing w:line="240" w:lineRule="exact"/>
        <w:jc w:val="left"/>
        <w:rPr>
          <w:rFonts w:hint="eastAsia" w:ascii="宋体" w:hAnsi="宋体" w:eastAsia="宋体" w:cs="宋体"/>
          <w:bCs/>
          <w:color w:val="auto"/>
          <w:sz w:val="24"/>
          <w:szCs w:val="24"/>
          <w:highlight w:val="none"/>
        </w:rPr>
      </w:pPr>
    </w:p>
    <w:p w14:paraId="319F9ACF">
      <w:pPr>
        <w:pStyle w:val="4"/>
        <w:bidi w:val="0"/>
        <w:rPr>
          <w:rFonts w:hint="eastAsia" w:ascii="宋体" w:hAnsi="Times New Roman" w:eastAsia="宋体" w:cs="Times New Roman"/>
          <w:color w:val="auto"/>
          <w:sz w:val="28"/>
          <w:szCs w:val="28"/>
          <w:highlight w:val="none"/>
          <w:lang w:val="en-US" w:eastAsia="zh-CN"/>
        </w:rPr>
      </w:pPr>
      <w:bookmarkStart w:id="76" w:name="_Toc220232390"/>
      <w:r>
        <w:rPr>
          <w:rFonts w:hint="eastAsia" w:ascii="宋体" w:hAnsi="宋体" w:eastAsia="宋体" w:cs="宋体"/>
          <w:color w:val="auto"/>
          <w:highlight w:val="none"/>
        </w:rPr>
        <w:br w:type="page"/>
      </w:r>
      <w:bookmarkEnd w:id="76"/>
      <w:bookmarkStart w:id="77" w:name="_Toc18532"/>
      <w:bookmarkStart w:id="78" w:name="_Toc10800"/>
      <w:r>
        <w:rPr>
          <w:rFonts w:hint="eastAsia" w:ascii="宋体" w:hAnsi="Times New Roman" w:eastAsia="宋体" w:cs="Times New Roman"/>
          <w:color w:val="auto"/>
          <w:sz w:val="28"/>
          <w:szCs w:val="28"/>
          <w:highlight w:val="none"/>
          <w:lang w:val="en-US" w:eastAsia="zh-CN"/>
        </w:rPr>
        <w:t>第四章 谈判需求</w:t>
      </w:r>
      <w:bookmarkEnd w:id="77"/>
      <w:bookmarkEnd w:id="78"/>
    </w:p>
    <w:p w14:paraId="63BBD211">
      <w:pPr>
        <w:spacing w:line="360" w:lineRule="auto"/>
        <w:ind w:firstLine="480" w:firstLineChars="200"/>
        <w:rPr>
          <w:rFonts w:hint="eastAsia" w:ascii="宋体" w:hAnsi="宋体" w:eastAsia="宋体" w:cs="宋体"/>
          <w:color w:val="auto"/>
          <w:sz w:val="24"/>
          <w:szCs w:val="24"/>
          <w:highlight w:val="none"/>
        </w:rPr>
      </w:pPr>
      <w:bookmarkStart w:id="79" w:name="_Hlt509716920"/>
      <w:bookmarkEnd w:id="79"/>
      <w:r>
        <w:rPr>
          <w:rFonts w:hint="eastAsia" w:ascii="宋体" w:hAnsi="宋体" w:eastAsia="宋体" w:cs="宋体"/>
          <w:color w:val="auto"/>
          <w:sz w:val="24"/>
          <w:szCs w:val="24"/>
          <w:highlight w:val="none"/>
        </w:rPr>
        <w:t>前注：</w:t>
      </w:r>
    </w:p>
    <w:p w14:paraId="7194C5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可以进行优化，提供满足</w:t>
      </w:r>
      <w:r>
        <w:rPr>
          <w:rFonts w:hint="eastAsia" w:ascii="宋体" w:hAnsi="宋体" w:cs="宋体"/>
          <w:color w:val="auto"/>
          <w:sz w:val="24"/>
          <w:szCs w:val="24"/>
          <w:highlight w:val="none"/>
          <w:lang w:val="en-US" w:eastAsia="zh-CN"/>
        </w:rPr>
        <w:t>业主</w:t>
      </w:r>
      <w:r>
        <w:rPr>
          <w:rFonts w:hint="eastAsia" w:ascii="宋体" w:hAnsi="宋体" w:eastAsia="宋体" w:cs="宋体"/>
          <w:color w:val="auto"/>
          <w:sz w:val="24"/>
          <w:szCs w:val="24"/>
          <w:highlight w:val="none"/>
        </w:rPr>
        <w:t>实际需要的更优（或者性能实质上不低于的）服务方案，且此方案须经评标委员会评审认可。</w:t>
      </w:r>
    </w:p>
    <w:p w14:paraId="04844F8A">
      <w:pPr>
        <w:pStyle w:val="4"/>
        <w:keepNext w:val="0"/>
        <w:keepLines w:val="0"/>
        <w:pageBreakBefore w:val="0"/>
        <w:widowControl w:val="0"/>
        <w:kinsoku/>
        <w:wordWrap/>
        <w:overflowPunct/>
        <w:topLinePunct w:val="0"/>
        <w:autoSpaceDE/>
        <w:autoSpaceDN/>
        <w:bidi w:val="0"/>
        <w:adjustRightInd/>
        <w:snapToGrid/>
        <w:spacing w:before="0" w:after="0" w:line="416" w:lineRule="auto"/>
        <w:ind w:left="0" w:right="0" w:firstLine="482" w:firstLineChars="200"/>
        <w:jc w:val="both"/>
        <w:textAlignment w:val="auto"/>
        <w:rPr>
          <w:rFonts w:hint="eastAsia" w:ascii="宋体" w:hAnsi="宋体" w:eastAsia="宋体" w:cs="宋体"/>
          <w:color w:val="auto"/>
          <w:highlight w:val="none"/>
        </w:rPr>
      </w:pPr>
      <w:bookmarkStart w:id="80" w:name="_Toc24171"/>
      <w:bookmarkStart w:id="81" w:name="_Toc17465"/>
      <w:bookmarkStart w:id="82" w:name="_Toc398799167"/>
      <w:bookmarkStart w:id="83" w:name="_Toc497405173"/>
      <w:r>
        <w:rPr>
          <w:rFonts w:hint="eastAsia" w:ascii="宋体" w:hAnsi="宋体" w:eastAsia="宋体" w:cs="宋体"/>
          <w:b/>
          <w:bCs/>
          <w:color w:val="auto"/>
          <w:kern w:val="2"/>
          <w:sz w:val="24"/>
          <w:szCs w:val="24"/>
          <w:highlight w:val="none"/>
          <w:lang w:val="en-US" w:eastAsia="zh-CN" w:bidi="ar-SA"/>
        </w:rPr>
        <w:t>一、采购需求前附表</w:t>
      </w:r>
      <w:bookmarkEnd w:id="80"/>
      <w:bookmarkEnd w:id="81"/>
    </w:p>
    <w:tbl>
      <w:tblPr>
        <w:tblStyle w:val="2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6"/>
        <w:gridCol w:w="1824"/>
        <w:gridCol w:w="5692"/>
      </w:tblGrid>
      <w:tr w14:paraId="1A5B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06" w:type="dxa"/>
            <w:tcBorders>
              <w:tl2br w:val="nil"/>
              <w:tr2bl w:val="nil"/>
            </w:tcBorders>
            <w:vAlign w:val="center"/>
          </w:tcPr>
          <w:p w14:paraId="0E342D32">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u w:val="none"/>
              </w:rPr>
            </w:pPr>
            <w:r>
              <w:rPr>
                <w:rFonts w:hint="eastAsia" w:ascii="宋体" w:hAnsi="宋体" w:eastAsia="宋体" w:cs="宋体"/>
                <w:b/>
                <w:color w:val="auto"/>
                <w:kern w:val="2"/>
                <w:sz w:val="24"/>
                <w:szCs w:val="24"/>
                <w:highlight w:val="none"/>
                <w:u w:val="none"/>
              </w:rPr>
              <w:t>序号</w:t>
            </w:r>
          </w:p>
        </w:tc>
        <w:tc>
          <w:tcPr>
            <w:tcW w:w="1824" w:type="dxa"/>
            <w:tcBorders>
              <w:tl2br w:val="nil"/>
              <w:tr2bl w:val="nil"/>
            </w:tcBorders>
            <w:vAlign w:val="center"/>
          </w:tcPr>
          <w:p w14:paraId="3D34CD79">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sz w:val="24"/>
                <w:highlight w:val="none"/>
                <w:u w:val="none"/>
              </w:rPr>
            </w:pPr>
            <w:r>
              <w:rPr>
                <w:rFonts w:hint="eastAsia" w:ascii="宋体" w:hAnsi="宋体" w:eastAsia="宋体" w:cs="宋体"/>
                <w:bCs w:val="0"/>
                <w:color w:val="auto"/>
                <w:sz w:val="24"/>
                <w:szCs w:val="24"/>
                <w:highlight w:val="none"/>
                <w:u w:val="none"/>
              </w:rPr>
              <w:t>条款名称</w:t>
            </w:r>
          </w:p>
        </w:tc>
        <w:tc>
          <w:tcPr>
            <w:tcW w:w="5692" w:type="dxa"/>
            <w:tcBorders>
              <w:tl2br w:val="nil"/>
              <w:tr2bl w:val="nil"/>
            </w:tcBorders>
            <w:vAlign w:val="center"/>
          </w:tcPr>
          <w:p w14:paraId="7E503F53">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sz w:val="24"/>
                <w:highlight w:val="none"/>
                <w:u w:val="none"/>
              </w:rPr>
            </w:pPr>
            <w:r>
              <w:rPr>
                <w:rFonts w:hint="eastAsia" w:ascii="宋体" w:hAnsi="宋体" w:eastAsia="宋体" w:cs="宋体"/>
                <w:bCs w:val="0"/>
                <w:color w:val="auto"/>
                <w:sz w:val="24"/>
                <w:szCs w:val="24"/>
                <w:highlight w:val="none"/>
                <w:u w:val="none"/>
              </w:rPr>
              <w:t>内容、说明与要求</w:t>
            </w:r>
          </w:p>
        </w:tc>
      </w:tr>
      <w:tr w14:paraId="61B8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006" w:type="dxa"/>
            <w:tcBorders>
              <w:tl2br w:val="nil"/>
              <w:tr2bl w:val="nil"/>
            </w:tcBorders>
            <w:vAlign w:val="center"/>
          </w:tcPr>
          <w:p w14:paraId="1B18E7EC">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24" w:type="dxa"/>
            <w:tcBorders>
              <w:tl2br w:val="nil"/>
              <w:tr2bl w:val="nil"/>
            </w:tcBorders>
            <w:vAlign w:val="center"/>
          </w:tcPr>
          <w:p w14:paraId="3D0AD36B">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5692" w:type="dxa"/>
            <w:tcBorders>
              <w:tl2br w:val="nil"/>
              <w:tr2bl w:val="nil"/>
            </w:tcBorders>
            <w:vAlign w:val="center"/>
          </w:tcPr>
          <w:p w14:paraId="0CE37DE6">
            <w:pPr>
              <w:keepNext w:val="0"/>
              <w:keepLines w:val="0"/>
              <w:pageBreakBefore w:val="0"/>
              <w:kinsoku/>
              <w:wordWrap/>
              <w:overflowPunct/>
              <w:topLinePunct w:val="0"/>
              <w:bidi w:val="0"/>
              <w:adjustRightInd/>
              <w:snapToGrid/>
              <w:spacing w:line="46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在合同、担保措施生效以及具备实施条件后付至合同价的10%作为预付款，工程完工支付至合同价的80%，竣工验收移交后付至合同价的100%。</w:t>
            </w:r>
          </w:p>
        </w:tc>
      </w:tr>
      <w:tr w14:paraId="0B73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006" w:type="dxa"/>
            <w:tcBorders>
              <w:tl2br w:val="nil"/>
              <w:tr2bl w:val="nil"/>
            </w:tcBorders>
            <w:vAlign w:val="center"/>
          </w:tcPr>
          <w:p w14:paraId="452DE0F7">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24" w:type="dxa"/>
            <w:tcBorders>
              <w:tl2br w:val="nil"/>
              <w:tr2bl w:val="nil"/>
            </w:tcBorders>
            <w:vAlign w:val="center"/>
          </w:tcPr>
          <w:p w14:paraId="657F8B82">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tc>
        <w:tc>
          <w:tcPr>
            <w:tcW w:w="5692" w:type="dxa"/>
            <w:tcBorders>
              <w:tl2br w:val="nil"/>
              <w:tr2bl w:val="nil"/>
            </w:tcBorders>
            <w:vAlign w:val="center"/>
          </w:tcPr>
          <w:p w14:paraId="5880431F">
            <w:pPr>
              <w:keepNext w:val="0"/>
              <w:keepLines w:val="0"/>
              <w:pageBreakBefore w:val="0"/>
              <w:kinsoku/>
              <w:wordWrap/>
              <w:overflowPunct/>
              <w:topLinePunct w:val="0"/>
              <w:bidi w:val="0"/>
              <w:adjustRightInd/>
              <w:snapToGrid/>
              <w:spacing w:line="46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业主方指定</w:t>
            </w:r>
          </w:p>
        </w:tc>
      </w:tr>
      <w:tr w14:paraId="4E12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006" w:type="dxa"/>
            <w:tcBorders>
              <w:tl2br w:val="nil"/>
              <w:tr2bl w:val="nil"/>
            </w:tcBorders>
            <w:vAlign w:val="center"/>
          </w:tcPr>
          <w:p w14:paraId="7362BCF0">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24" w:type="dxa"/>
            <w:tcBorders>
              <w:tl2br w:val="nil"/>
              <w:tr2bl w:val="nil"/>
            </w:tcBorders>
            <w:vAlign w:val="center"/>
          </w:tcPr>
          <w:p w14:paraId="40CF1ADD">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期限</w:t>
            </w:r>
          </w:p>
        </w:tc>
        <w:tc>
          <w:tcPr>
            <w:tcW w:w="5692" w:type="dxa"/>
            <w:tcBorders>
              <w:tl2br w:val="nil"/>
              <w:tr2bl w:val="nil"/>
            </w:tcBorders>
            <w:vAlign w:val="center"/>
          </w:tcPr>
          <w:p w14:paraId="648DFF0B">
            <w:pPr>
              <w:keepNext w:val="0"/>
              <w:keepLines w:val="0"/>
              <w:pageBreakBefore w:val="0"/>
              <w:kinsoku/>
              <w:wordWrap/>
              <w:overflowPunct/>
              <w:topLinePunct w:val="0"/>
              <w:bidi w:val="0"/>
              <w:adjustRightInd/>
              <w:snapToGrid/>
              <w:spacing w:line="460" w:lineRule="exact"/>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自合同签订之日起至竣工验收备案移交及质保期满为止，服务施工期计划均为90日历天（仅供投标时参考）</w:t>
            </w:r>
          </w:p>
        </w:tc>
      </w:tr>
      <w:bookmarkEnd w:id="82"/>
      <w:bookmarkEnd w:id="83"/>
    </w:tbl>
    <w:p w14:paraId="3501DD3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atLeast"/>
        <w:ind w:left="641" w:leftChars="0" w:right="0" w:rightChars="0"/>
        <w:jc w:val="both"/>
        <w:textAlignment w:val="auto"/>
        <w:rPr>
          <w:rFonts w:hint="eastAsia" w:ascii="宋体" w:hAnsi="宋体" w:eastAsia="宋体" w:cs="宋体"/>
          <w:b/>
          <w:bCs/>
          <w:i w:val="0"/>
          <w:iCs w:val="0"/>
          <w:caps w:val="0"/>
          <w:color w:val="auto"/>
          <w:spacing w:val="0"/>
          <w:sz w:val="24"/>
          <w:szCs w:val="24"/>
          <w:highlight w:val="none"/>
          <w:shd w:val="clear" w:color="auto" w:fill="FFFFFF"/>
          <w:lang w:val="en-US" w:eastAsia="zh-CN"/>
        </w:rPr>
      </w:pPr>
      <w:bookmarkStart w:id="84" w:name="二、货物需求"/>
      <w:bookmarkEnd w:id="84"/>
      <w:r>
        <w:rPr>
          <w:rFonts w:hint="eastAsia" w:ascii="宋体" w:hAnsi="宋体" w:eastAsia="宋体" w:cs="宋体"/>
          <w:b/>
          <w:bCs/>
          <w:i w:val="0"/>
          <w:iCs w:val="0"/>
          <w:caps w:val="0"/>
          <w:color w:val="auto"/>
          <w:spacing w:val="0"/>
          <w:sz w:val="24"/>
          <w:szCs w:val="24"/>
          <w:highlight w:val="none"/>
          <w:shd w:val="clear" w:color="auto" w:fill="FFFFFF"/>
          <w:lang w:val="en-US" w:eastAsia="zh-CN"/>
        </w:rPr>
        <w:t>一、项目概况</w:t>
      </w:r>
    </w:p>
    <w:p w14:paraId="69E0363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总用地面积为19934.38平方米(合约29.9亩)，总建筑面积为7370.23平方米，其中地上建筑面积7150.23平方米，地下建筑面积为220平方米。本次实施教学楼建设面积2414.38平方米，建设班级数为14班，为地上一层钢框架结构，另配套建设道路、给排水、景观绿化等基础设施。本项目为该工程的全过程检测服务。</w:t>
      </w:r>
    </w:p>
    <w:p w14:paraId="0D83123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atLeast"/>
        <w:ind w:left="641" w:leftChars="0" w:right="0" w:rightChars="0"/>
        <w:jc w:val="both"/>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二、报价要求</w:t>
      </w:r>
    </w:p>
    <w:p w14:paraId="48CDD2E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报总价，谈判报价不得超过预算价和最高限价。本次报价为完成本次采购项目的全部费用价格，其组成包括但不限于人员工资、管理费、施工费、服装费、办公费、交通费、通讯费、培训费、税金、利润、劳动保险费、合同工期内的风险费用等为完成本次采购项目所发生的一切费用。成交供应商自行解决员工养老、失业、医疗、工伤、生育、纳税等保险及劳保、工资、福利、食宿、员工上下班交通、成交供应商采购交通问题及供应商为完成服务所发生的一切费用等有关问题。</w:t>
      </w:r>
      <w:bookmarkStart w:id="85" w:name="_Toc4179"/>
      <w:bookmarkStart w:id="86" w:name="_Toc8748"/>
    </w:p>
    <w:p w14:paraId="2384340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atLeast"/>
        <w:ind w:left="641" w:leftChars="0" w:right="0" w:rightChars="0"/>
        <w:jc w:val="both"/>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三、服务要求</w:t>
      </w:r>
    </w:p>
    <w:p w14:paraId="6905ED4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atLeast"/>
        <w:ind w:left="641" w:leftChars="0" w:right="0" w:rightChars="0"/>
        <w:jc w:val="both"/>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（一）总体要求</w:t>
      </w:r>
    </w:p>
    <w:p w14:paraId="0C844F1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检测项目、数量及频率须符合国家、省、市现行规范标准、行政主管部门监管规定、设计图纸、施工及采购人需求，全</w:t>
      </w:r>
      <w:r>
        <w:rPr>
          <w:rFonts w:ascii="宋体" w:hAnsi="宋体" w:eastAsia="宋体" w:cs="宋体"/>
          <w:sz w:val="24"/>
          <w:szCs w:val="24"/>
        </w:rPr>
        <w:t>面覆盖工程建设各阶段验收、竣工验收所需全部检测服务</w:t>
      </w:r>
      <w:r>
        <w:rPr>
          <w:rFonts w:hint="eastAsia" w:ascii="宋体" w:hAnsi="宋体" w:eastAsia="宋体" w:cs="宋体"/>
          <w:color w:val="auto"/>
          <w:kern w:val="2"/>
          <w:sz w:val="24"/>
          <w:szCs w:val="24"/>
          <w:highlight w:val="none"/>
          <w:lang w:val="en-US" w:eastAsia="zh-CN" w:bidi="ar-SA"/>
        </w:rPr>
        <w:t>，并严格遵守《建设工程质量检测管理办法》（住建部令第</w:t>
      </w:r>
      <w:r>
        <w:rPr>
          <w:rFonts w:hint="eastAsia" w:ascii="宋体" w:hAnsi="宋体" w:cs="宋体"/>
          <w:color w:val="auto"/>
          <w:kern w:val="2"/>
          <w:sz w:val="24"/>
          <w:szCs w:val="24"/>
          <w:highlight w:val="none"/>
          <w:lang w:val="en-US" w:eastAsia="zh-CN" w:bidi="ar-SA"/>
        </w:rPr>
        <w:t>57</w:t>
      </w:r>
      <w:r>
        <w:rPr>
          <w:rFonts w:hint="eastAsia" w:ascii="宋体" w:hAnsi="宋体" w:eastAsia="宋体" w:cs="宋体"/>
          <w:color w:val="auto"/>
          <w:kern w:val="2"/>
          <w:sz w:val="24"/>
          <w:szCs w:val="24"/>
          <w:highlight w:val="none"/>
          <w:lang w:val="en-US" w:eastAsia="zh-CN" w:bidi="ar-SA"/>
        </w:rPr>
        <w:t>）、《安徽省建设工程质量检测管理实施细则》（建质规〔2024〕5号）及省市其他现行相关管理规定。</w:t>
      </w:r>
    </w:p>
    <w:p w14:paraId="330DF621">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atLeast"/>
        <w:ind w:left="641" w:leftChars="0" w:right="0" w:rightChars="0"/>
        <w:jc w:val="both"/>
        <w:textAlignment w:val="auto"/>
        <w:rPr>
          <w:rFonts w:hint="eastAsia"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（二）人员要求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5114"/>
        <w:gridCol w:w="1908"/>
      </w:tblGrid>
      <w:tr w14:paraId="6D3E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00" w:type="dxa"/>
            <w:tcBorders>
              <w:tl2br w:val="nil"/>
              <w:tr2bl w:val="nil"/>
            </w:tcBorders>
            <w:vAlign w:val="center"/>
          </w:tcPr>
          <w:p w14:paraId="0B8CBED8">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岗位</w:t>
            </w:r>
          </w:p>
        </w:tc>
        <w:tc>
          <w:tcPr>
            <w:tcW w:w="5114" w:type="dxa"/>
            <w:tcBorders>
              <w:tl2br w:val="nil"/>
              <w:tr2bl w:val="nil"/>
            </w:tcBorders>
            <w:vAlign w:val="center"/>
          </w:tcPr>
          <w:p w14:paraId="6692EDB3">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要求</w:t>
            </w:r>
          </w:p>
        </w:tc>
        <w:tc>
          <w:tcPr>
            <w:tcW w:w="1908" w:type="dxa"/>
            <w:tcBorders>
              <w:tl2br w:val="nil"/>
              <w:tr2bl w:val="nil"/>
            </w:tcBorders>
            <w:vAlign w:val="center"/>
          </w:tcPr>
          <w:p w14:paraId="147943F6">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人员配额</w:t>
            </w:r>
          </w:p>
        </w:tc>
      </w:tr>
      <w:tr w14:paraId="3A14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00" w:type="dxa"/>
            <w:tcBorders>
              <w:tl2br w:val="nil"/>
              <w:tr2bl w:val="nil"/>
            </w:tcBorders>
            <w:vAlign w:val="center"/>
          </w:tcPr>
          <w:p w14:paraId="0A36A0D3">
            <w:pPr>
              <w:keepNext/>
              <w:keepLines/>
              <w:tabs>
                <w:tab w:val="left" w:pos="2505"/>
              </w:tabs>
              <w:spacing w:before="120" w:beforeLines="50" w:after="120" w:afterLines="50" w:line="360" w:lineRule="auto"/>
              <w:ind w:firstLine="0" w:firstLineChars="0"/>
              <w:jc w:val="center"/>
              <w:outlineLvl w:val="1"/>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项目负责人</w:t>
            </w:r>
          </w:p>
        </w:tc>
        <w:tc>
          <w:tcPr>
            <w:tcW w:w="5114" w:type="dxa"/>
            <w:tcBorders>
              <w:tl2br w:val="nil"/>
              <w:tr2bl w:val="nil"/>
            </w:tcBorders>
            <w:vAlign w:val="center"/>
          </w:tcPr>
          <w:p w14:paraId="47BA28E3">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具有试验检测师或检测人员岗位资格证书</w:t>
            </w:r>
          </w:p>
        </w:tc>
        <w:tc>
          <w:tcPr>
            <w:tcW w:w="1908" w:type="dxa"/>
            <w:tcBorders>
              <w:tl2br w:val="nil"/>
              <w:tr2bl w:val="nil"/>
            </w:tcBorders>
            <w:vAlign w:val="center"/>
          </w:tcPr>
          <w:p w14:paraId="0D4B7297">
            <w:pPr>
              <w:keepNext/>
              <w:keepLines/>
              <w:tabs>
                <w:tab w:val="left" w:pos="2505"/>
              </w:tabs>
              <w:spacing w:before="120" w:beforeLines="50" w:after="120" w:afterLines="50" w:line="360" w:lineRule="auto"/>
              <w:ind w:firstLine="0" w:firstLineChars="0"/>
              <w:jc w:val="center"/>
              <w:outlineLvl w:val="1"/>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1人</w:t>
            </w:r>
          </w:p>
        </w:tc>
      </w:tr>
      <w:tr w14:paraId="2EED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00" w:type="dxa"/>
            <w:tcBorders>
              <w:tl2br w:val="nil"/>
              <w:tr2bl w:val="nil"/>
            </w:tcBorders>
            <w:vAlign w:val="center"/>
          </w:tcPr>
          <w:p w14:paraId="62134448">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项目现场技术负责人</w:t>
            </w:r>
          </w:p>
        </w:tc>
        <w:tc>
          <w:tcPr>
            <w:tcW w:w="5114" w:type="dxa"/>
            <w:tcBorders>
              <w:tl2br w:val="nil"/>
              <w:tr2bl w:val="nil"/>
            </w:tcBorders>
            <w:vAlign w:val="center"/>
          </w:tcPr>
          <w:p w14:paraId="414490FD">
            <w:pPr>
              <w:keepNext/>
              <w:keepLines/>
              <w:tabs>
                <w:tab w:val="left" w:pos="2505"/>
              </w:tabs>
              <w:spacing w:before="120" w:beforeLines="50" w:after="120" w:afterLines="50" w:line="360" w:lineRule="auto"/>
              <w:ind w:firstLine="0" w:firstLineChars="0"/>
              <w:jc w:val="center"/>
              <w:outlineLvl w:val="1"/>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具有试验检测师或检测人员岗位资格证书</w:t>
            </w:r>
          </w:p>
        </w:tc>
        <w:tc>
          <w:tcPr>
            <w:tcW w:w="1908" w:type="dxa"/>
            <w:tcBorders>
              <w:tl2br w:val="nil"/>
              <w:tr2bl w:val="nil"/>
            </w:tcBorders>
            <w:vAlign w:val="center"/>
          </w:tcPr>
          <w:p w14:paraId="7C030D52">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人</w:t>
            </w:r>
          </w:p>
        </w:tc>
      </w:tr>
      <w:tr w14:paraId="0E33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200" w:type="dxa"/>
            <w:tcBorders>
              <w:tl2br w:val="nil"/>
              <w:tr2bl w:val="nil"/>
            </w:tcBorders>
            <w:vAlign w:val="center"/>
          </w:tcPr>
          <w:p w14:paraId="53F62514">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检测员</w:t>
            </w:r>
          </w:p>
        </w:tc>
        <w:tc>
          <w:tcPr>
            <w:tcW w:w="5114" w:type="dxa"/>
            <w:tcBorders>
              <w:tl2br w:val="nil"/>
              <w:tr2bl w:val="nil"/>
            </w:tcBorders>
            <w:vAlign w:val="center"/>
          </w:tcPr>
          <w:p w14:paraId="2D5962BA">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具有检测人员岗位资格证书</w:t>
            </w:r>
          </w:p>
        </w:tc>
        <w:tc>
          <w:tcPr>
            <w:tcW w:w="1908" w:type="dxa"/>
            <w:tcBorders>
              <w:tl2br w:val="nil"/>
              <w:tr2bl w:val="nil"/>
            </w:tcBorders>
            <w:vAlign w:val="center"/>
          </w:tcPr>
          <w:p w14:paraId="3F2EB74E">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人</w:t>
            </w:r>
          </w:p>
        </w:tc>
      </w:tr>
      <w:tr w14:paraId="4255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00" w:type="dxa"/>
            <w:tcBorders>
              <w:tl2br w:val="nil"/>
              <w:tr2bl w:val="nil"/>
            </w:tcBorders>
            <w:vAlign w:val="center"/>
          </w:tcPr>
          <w:p w14:paraId="3378D77F">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资料员</w:t>
            </w:r>
          </w:p>
        </w:tc>
        <w:tc>
          <w:tcPr>
            <w:tcW w:w="5114" w:type="dxa"/>
            <w:tcBorders>
              <w:tl2br w:val="nil"/>
              <w:tr2bl w:val="nil"/>
            </w:tcBorders>
            <w:vAlign w:val="center"/>
          </w:tcPr>
          <w:p w14:paraId="677B7C22">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908" w:type="dxa"/>
            <w:tcBorders>
              <w:tl2br w:val="nil"/>
              <w:tr2bl w:val="nil"/>
            </w:tcBorders>
            <w:vAlign w:val="center"/>
          </w:tcPr>
          <w:p w14:paraId="2506512A">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人</w:t>
            </w:r>
          </w:p>
        </w:tc>
      </w:tr>
      <w:tr w14:paraId="75F7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314" w:type="dxa"/>
            <w:gridSpan w:val="2"/>
            <w:tcBorders>
              <w:tl2br w:val="nil"/>
              <w:tr2bl w:val="nil"/>
            </w:tcBorders>
            <w:vAlign w:val="center"/>
          </w:tcPr>
          <w:p w14:paraId="1D4BA7F7">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合计</w:t>
            </w:r>
          </w:p>
        </w:tc>
        <w:tc>
          <w:tcPr>
            <w:tcW w:w="1908" w:type="dxa"/>
            <w:tcBorders>
              <w:tl2br w:val="nil"/>
              <w:tr2bl w:val="nil"/>
            </w:tcBorders>
            <w:vAlign w:val="center"/>
          </w:tcPr>
          <w:p w14:paraId="3FA400FE">
            <w:pPr>
              <w:keepNext/>
              <w:keepLines/>
              <w:tabs>
                <w:tab w:val="left" w:pos="2505"/>
              </w:tabs>
              <w:spacing w:before="120" w:beforeLines="50" w:after="120" w:afterLines="50" w:line="360" w:lineRule="auto"/>
              <w:ind w:firstLine="0" w:firstLineChars="0"/>
              <w:jc w:val="center"/>
              <w:outlineLvl w:val="1"/>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人</w:t>
            </w:r>
          </w:p>
        </w:tc>
      </w:tr>
    </w:tbl>
    <w:p w14:paraId="38112365">
      <w:pPr>
        <w:keepNext w:val="0"/>
        <w:keepLines w:val="0"/>
        <w:pageBreakBefore w:val="0"/>
        <w:widowControl/>
        <w:suppressLineNumbers w:val="0"/>
        <w:kinsoku/>
        <w:wordWrap/>
        <w:overflowPunct/>
        <w:topLinePunct w:val="0"/>
        <w:autoSpaceDE/>
        <w:autoSpaceDN/>
        <w:bidi w:val="0"/>
        <w:adjustRightInd/>
        <w:snapToGrid/>
        <w:spacing w:before="153" w:beforeLines="50" w:line="460" w:lineRule="exact"/>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eastAsia="宋体" w:cs="宋体"/>
          <w:b/>
          <w:bCs/>
          <w:color w:val="auto"/>
          <w:sz w:val="24"/>
          <w:szCs w:val="24"/>
          <w:highlight w:val="none"/>
          <w:lang w:val="en-US" w:eastAsia="zh-CN"/>
        </w:rPr>
        <w:t>以上人员在响应文件中无需提供相关证明材料，</w:t>
      </w:r>
      <w:r>
        <w:rPr>
          <w:rFonts w:hint="eastAsia" w:ascii="宋体" w:hAnsi="宋体" w:eastAsia="宋体" w:cs="宋体"/>
          <w:b/>
          <w:bCs w:val="0"/>
          <w:color w:val="FF0000"/>
          <w:sz w:val="24"/>
          <w:szCs w:val="24"/>
          <w:highlight w:val="none"/>
          <w:lang w:val="en-US" w:eastAsia="zh-CN"/>
        </w:rPr>
        <w:t>但供应商须在响应文件中以承诺或列表形式予以响应，否则初审不通过。</w:t>
      </w:r>
      <w:r>
        <w:rPr>
          <w:rFonts w:hint="eastAsia" w:ascii="宋体" w:hAnsi="宋体" w:eastAsia="宋体" w:cs="宋体"/>
          <w:color w:val="auto"/>
          <w:kern w:val="2"/>
          <w:sz w:val="24"/>
          <w:szCs w:val="24"/>
          <w:highlight w:val="none"/>
          <w:lang w:val="en-US" w:eastAsia="zh-CN" w:bidi="ar-SA"/>
        </w:rPr>
        <w:t>成交供应商进场前，须向采购人报送完整人员名单、岗位资质证书及社保缴纳证明材料，由采购人核查核验。若成交人拒不提供、提交虚假资料，或拟派驻人员不符合采购文件要求，采购人有权终止合同、追究违约责任，并上报行业主管部门依规处置；人员配置不达标的，成交人须无条件限期更换合格人员，否则采购人有权依规追责。合同履约期间，派驻人员不得擅自更换，确需更换检测项目负责人的，须提前书面报请采购人审核同意后方可调整。</w:t>
      </w:r>
    </w:p>
    <w:p w14:paraId="1771D9B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482" w:firstLineChars="200"/>
        <w:jc w:val="left"/>
        <w:textAlignment w:val="auto"/>
        <w:rPr>
          <w:rFonts w:hint="eastAsia" w:ascii="宋体" w:hAnsi="宋体" w:cs="宋体"/>
          <w:b/>
          <w:bCs/>
          <w:color w:val="auto"/>
          <w:kern w:val="2"/>
          <w:sz w:val="24"/>
          <w:szCs w:val="24"/>
          <w:highlight w:val="yellow"/>
          <w:lang w:val="en-US" w:eastAsia="zh-CN" w:bidi="ar-SA"/>
        </w:rPr>
      </w:pPr>
      <w:r>
        <w:rPr>
          <w:rFonts w:hint="eastAsia" w:ascii="宋体" w:hAnsi="宋体" w:eastAsia="宋体" w:cs="宋体"/>
          <w:b/>
          <w:bCs/>
          <w:color w:val="auto"/>
          <w:kern w:val="2"/>
          <w:sz w:val="24"/>
          <w:szCs w:val="24"/>
          <w:lang w:val="en-US" w:eastAsia="zh-CN" w:bidi="ar-SA"/>
        </w:rPr>
        <w:t>（三）</w:t>
      </w:r>
      <w:r>
        <w:rPr>
          <w:rFonts w:hint="eastAsia" w:ascii="宋体" w:hAnsi="宋体" w:cs="宋体"/>
          <w:b/>
          <w:bCs/>
          <w:color w:val="auto"/>
          <w:kern w:val="2"/>
          <w:sz w:val="24"/>
          <w:szCs w:val="24"/>
          <w:highlight w:val="none"/>
          <w:lang w:val="en-US" w:eastAsia="zh-CN" w:bidi="ar-SA"/>
        </w:rPr>
        <w:t>检测内容</w:t>
      </w:r>
    </w:p>
    <w:p w14:paraId="35B5265B">
      <w:pPr>
        <w:keepNext w:val="0"/>
        <w:keepLines w:val="0"/>
        <w:pageBreakBefore w:val="0"/>
        <w:kinsoku/>
        <w:wordWrap/>
        <w:overflowPunct/>
        <w:topLinePunct w:val="0"/>
        <w:autoSpaceDE/>
        <w:autoSpaceDN/>
        <w:bidi w:val="0"/>
        <w:adjustRightInd/>
        <w:snapToGrid/>
        <w:spacing w:line="460" w:lineRule="exact"/>
        <w:ind w:firstLine="480"/>
        <w:textAlignment w:val="auto"/>
        <w:rPr>
          <w:rFonts w:ascii="宋体" w:hAnsi="宋体" w:eastAsia="宋体" w:cs="宋体"/>
          <w:sz w:val="24"/>
          <w:szCs w:val="24"/>
        </w:rPr>
      </w:pPr>
      <w:r>
        <w:rPr>
          <w:rFonts w:ascii="宋体" w:hAnsi="宋体" w:eastAsia="宋体" w:cs="宋体"/>
          <w:sz w:val="24"/>
          <w:szCs w:val="24"/>
        </w:rPr>
        <w:t>本次检测服务覆盖工程施工招标图纸全部范围，主要包含</w:t>
      </w:r>
      <w:r>
        <w:rPr>
          <w:rFonts w:hint="eastAsia" w:ascii="宋体" w:hAnsi="宋体" w:eastAsia="宋体" w:cs="宋体"/>
          <w:color w:val="auto"/>
          <w:kern w:val="0"/>
          <w:sz w:val="24"/>
          <w:szCs w:val="24"/>
          <w:highlight w:val="none"/>
          <w:lang w:val="en-US" w:eastAsia="zh-CN" w:bidi="ar"/>
        </w:rPr>
        <w:t>见证取样检测、地基基础工程检测、主体结构工程现场检测、钢结构工程检测以及</w:t>
      </w:r>
      <w:r>
        <w:rPr>
          <w:rFonts w:ascii="宋体" w:hAnsi="宋体" w:eastAsia="宋体" w:cs="宋体"/>
          <w:sz w:val="24"/>
          <w:szCs w:val="24"/>
        </w:rPr>
        <w:t>建设单位对工程质量存疑部位需追加的检测，全面</w:t>
      </w:r>
      <w:r>
        <w:rPr>
          <w:rFonts w:hint="eastAsia" w:ascii="宋体" w:hAnsi="宋体" w:eastAsia="宋体" w:cs="宋体"/>
          <w:sz w:val="24"/>
          <w:szCs w:val="24"/>
          <w:lang w:val="en-US" w:eastAsia="zh-CN"/>
        </w:rPr>
        <w:t>包括</w:t>
      </w:r>
      <w:r>
        <w:rPr>
          <w:rFonts w:ascii="宋体" w:hAnsi="宋体" w:eastAsia="宋体" w:cs="宋体"/>
          <w:sz w:val="24"/>
          <w:szCs w:val="24"/>
        </w:rPr>
        <w:t>项目建设全流程</w:t>
      </w:r>
      <w:r>
        <w:rPr>
          <w:rFonts w:hint="eastAsia" w:ascii="宋体" w:hAnsi="宋体" w:eastAsia="宋体" w:cs="宋体"/>
          <w:sz w:val="24"/>
          <w:szCs w:val="24"/>
          <w:lang w:val="en-US" w:eastAsia="zh-CN"/>
        </w:rPr>
        <w:t>工程</w:t>
      </w:r>
      <w:r>
        <w:rPr>
          <w:rFonts w:ascii="宋体" w:hAnsi="宋体" w:eastAsia="宋体" w:cs="宋体"/>
          <w:sz w:val="24"/>
          <w:szCs w:val="24"/>
        </w:rPr>
        <w:t>质量检测工作。涵盖各类工程建设原材料、成品及半成品检验，具体包括混凝土、钢筋原材及连接构件、预拌砂浆、砌体材料、装饰装修材料、保温节能材料、防水材料、水电材料、幕墙工程材料等关键建材检测；同步开展桩基、工程实体、防雷、基础监测、环保、人防、消防等专项检测工作。配套基础设施道排专项检测包含道路压实度、沥青混合料、路面强度与厚度、排水管道、波纹管、检查井盖、水篦、路沿石、检查井模块等内容。建筑专项检测包含建筑外窗气密、水密、抗风压、保温四大性能检测，室内环境污染物浓度检测，人防主体结构与设施设备检测、满足验收标准的全套消防工程检测，以及所有与工程施工、竣工验收相关的配套检测项目。</w:t>
      </w:r>
    </w:p>
    <w:p w14:paraId="2B631C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1）见证取样检测：混凝土、砂浆（含预拌砂浆）、防水材料、钢筋原材及连接件、砂、石、水泥、外加剂、混凝土配合比验证及</w:t>
      </w:r>
      <w:r>
        <w:rPr>
          <w:rFonts w:hint="eastAsia" w:ascii="宋体" w:hAnsi="宋体" w:eastAsia="宋体" w:cs="宋体"/>
          <w:color w:val="000000"/>
          <w:kern w:val="0"/>
          <w:sz w:val="24"/>
          <w:szCs w:val="24"/>
          <w:lang w:val="en-US" w:eastAsia="zh-CN" w:bidi="ar"/>
        </w:rPr>
        <w:t>国家规定必须实行取样和送检的其它试块、试件和材料</w:t>
      </w:r>
      <w:r>
        <w:rPr>
          <w:rFonts w:hint="eastAsia" w:ascii="宋体" w:hAnsi="宋体" w:eastAsia="宋体" w:cs="宋体"/>
          <w:color w:val="auto"/>
          <w:kern w:val="0"/>
          <w:sz w:val="24"/>
          <w:szCs w:val="24"/>
          <w:highlight w:val="none"/>
          <w:lang w:val="en-US" w:eastAsia="zh-CN" w:bidi="ar"/>
        </w:rPr>
        <w:t>等。</w:t>
      </w:r>
    </w:p>
    <w:p w14:paraId="1C2C0A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2）地基基础检测：地基及复合地基承载力静载检测、桩的承载力检测、桩身完整性检测、锚杆锁定力检测、基坑监测等。 </w:t>
      </w:r>
    </w:p>
    <w:p w14:paraId="596B9B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3）主体结构检测：混凝土强度（包括破损检测）、钢筋间距、钢筋保护层厚度、楼板厚度、裂缝检测、钢筋拉拔、砌体强度、粉刷砂浆强度、砌筑砂浆强度等。 </w:t>
      </w:r>
    </w:p>
    <w:p w14:paraId="366776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建筑保温及节能检测：建筑外门、外窗的“三性”及传热系数检测、建筑构件热阻或传热系数检测、建筑材料导热系数检测、外墙外保温系统的耐候性与抗风压检测、建筑节能规范和技术标准要求的其他检测项目。</w:t>
      </w:r>
    </w:p>
    <w:p w14:paraId="3FD82A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5）建筑节能检测：建筑外门、外窗的“三性”及传热系数检测；建筑构件热阻或传热系数检测；建筑材料导热系数检测；外墙外保温系统的耐候性与抗风压检测；建筑节能规范和技术标准要求的其他检测项目。</w:t>
      </w:r>
    </w:p>
    <w:p w14:paraId="6CB710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6）室内环境检测：室内空气中氡、甲醛、苯、氨及 TVOC 浓度检测；土壤氡浓度检测；室内装饰材料有害物质浓度检测。</w:t>
      </w:r>
    </w:p>
    <w:p w14:paraId="3DA5FFE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7）钢结构检测：钢结构焊接质量无损检测；钢结构防腐涂装检测；钢结构节点、机械连接用紧固标准件及高强度螺栓力学性能检测；钢网架结构的变形检测；钢材、钢铸件力学性能检测。</w:t>
      </w:r>
    </w:p>
    <w:p w14:paraId="3E0354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8）基坑变形观测、建筑物沉降监测、建筑物倾斜监测。</w:t>
      </w:r>
    </w:p>
    <w:p w14:paraId="6836EDC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9）道排检测：道路压实度、排水管、波纹管、检查井盖、水篦、路沿石、检查井模块、沥青混合料、路面强度厚度、管网畅通性检测等。</w:t>
      </w:r>
    </w:p>
    <w:p w14:paraId="25CBF4A7">
      <w:pPr>
        <w:spacing w:line="440" w:lineRule="exact"/>
        <w:ind w:firstLine="480"/>
        <w:rPr>
          <w:rFonts w:hint="eastAsia" w:ascii="宋体" w:hAnsi="宋体" w:eastAsia="宋体" w:cs="宋体"/>
          <w:color w:val="auto"/>
          <w:kern w:val="0"/>
          <w:sz w:val="24"/>
          <w:szCs w:val="24"/>
          <w:highlight w:val="none"/>
          <w:lang w:val="en-US" w:eastAsia="zh-CN" w:bidi="ar"/>
        </w:rPr>
      </w:pPr>
      <w:r>
        <w:rPr>
          <w:rFonts w:ascii="宋体" w:hAnsi="宋体" w:eastAsia="宋体" w:cs="宋体"/>
          <w:sz w:val="24"/>
          <w:szCs w:val="24"/>
        </w:rPr>
        <w:t>本项目检测服务为包干范围，包含但不限于上述检测</w:t>
      </w:r>
      <w:r>
        <w:rPr>
          <w:rFonts w:hint="eastAsia" w:ascii="宋体" w:hAnsi="宋体" w:eastAsia="宋体" w:cs="宋体"/>
          <w:sz w:val="24"/>
          <w:szCs w:val="24"/>
          <w:lang w:val="en-US" w:eastAsia="zh-CN"/>
        </w:rPr>
        <w:t>内容</w:t>
      </w:r>
      <w:r>
        <w:rPr>
          <w:rFonts w:ascii="宋体" w:hAnsi="宋体" w:eastAsia="宋体" w:cs="宋体"/>
          <w:sz w:val="24"/>
          <w:szCs w:val="24"/>
        </w:rPr>
        <w:t>，项目竣工验收阶段全部第三方检测工作均纳入服务内容，供应商需结合全部工作内容综合自主报价，中标后合同价款不作调整。所有检测项目的取样数量、检测频次严格遵照国家及地方现行规范标准执行，若行业主管部门有特殊管控要求，从其规定落实；施工期间，采购人可根据现场质量管理需要，对存疑施工部位增加检测频次与检测项目</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highlight w:val="none"/>
          <w:lang w:val="en-US" w:eastAsia="zh-CN" w:bidi="ar"/>
        </w:rPr>
        <w:t>当工程移交后，质保期内，接收方或使用方对工程质量提出质疑，</w:t>
      </w:r>
      <w:r>
        <w:rPr>
          <w:spacing w:val="-2"/>
          <w:sz w:val="24"/>
          <w:szCs w:val="24"/>
        </w:rPr>
        <w:t>成交供应商</w:t>
      </w:r>
      <w:r>
        <w:rPr>
          <w:rFonts w:hint="eastAsia" w:ascii="宋体" w:hAnsi="宋体" w:eastAsia="宋体" w:cs="宋体"/>
          <w:color w:val="auto"/>
          <w:kern w:val="0"/>
          <w:sz w:val="24"/>
          <w:szCs w:val="24"/>
          <w:highlight w:val="none"/>
          <w:lang w:val="en-US" w:eastAsia="zh-CN" w:bidi="ar"/>
        </w:rPr>
        <w:t>需进行检测及鉴定。</w:t>
      </w:r>
    </w:p>
    <w:p w14:paraId="698EC7EB">
      <w:pPr>
        <w:spacing w:line="440" w:lineRule="exact"/>
        <w:ind w:firstLine="480"/>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（四）管理要求</w:t>
      </w:r>
    </w:p>
    <w:p w14:paraId="5F8168E9">
      <w:pPr>
        <w:spacing w:line="44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拟参加本项目的检测人员总人数符合本项目人员配备要求，具体进场人员及常驻工地试验室人员数量要求服从</w:t>
      </w:r>
      <w:r>
        <w:rPr>
          <w:rFonts w:hint="eastAsia" w:ascii="宋体" w:hAnsi="宋体" w:eastAsia="宋体" w:cs="宋体"/>
          <w:sz w:val="24"/>
          <w:szCs w:val="24"/>
          <w:lang w:val="en-US" w:eastAsia="zh-CN"/>
        </w:rPr>
        <w:t>采购人</w:t>
      </w:r>
      <w:r>
        <w:rPr>
          <w:rFonts w:hint="eastAsia" w:ascii="宋体" w:hAnsi="宋体" w:eastAsia="宋体" w:cs="宋体"/>
          <w:sz w:val="24"/>
          <w:szCs w:val="24"/>
        </w:rPr>
        <w:t>安排。 检测单位擅自更换投标文件中确定的（或</w:t>
      </w:r>
      <w:r>
        <w:rPr>
          <w:rFonts w:hint="eastAsia" w:ascii="宋体" w:hAnsi="宋体" w:eastAsia="宋体" w:cs="宋体"/>
          <w:sz w:val="24"/>
          <w:szCs w:val="24"/>
          <w:lang w:val="en-US" w:eastAsia="zh-CN"/>
        </w:rPr>
        <w:t>采购人</w:t>
      </w:r>
      <w:r>
        <w:rPr>
          <w:rFonts w:hint="eastAsia" w:ascii="宋体" w:hAnsi="宋体" w:eastAsia="宋体" w:cs="宋体"/>
          <w:sz w:val="24"/>
          <w:szCs w:val="24"/>
        </w:rPr>
        <w:t>已确定的）检测负责人，</w:t>
      </w:r>
      <w:r>
        <w:rPr>
          <w:rFonts w:ascii="宋体" w:hAnsi="宋体" w:eastAsia="宋体" w:cs="宋体"/>
          <w:sz w:val="24"/>
          <w:szCs w:val="24"/>
        </w:rPr>
        <w:t>或采购人查实该人员长期未能在现场履行其职责的，视为供应商违约，</w:t>
      </w:r>
      <w:r>
        <w:rPr>
          <w:rFonts w:hint="eastAsia" w:ascii="宋体" w:hAnsi="宋体" w:eastAsia="宋体" w:cs="宋体"/>
          <w:sz w:val="24"/>
          <w:szCs w:val="24"/>
        </w:rPr>
        <w:t>处违约金10000元/人次；擅自变更投标文件中确定的（或</w:t>
      </w:r>
      <w:r>
        <w:rPr>
          <w:rFonts w:hint="eastAsia" w:ascii="宋体" w:hAnsi="宋体" w:eastAsia="宋体" w:cs="宋体"/>
          <w:sz w:val="24"/>
          <w:szCs w:val="24"/>
          <w:lang w:val="en-US" w:eastAsia="zh-CN"/>
        </w:rPr>
        <w:t>采购人</w:t>
      </w:r>
      <w:r>
        <w:rPr>
          <w:rFonts w:hint="eastAsia" w:ascii="宋体" w:hAnsi="宋体" w:eastAsia="宋体" w:cs="宋体"/>
          <w:sz w:val="24"/>
          <w:szCs w:val="24"/>
        </w:rPr>
        <w:t>已确定的）现场检测人员，处违约金5000元/人次。</w:t>
      </w:r>
    </w:p>
    <w:p w14:paraId="1C5EF96F">
      <w:pPr>
        <w:spacing w:line="44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成交供应商在监测服务期间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所有人员必须确保每月</w:t>
      </w:r>
      <w:r>
        <w:rPr>
          <w:rFonts w:hint="eastAsia" w:ascii="宋体" w:hAnsi="宋体" w:eastAsia="宋体" w:cs="宋体"/>
          <w:sz w:val="24"/>
          <w:szCs w:val="24"/>
          <w:lang w:val="en-US" w:eastAsia="zh-CN"/>
        </w:rPr>
        <w:t>22</w:t>
      </w:r>
      <w:r>
        <w:rPr>
          <w:rFonts w:hint="eastAsia" w:ascii="宋体" w:hAnsi="宋体" w:eastAsia="宋体" w:cs="宋体"/>
          <w:sz w:val="24"/>
          <w:szCs w:val="24"/>
        </w:rPr>
        <w:t>天出勤率，无故缺勤按1000元/人/天进行</w:t>
      </w:r>
      <w:r>
        <w:rPr>
          <w:rFonts w:hint="eastAsia" w:ascii="宋体" w:hAnsi="宋体" w:eastAsia="宋体" w:cs="宋体"/>
          <w:sz w:val="24"/>
          <w:szCs w:val="24"/>
          <w:lang w:val="en-US" w:eastAsia="zh-CN"/>
        </w:rPr>
        <w:t>处以违约金</w:t>
      </w:r>
      <w:r>
        <w:rPr>
          <w:rFonts w:hint="eastAsia" w:ascii="宋体" w:hAnsi="宋体" w:eastAsia="宋体" w:cs="宋体"/>
          <w:sz w:val="24"/>
          <w:szCs w:val="24"/>
        </w:rPr>
        <w:t>。</w:t>
      </w:r>
    </w:p>
    <w:p w14:paraId="3859D3B6">
      <w:pPr>
        <w:spacing w:line="44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现场无专业检测人员的，处以1000元/次的违约金。</w:t>
      </w:r>
    </w:p>
    <w:p w14:paraId="66C6D54B">
      <w:pPr>
        <w:spacing w:line="44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现场检测人数达不到招标要求的，处以500元/人/次的违约金。</w:t>
      </w:r>
    </w:p>
    <w:p w14:paraId="1A6F2FB6">
      <w:pPr>
        <w:spacing w:line="44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没有及时发现、阻止并责令整改施工违规行为的，处以5000元/次的违约金。</w:t>
      </w:r>
    </w:p>
    <w:p w14:paraId="1CA9ED16">
      <w:pPr>
        <w:spacing w:line="440" w:lineRule="exact"/>
        <w:ind w:firstLine="480"/>
        <w:rPr>
          <w:rFonts w:ascii="宋体" w:hAnsi="宋体" w:eastAsia="宋体" w:cs="宋体"/>
          <w:sz w:val="24"/>
          <w:szCs w:val="24"/>
        </w:rPr>
      </w:pPr>
      <w:r>
        <w:rPr>
          <w:rFonts w:hint="eastAsia" w:ascii="宋体" w:hAnsi="宋体" w:eastAsia="宋体" w:cs="宋体"/>
          <w:sz w:val="24"/>
          <w:szCs w:val="24"/>
          <w:lang w:val="en-US" w:eastAsia="zh-CN"/>
        </w:rPr>
        <w:t>6.项目负责人须参加采购人组织的工程会议，</w:t>
      </w:r>
      <w:r>
        <w:rPr>
          <w:rFonts w:ascii="宋体" w:hAnsi="宋体" w:eastAsia="宋体" w:cs="宋体"/>
          <w:sz w:val="24"/>
          <w:szCs w:val="24"/>
          <w:lang w:val="en-US" w:eastAsia="zh-CN"/>
        </w:rPr>
        <w:t>积极配合采购人开展工程质量检测相关沟通协调工作</w:t>
      </w:r>
      <w:r>
        <w:rPr>
          <w:rFonts w:hint="eastAsia" w:ascii="宋体" w:hAnsi="宋体" w:eastAsia="宋体" w:cs="宋体"/>
          <w:sz w:val="24"/>
          <w:szCs w:val="24"/>
          <w:lang w:val="en-US" w:eastAsia="zh-CN"/>
        </w:rPr>
        <w:t>，确有特殊情况提前向采购人请假并经采购人同意，否则处以500元/人违约金。</w:t>
      </w:r>
    </w:p>
    <w:p w14:paraId="713E816F">
      <w:pPr>
        <w:spacing w:line="44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成交供应商</w:t>
      </w:r>
      <w:r>
        <w:rPr>
          <w:rFonts w:hint="eastAsia" w:ascii="宋体" w:hAnsi="宋体" w:eastAsia="宋体" w:cs="宋体"/>
          <w:sz w:val="24"/>
          <w:szCs w:val="24"/>
        </w:rPr>
        <w:t>须严格按照审定的检测方案开展检测试验工作，工程期间若发现</w:t>
      </w:r>
      <w:r>
        <w:rPr>
          <w:rFonts w:hint="eastAsia" w:ascii="宋体" w:hAnsi="宋体" w:eastAsia="宋体" w:cs="宋体"/>
          <w:sz w:val="24"/>
          <w:szCs w:val="24"/>
          <w:lang w:val="en-US" w:eastAsia="zh-CN"/>
        </w:rPr>
        <w:t>供应商</w:t>
      </w:r>
      <w:r>
        <w:rPr>
          <w:rFonts w:hint="eastAsia" w:ascii="宋体" w:hAnsi="宋体" w:eastAsia="宋体" w:cs="宋体"/>
          <w:sz w:val="24"/>
          <w:szCs w:val="24"/>
        </w:rPr>
        <w:t>未按规定检测频率检测、检测工作不及时延误工程进度、检测结果尤其是不合格结果未及时上报</w:t>
      </w:r>
      <w:r>
        <w:rPr>
          <w:rFonts w:hint="eastAsia" w:ascii="宋体" w:hAnsi="宋体" w:eastAsia="宋体" w:cs="宋体"/>
          <w:sz w:val="24"/>
          <w:szCs w:val="24"/>
          <w:lang w:val="en-US" w:eastAsia="zh-CN"/>
        </w:rPr>
        <w:t>采购人</w:t>
      </w:r>
      <w:r>
        <w:rPr>
          <w:rFonts w:hint="eastAsia" w:ascii="宋体" w:hAnsi="宋体" w:eastAsia="宋体" w:cs="宋体"/>
          <w:sz w:val="24"/>
          <w:szCs w:val="24"/>
        </w:rPr>
        <w:t>的，处违约金5000元/次；</w:t>
      </w:r>
    </w:p>
    <w:p w14:paraId="16A3A5CD">
      <w:pPr>
        <w:spacing w:line="44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成交供应商</w:t>
      </w:r>
      <w:r>
        <w:rPr>
          <w:rFonts w:hint="eastAsia" w:ascii="宋体" w:hAnsi="宋体" w:eastAsia="宋体" w:cs="宋体"/>
          <w:sz w:val="24"/>
          <w:szCs w:val="24"/>
        </w:rPr>
        <w:t>须对本公司出具的所有试验报告负法律责任。若发现检测报告引用的数据、规范明显错误，</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有权对</w:t>
      </w:r>
      <w:r>
        <w:rPr>
          <w:rFonts w:ascii="宋体" w:hAnsi="宋体" w:eastAsia="宋体" w:cs="宋体"/>
          <w:sz w:val="24"/>
          <w:szCs w:val="24"/>
        </w:rPr>
        <w:t>成交供应商</w:t>
      </w:r>
      <w:r>
        <w:rPr>
          <w:rFonts w:hint="eastAsia" w:ascii="宋体" w:hAnsi="宋体" w:eastAsia="宋体" w:cs="宋体"/>
          <w:sz w:val="24"/>
          <w:szCs w:val="24"/>
        </w:rPr>
        <w:t>按违约金1000元/次进行处理；若现场取样、试验过程中吃拿卡要、与相关单位串通、弄虚作假或伪造检测数据、发现提供虚假报告行为，</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有权对</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按违约金</w:t>
      </w:r>
      <w:r>
        <w:rPr>
          <w:rFonts w:hint="eastAsia" w:ascii="宋体" w:hAnsi="宋体" w:eastAsia="宋体" w:cs="宋体"/>
          <w:sz w:val="24"/>
          <w:szCs w:val="24"/>
          <w:lang w:val="en-US" w:eastAsia="zh-CN"/>
        </w:rPr>
        <w:t>1</w:t>
      </w:r>
      <w:r>
        <w:rPr>
          <w:rFonts w:hint="eastAsia" w:ascii="宋体" w:hAnsi="宋体" w:eastAsia="宋体" w:cs="宋体"/>
          <w:sz w:val="24"/>
          <w:szCs w:val="24"/>
        </w:rPr>
        <w:t>0000元/次进行处理并予以通报，第二次发现</w:t>
      </w:r>
      <w:r>
        <w:rPr>
          <w:rFonts w:hint="eastAsia" w:ascii="宋体" w:hAnsi="宋体" w:eastAsia="宋体" w:cs="宋体"/>
          <w:sz w:val="24"/>
          <w:szCs w:val="24"/>
          <w:lang w:val="en-US" w:eastAsia="zh-CN"/>
        </w:rPr>
        <w:t>采购人</w:t>
      </w:r>
      <w:r>
        <w:rPr>
          <w:rFonts w:hint="eastAsia" w:ascii="宋体" w:hAnsi="宋体" w:eastAsia="宋体" w:cs="宋体"/>
          <w:sz w:val="24"/>
          <w:szCs w:val="24"/>
        </w:rPr>
        <w:t>将有权解除合同。</w:t>
      </w:r>
    </w:p>
    <w:p w14:paraId="303ADB6C">
      <w:pPr>
        <w:spacing w:line="440" w:lineRule="exact"/>
        <w:ind w:firstLine="480"/>
        <w:rPr>
          <w:rFonts w:ascii="宋体" w:hAnsi="宋体" w:eastAsia="宋体" w:cs="宋体"/>
          <w:sz w:val="24"/>
          <w:szCs w:val="24"/>
        </w:rPr>
      </w:pPr>
      <w:r>
        <w:rPr>
          <w:rFonts w:hint="eastAsia" w:ascii="宋体" w:hAnsi="宋体" w:eastAsia="宋体" w:cs="宋体"/>
          <w:sz w:val="24"/>
          <w:szCs w:val="24"/>
          <w:lang w:val="en-US" w:eastAsia="zh-CN"/>
        </w:rPr>
        <w:br w:type="page"/>
      </w:r>
    </w:p>
    <w:p w14:paraId="50A1C88E">
      <w:pPr>
        <w:pStyle w:val="4"/>
        <w:bidi w:val="0"/>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第</w:t>
      </w:r>
      <w:bookmarkStart w:id="87" w:name="_Hlt240110027"/>
      <w:bookmarkEnd w:id="87"/>
      <w:r>
        <w:rPr>
          <w:rFonts w:hint="eastAsia" w:ascii="宋体" w:hAnsi="Times New Roman" w:eastAsia="宋体" w:cs="Times New Roman"/>
          <w:color w:val="auto"/>
          <w:sz w:val="28"/>
          <w:szCs w:val="28"/>
          <w:highlight w:val="none"/>
          <w:lang w:val="en-US" w:eastAsia="zh-CN"/>
        </w:rPr>
        <w:t>五章 谈判与评审办法</w:t>
      </w:r>
      <w:bookmarkEnd w:id="85"/>
      <w:bookmarkEnd w:id="86"/>
    </w:p>
    <w:p w14:paraId="79E7D37F">
      <w:pPr>
        <w:adjustRightInd w:val="0"/>
        <w:snapToGrid w:val="0"/>
        <w:spacing w:line="360" w:lineRule="auto"/>
        <w:ind w:right="-10" w:firstLine="422" w:firstLineChars="17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color w:val="auto"/>
          <w:sz w:val="24"/>
          <w:highlight w:val="none"/>
        </w:rPr>
        <w:t>为了做好</w:t>
      </w:r>
      <w:r>
        <w:rPr>
          <w:rFonts w:hint="eastAsia" w:ascii="宋体" w:hAnsi="宋体" w:cs="宋体"/>
          <w:color w:val="auto"/>
          <w:sz w:val="24"/>
          <w:highlight w:val="none"/>
          <w:lang w:eastAsia="zh-CN"/>
        </w:rPr>
        <w:t>紫云湖小学扩建项目第三方检测</w:t>
      </w: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2026PHBJ211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与评审工作，保证项目评审工作的正常有序进行，维护</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的合法权益，遵循公平、公正、科学和择优的原则，制定</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与评审办法。</w:t>
      </w:r>
    </w:p>
    <w:p w14:paraId="49F73508">
      <w:pPr>
        <w:adjustRightInd w:val="0"/>
        <w:snapToGrid w:val="0"/>
        <w:spacing w:line="360" w:lineRule="auto"/>
        <w:ind w:right="-10" w:firstLine="422" w:firstLineChars="17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color w:val="auto"/>
          <w:sz w:val="24"/>
          <w:highlight w:val="none"/>
        </w:rPr>
        <w:t>本次项目</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与评审采用综合评分法作为对</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响应文件的比较方法。</w:t>
      </w:r>
    </w:p>
    <w:p w14:paraId="72E33833">
      <w:pPr>
        <w:adjustRightInd w:val="0"/>
        <w:snapToGrid w:val="0"/>
        <w:spacing w:line="360" w:lineRule="auto"/>
        <w:ind w:left="-61" w:leftChars="-29"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sz w:val="24"/>
          <w:highlight w:val="none"/>
        </w:rPr>
        <w:t>本项目将依法组建</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小组，负责本项目的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与评审工作。</w:t>
      </w:r>
    </w:p>
    <w:p w14:paraId="42541C8D">
      <w:pPr>
        <w:adjustRightInd w:val="0"/>
        <w:snapToGrid w:val="0"/>
        <w:spacing w:line="360" w:lineRule="auto"/>
        <w:ind w:left="-61" w:leftChars="-29"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小组按照“客观公正，实事求是”的原则，评价参加本次</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所提供的产品或服务价格、性能、质量、服务及对</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文件的符合性及响应性。</w:t>
      </w:r>
    </w:p>
    <w:p w14:paraId="30FC4014">
      <w:pPr>
        <w:adjustRightInd w:val="0"/>
        <w:snapToGrid w:val="0"/>
        <w:spacing w:line="360" w:lineRule="auto"/>
        <w:ind w:right="-10"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5.</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小组应认真研究</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文件，至少应了解和熟悉以下内容：</w:t>
      </w:r>
    </w:p>
    <w:p w14:paraId="05E0BB51">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的目标；</w:t>
      </w:r>
    </w:p>
    <w:p w14:paraId="4D01B121">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项目的范围和性质；</w:t>
      </w:r>
    </w:p>
    <w:p w14:paraId="2817BB6A">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文件中规定的主要技术要求、标准和商务条款；</w:t>
      </w:r>
    </w:p>
    <w:p w14:paraId="65FD1404">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5.4</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文件规定的评审标准、评审方法和在评审过程中考虑的相关因素。</w:t>
      </w:r>
    </w:p>
    <w:p w14:paraId="30D7BEBC">
      <w:pPr>
        <w:adjustRightInd w:val="0"/>
        <w:snapToGrid w:val="0"/>
        <w:spacing w:line="360" w:lineRule="auto"/>
        <w:ind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6.</w:t>
      </w:r>
      <w:r>
        <w:rPr>
          <w:rFonts w:hint="eastAsia" w:ascii="宋体" w:hAnsi="宋体" w:eastAsia="宋体" w:cs="宋体"/>
          <w:color w:val="auto"/>
          <w:sz w:val="24"/>
          <w:highlight w:val="none"/>
        </w:rPr>
        <w:t>有效投标应符合以下原则：</w:t>
      </w:r>
    </w:p>
    <w:p w14:paraId="583E27C9">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6.1满足</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文件的实质性要求；</w:t>
      </w:r>
    </w:p>
    <w:p w14:paraId="11AD808E">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6.2无重大偏离、保留或</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不能接受的附加条件；</w:t>
      </w:r>
    </w:p>
    <w:p w14:paraId="1420EC5B">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6.3通过投标有效性评审；</w:t>
      </w:r>
    </w:p>
    <w:p w14:paraId="13779F41">
      <w:pPr>
        <w:adjustRightInd w:val="0"/>
        <w:snapToGrid w:val="0"/>
        <w:spacing w:line="360" w:lineRule="auto"/>
        <w:ind w:right="-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小组依据</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文件认定的其他原则。</w:t>
      </w:r>
    </w:p>
    <w:p w14:paraId="2EFF0F75">
      <w:pPr>
        <w:adjustRightInd w:val="0"/>
        <w:snapToGrid w:val="0"/>
        <w:spacing w:line="360" w:lineRule="auto"/>
        <w:ind w:right="-10"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7.</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小组对所有响应文件均采用相同程序和标准，进行评定。</w:t>
      </w:r>
    </w:p>
    <w:p w14:paraId="41E37D4A">
      <w:pPr>
        <w:adjustRightInd w:val="0"/>
        <w:snapToGrid w:val="0"/>
        <w:spacing w:line="360" w:lineRule="auto"/>
        <w:ind w:right="-1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小组发现</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的响应文件中对同类问题表述不一致、前后矛盾、有明显文字和计算错误的内容、有可能不符合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文件规定等情况需要澄清时，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小组将以询标的方式告知并要求</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进行必要的澄清、说明或补正。</w:t>
      </w:r>
    </w:p>
    <w:p w14:paraId="22046D2F">
      <w:pPr>
        <w:adjustRightInd w:val="0"/>
        <w:snapToGrid w:val="0"/>
        <w:spacing w:line="360" w:lineRule="auto"/>
        <w:ind w:right="-1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对于询标后判定的结论（如通过或不通过），</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小组应提出充足的理由，根据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文件给定的评审指标进行判定，并予以书面记录。</w:t>
      </w:r>
    </w:p>
    <w:p w14:paraId="736842AE">
      <w:pPr>
        <w:adjustRightInd w:val="0"/>
        <w:snapToGrid w:val="0"/>
        <w:spacing w:line="360" w:lineRule="auto"/>
        <w:ind w:right="-1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eastAsia="zh-CN"/>
        </w:rPr>
        <w:t>谈判</w:t>
      </w:r>
      <w:r>
        <w:rPr>
          <w:rFonts w:hint="eastAsia" w:ascii="宋体" w:hAnsi="宋体" w:eastAsia="宋体" w:cs="宋体"/>
          <w:bCs/>
          <w:color w:val="auto"/>
          <w:sz w:val="24"/>
          <w:szCs w:val="24"/>
          <w:highlight w:val="none"/>
        </w:rPr>
        <w:t>小组独立评审后，对</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某项评审指标如有不同意见，按照少数服从多数的原则，确定该项评审指标的最终结论。</w:t>
      </w:r>
    </w:p>
    <w:p w14:paraId="1E1DEC9E">
      <w:pPr>
        <w:adjustRightInd w:val="0"/>
        <w:snapToGrid w:val="0"/>
        <w:spacing w:line="360" w:lineRule="auto"/>
        <w:ind w:right="-1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w:t>
      </w:r>
      <w:r>
        <w:rPr>
          <w:rFonts w:hint="eastAsia" w:ascii="宋体" w:hAnsi="宋体" w:eastAsia="宋体" w:cs="宋体"/>
          <w:b/>
          <w:bCs/>
          <w:color w:val="auto"/>
          <w:sz w:val="24"/>
          <w:highlight w:val="none"/>
          <w:lang w:eastAsia="zh-CN"/>
        </w:rPr>
        <w:t>谈判</w:t>
      </w:r>
      <w:r>
        <w:rPr>
          <w:rFonts w:hint="eastAsia" w:ascii="宋体" w:hAnsi="宋体" w:eastAsia="宋体" w:cs="宋体"/>
          <w:b/>
          <w:bCs/>
          <w:color w:val="auto"/>
          <w:sz w:val="24"/>
          <w:highlight w:val="none"/>
        </w:rPr>
        <w:t>与评审程序</w:t>
      </w:r>
    </w:p>
    <w:p w14:paraId="2E567770">
      <w:pPr>
        <w:adjustRightInd w:val="0"/>
        <w:snapToGrid w:val="0"/>
        <w:spacing w:line="360" w:lineRule="auto"/>
        <w:ind w:right="-1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本项目采用</w:t>
      </w:r>
      <w:r>
        <w:rPr>
          <w:rFonts w:hint="eastAsia" w:ascii="宋体" w:hAnsi="宋体" w:eastAsia="宋体" w:cs="宋体"/>
          <w:bCs/>
          <w:color w:val="auto"/>
          <w:sz w:val="24"/>
          <w:highlight w:val="none"/>
          <w:lang w:eastAsia="zh-CN"/>
        </w:rPr>
        <w:t>有效最低价</w:t>
      </w:r>
      <w:r>
        <w:rPr>
          <w:rFonts w:hint="eastAsia" w:ascii="宋体" w:hAnsi="宋体" w:eastAsia="宋体" w:cs="宋体"/>
          <w:bCs/>
          <w:color w:val="auto"/>
          <w:sz w:val="24"/>
          <w:szCs w:val="24"/>
          <w:highlight w:val="none"/>
        </w:rPr>
        <w:t>进行评审</w:t>
      </w:r>
      <w:r>
        <w:rPr>
          <w:rFonts w:hint="eastAsia" w:ascii="宋体" w:hAnsi="宋体" w:eastAsia="宋体" w:cs="宋体"/>
          <w:bCs/>
          <w:color w:val="auto"/>
          <w:sz w:val="24"/>
          <w:highlight w:val="none"/>
        </w:rPr>
        <w:t>。</w:t>
      </w:r>
    </w:p>
    <w:p w14:paraId="56703374">
      <w:pPr>
        <w:adjustRightInd w:val="0"/>
        <w:snapToGrid w:val="0"/>
        <w:spacing w:line="360" w:lineRule="auto"/>
        <w:ind w:right="-10"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谈判小组对</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的响应文件进行初审，以确定其是否满足谈判文件的实质性要求。</w:t>
      </w:r>
      <w:r>
        <w:rPr>
          <w:rFonts w:hint="eastAsia" w:ascii="宋体" w:hAnsi="宋体" w:eastAsia="宋体" w:cs="宋体"/>
          <w:b/>
          <w:bCs/>
          <w:color w:val="auto"/>
          <w:sz w:val="24"/>
          <w:highlight w:val="none"/>
        </w:rPr>
        <w:t>初审表如下</w:t>
      </w:r>
    </w:p>
    <w:tbl>
      <w:tblPr>
        <w:tblStyle w:val="24"/>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177"/>
        <w:gridCol w:w="2728"/>
        <w:gridCol w:w="819"/>
        <w:gridCol w:w="3264"/>
      </w:tblGrid>
      <w:tr w14:paraId="394C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708" w:type="dxa"/>
            <w:gridSpan w:val="5"/>
            <w:noWrap w:val="0"/>
            <w:vAlign w:val="center"/>
          </w:tcPr>
          <w:p w14:paraId="49CAADE9">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line="360" w:lineRule="auto"/>
              <w:ind w:right="0"/>
              <w:textAlignment w:val="auto"/>
              <w:rPr>
                <w:rFonts w:hint="eastAsia" w:ascii="宋体" w:hAnsi="宋体" w:eastAsia="宋体" w:cs="宋体"/>
                <w:color w:val="auto"/>
                <w:kern w:val="2"/>
                <w:sz w:val="24"/>
                <w:szCs w:val="24"/>
                <w:highlight w:val="none"/>
              </w:rPr>
            </w:pPr>
            <w:r>
              <w:rPr>
                <w:rFonts w:hint="eastAsia" w:ascii="宋体" w:hAnsi="宋体" w:eastAsia="宋体" w:cs="宋体"/>
                <w:b/>
                <w:color w:val="auto"/>
                <w:sz w:val="24"/>
                <w:szCs w:val="24"/>
                <w:highlight w:val="none"/>
              </w:rPr>
              <w:t>评审表（有效性评审指标一览表）</w:t>
            </w:r>
          </w:p>
        </w:tc>
      </w:tr>
      <w:tr w14:paraId="1B95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tcBorders>
              <w:bottom w:val="single" w:color="auto" w:sz="4" w:space="0"/>
            </w:tcBorders>
            <w:noWrap w:val="0"/>
            <w:vAlign w:val="center"/>
          </w:tcPr>
          <w:p w14:paraId="548F68C0">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77" w:type="dxa"/>
            <w:tcBorders>
              <w:bottom w:val="single" w:color="auto" w:sz="4" w:space="0"/>
            </w:tcBorders>
            <w:noWrap w:val="0"/>
            <w:vAlign w:val="center"/>
          </w:tcPr>
          <w:p w14:paraId="706BA9DE">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line="360" w:lineRule="auto"/>
              <w:ind w:right="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指标名称</w:t>
            </w:r>
          </w:p>
        </w:tc>
        <w:tc>
          <w:tcPr>
            <w:tcW w:w="2728" w:type="dxa"/>
            <w:tcBorders>
              <w:bottom w:val="single" w:color="auto" w:sz="4" w:space="0"/>
            </w:tcBorders>
            <w:noWrap w:val="0"/>
            <w:vAlign w:val="center"/>
          </w:tcPr>
          <w:p w14:paraId="72787512">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指标要求</w:t>
            </w:r>
          </w:p>
        </w:tc>
        <w:tc>
          <w:tcPr>
            <w:tcW w:w="819" w:type="dxa"/>
            <w:tcBorders>
              <w:bottom w:val="single" w:color="auto" w:sz="4" w:space="0"/>
            </w:tcBorders>
            <w:noWrap w:val="0"/>
            <w:vAlign w:val="center"/>
          </w:tcPr>
          <w:p w14:paraId="14B81636">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是否通过</w:t>
            </w:r>
          </w:p>
        </w:tc>
        <w:tc>
          <w:tcPr>
            <w:tcW w:w="3264" w:type="dxa"/>
            <w:tcBorders>
              <w:bottom w:val="single" w:color="auto" w:sz="4" w:space="0"/>
            </w:tcBorders>
            <w:noWrap w:val="0"/>
            <w:vAlign w:val="center"/>
          </w:tcPr>
          <w:p w14:paraId="12F57A9B">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响应文件格式及提交资料要求</w:t>
            </w:r>
          </w:p>
        </w:tc>
      </w:tr>
      <w:tr w14:paraId="49F2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tcBorders>
              <w:bottom w:val="single" w:color="auto" w:sz="4" w:space="0"/>
            </w:tcBorders>
            <w:noWrap w:val="0"/>
            <w:vAlign w:val="center"/>
          </w:tcPr>
          <w:p w14:paraId="551932E3">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77" w:type="dxa"/>
            <w:tcBorders>
              <w:bottom w:val="single" w:color="auto" w:sz="4" w:space="0"/>
            </w:tcBorders>
            <w:noWrap w:val="0"/>
            <w:vAlign w:val="center"/>
          </w:tcPr>
          <w:p w14:paraId="3F631867">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营业执照或事业单位法人证书</w:t>
            </w:r>
          </w:p>
        </w:tc>
        <w:tc>
          <w:tcPr>
            <w:tcW w:w="2728" w:type="dxa"/>
            <w:tcBorders>
              <w:bottom w:val="single" w:color="auto" w:sz="4" w:space="0"/>
            </w:tcBorders>
            <w:noWrap w:val="0"/>
            <w:vAlign w:val="center"/>
          </w:tcPr>
          <w:p w14:paraId="1F6639C4">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819" w:type="dxa"/>
            <w:tcBorders>
              <w:bottom w:val="single" w:color="auto" w:sz="4" w:space="0"/>
            </w:tcBorders>
            <w:noWrap w:val="0"/>
            <w:vAlign w:val="center"/>
          </w:tcPr>
          <w:p w14:paraId="1981A7ED">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c>
          <w:tcPr>
            <w:tcW w:w="3264" w:type="dxa"/>
            <w:tcBorders>
              <w:bottom w:val="single" w:color="auto" w:sz="4" w:space="0"/>
            </w:tcBorders>
            <w:noWrap w:val="0"/>
            <w:vAlign w:val="center"/>
          </w:tcPr>
          <w:p w14:paraId="3CE23719">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提供有效的营业执照（或事业单位法人证书）的扫描件</w:t>
            </w:r>
            <w:r>
              <w:rPr>
                <w:rFonts w:hint="eastAsia" w:ascii="宋体" w:hAnsi="宋体" w:eastAsia="宋体" w:cs="宋体"/>
                <w:b/>
                <w:bCs/>
                <w:color w:val="auto"/>
                <w:sz w:val="24"/>
                <w:szCs w:val="24"/>
                <w:highlight w:val="none"/>
              </w:rPr>
              <w:t>，应完整的体现出营业执照</w:t>
            </w:r>
            <w:r>
              <w:rPr>
                <w:rFonts w:hint="eastAsia" w:ascii="宋体" w:hAnsi="宋体" w:eastAsia="宋体" w:cs="宋体"/>
                <w:b/>
                <w:color w:val="auto"/>
                <w:sz w:val="24"/>
                <w:szCs w:val="24"/>
                <w:highlight w:val="none"/>
              </w:rPr>
              <w:t>（或事业单位法人证书）</w:t>
            </w:r>
            <w:r>
              <w:rPr>
                <w:rFonts w:hint="eastAsia" w:ascii="宋体" w:hAnsi="宋体" w:eastAsia="宋体" w:cs="宋体"/>
                <w:b/>
                <w:bCs/>
                <w:color w:val="auto"/>
                <w:sz w:val="24"/>
                <w:szCs w:val="24"/>
                <w:highlight w:val="none"/>
              </w:rPr>
              <w:t>的全部内容</w:t>
            </w:r>
            <w:r>
              <w:rPr>
                <w:rFonts w:hint="eastAsia" w:ascii="宋体" w:hAnsi="宋体" w:eastAsia="宋体" w:cs="宋体"/>
                <w:bCs/>
                <w:color w:val="auto"/>
                <w:sz w:val="24"/>
                <w:szCs w:val="24"/>
                <w:highlight w:val="none"/>
              </w:rPr>
              <w:t>。</w:t>
            </w:r>
          </w:p>
        </w:tc>
      </w:tr>
      <w:tr w14:paraId="5AFE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tcBorders>
              <w:bottom w:val="single" w:color="auto" w:sz="4" w:space="0"/>
            </w:tcBorders>
            <w:noWrap w:val="0"/>
            <w:vAlign w:val="center"/>
          </w:tcPr>
          <w:p w14:paraId="30BD4B76">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177" w:type="dxa"/>
            <w:tcBorders>
              <w:bottom w:val="single" w:color="auto" w:sz="4" w:space="0"/>
            </w:tcBorders>
            <w:noWrap w:val="0"/>
            <w:vAlign w:val="center"/>
          </w:tcPr>
          <w:p w14:paraId="0F3059E0">
            <w:pPr>
              <w:pStyle w:val="32"/>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sz w:val="24"/>
                <w:szCs w:val="24"/>
                <w:highlight w:val="none"/>
              </w:rPr>
            </w:pPr>
            <w:r>
              <w:rPr>
                <w:rFonts w:hint="eastAsia"/>
                <w:color w:val="auto"/>
                <w:highlight w:val="none"/>
                <w:lang w:val="en-US" w:eastAsia="zh-CN"/>
              </w:rPr>
              <w:t>供应商资质</w:t>
            </w:r>
          </w:p>
        </w:tc>
        <w:tc>
          <w:tcPr>
            <w:tcW w:w="2728" w:type="dxa"/>
            <w:tcBorders>
              <w:bottom w:val="single" w:color="auto" w:sz="4" w:space="0"/>
            </w:tcBorders>
            <w:noWrap w:val="0"/>
            <w:vAlign w:val="center"/>
          </w:tcPr>
          <w:p w14:paraId="3BC36357">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w:t>
            </w:r>
          </w:p>
        </w:tc>
        <w:tc>
          <w:tcPr>
            <w:tcW w:w="819" w:type="dxa"/>
            <w:tcBorders>
              <w:bottom w:val="single" w:color="auto" w:sz="4" w:space="0"/>
            </w:tcBorders>
            <w:noWrap w:val="0"/>
            <w:vAlign w:val="center"/>
          </w:tcPr>
          <w:p w14:paraId="61CA8DF0">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c>
          <w:tcPr>
            <w:tcW w:w="3264" w:type="dxa"/>
            <w:tcBorders>
              <w:bottom w:val="single" w:color="auto" w:sz="4" w:space="0"/>
            </w:tcBorders>
            <w:noWrap w:val="0"/>
            <w:vAlign w:val="center"/>
          </w:tcPr>
          <w:p w14:paraId="2754E831">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r>
      <w:tr w14:paraId="400E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tcBorders>
              <w:bottom w:val="single" w:color="auto" w:sz="4" w:space="0"/>
            </w:tcBorders>
            <w:noWrap w:val="0"/>
            <w:vAlign w:val="center"/>
          </w:tcPr>
          <w:p w14:paraId="4D6B3B66">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177" w:type="dxa"/>
            <w:tcBorders>
              <w:bottom w:val="single" w:color="auto" w:sz="4" w:space="0"/>
            </w:tcBorders>
            <w:noWrap w:val="0"/>
            <w:vAlign w:val="center"/>
          </w:tcPr>
          <w:p w14:paraId="770A353B">
            <w:pPr>
              <w:pStyle w:val="32"/>
              <w:pBdr>
                <w:bottom w:val="none" w:color="auto" w:sz="0" w:space="0"/>
              </w:pBdr>
              <w:tabs>
                <w:tab w:val="clear" w:pos="4153"/>
                <w:tab w:val="clear" w:pos="8306"/>
              </w:tabs>
              <w:snapToGrid w:val="0"/>
              <w:spacing w:line="360" w:lineRule="auto"/>
              <w:ind w:right="-10" w:rightChars="0"/>
              <w:textAlignment w:val="auto"/>
              <w:rPr>
                <w:rFonts w:hint="eastAsia"/>
                <w:color w:val="auto"/>
                <w:highlight w:val="none"/>
                <w:lang w:val="en-US" w:eastAsia="zh-CN"/>
              </w:rPr>
            </w:pPr>
            <w:r>
              <w:rPr>
                <w:rFonts w:hint="eastAsia"/>
                <w:color w:val="auto"/>
                <w:highlight w:val="none"/>
                <w:lang w:val="en-US" w:eastAsia="zh-CN"/>
              </w:rPr>
              <w:t>人员要求</w:t>
            </w:r>
          </w:p>
        </w:tc>
        <w:tc>
          <w:tcPr>
            <w:tcW w:w="2728" w:type="dxa"/>
            <w:tcBorders>
              <w:bottom w:val="single" w:color="auto" w:sz="4" w:space="0"/>
            </w:tcBorders>
            <w:noWrap w:val="0"/>
            <w:vAlign w:val="center"/>
          </w:tcPr>
          <w:p w14:paraId="1D6B8F3A">
            <w:pPr>
              <w:spacing w:after="50" w:line="360" w:lineRule="auto"/>
              <w:ind w:right="-10"/>
              <w:jc w:val="center"/>
              <w:rPr>
                <w:rFonts w:hint="eastAsia" w:ascii="宋体" w:hAnsi="宋体" w:eastAsia="宋体" w:cs="宋体"/>
                <w:sz w:val="24"/>
                <w:szCs w:val="28"/>
                <w:lang w:eastAsia="zh-CN"/>
              </w:rPr>
            </w:pPr>
            <w:r>
              <w:rPr>
                <w:rFonts w:hint="eastAsia" w:ascii="宋体" w:hAnsi="宋体" w:eastAsia="宋体" w:cs="宋体"/>
                <w:sz w:val="24"/>
                <w:szCs w:val="28"/>
              </w:rPr>
              <w:t>符合</w:t>
            </w:r>
            <w:r>
              <w:rPr>
                <w:rFonts w:hint="eastAsia" w:ascii="宋体" w:hAnsi="宋体" w:eastAsia="宋体" w:cs="宋体"/>
                <w:sz w:val="24"/>
                <w:szCs w:val="28"/>
                <w:lang w:eastAsia="zh-CN"/>
              </w:rPr>
              <w:t>谈判</w:t>
            </w:r>
            <w:r>
              <w:rPr>
                <w:rFonts w:hint="eastAsia" w:ascii="宋体" w:hAnsi="宋体" w:eastAsia="宋体" w:cs="宋体"/>
                <w:sz w:val="24"/>
                <w:szCs w:val="28"/>
              </w:rPr>
              <w:t>文件</w:t>
            </w:r>
            <w:r>
              <w:rPr>
                <w:rFonts w:hint="eastAsia" w:ascii="宋体" w:hAnsi="宋体" w:eastAsia="宋体" w:cs="宋体"/>
                <w:sz w:val="24"/>
                <w:szCs w:val="28"/>
                <w:lang w:eastAsia="zh-CN"/>
              </w:rPr>
              <w:t>谈判</w:t>
            </w:r>
          </w:p>
          <w:p w14:paraId="2EE81D73">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8"/>
              </w:rPr>
              <w:t>需求</w:t>
            </w:r>
          </w:p>
        </w:tc>
        <w:tc>
          <w:tcPr>
            <w:tcW w:w="819" w:type="dxa"/>
            <w:tcBorders>
              <w:bottom w:val="single" w:color="auto" w:sz="4" w:space="0"/>
            </w:tcBorders>
            <w:noWrap w:val="0"/>
            <w:vAlign w:val="center"/>
          </w:tcPr>
          <w:p w14:paraId="0E5486C3">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c>
          <w:tcPr>
            <w:tcW w:w="3264" w:type="dxa"/>
            <w:tcBorders>
              <w:bottom w:val="single" w:color="auto" w:sz="4" w:space="0"/>
            </w:tcBorders>
            <w:noWrap w:val="0"/>
            <w:vAlign w:val="center"/>
          </w:tcPr>
          <w:p w14:paraId="46F01500">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r>
      <w:tr w14:paraId="57A4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noWrap w:val="0"/>
            <w:vAlign w:val="center"/>
          </w:tcPr>
          <w:p w14:paraId="1B48A007">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177" w:type="dxa"/>
            <w:noWrap w:val="0"/>
            <w:vAlign w:val="center"/>
          </w:tcPr>
          <w:p w14:paraId="6C2B446A">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响应函</w:t>
            </w:r>
          </w:p>
        </w:tc>
        <w:tc>
          <w:tcPr>
            <w:tcW w:w="2728" w:type="dxa"/>
            <w:noWrap w:val="0"/>
            <w:vAlign w:val="center"/>
          </w:tcPr>
          <w:p w14:paraId="188C8BFB">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w:t>
            </w:r>
          </w:p>
        </w:tc>
        <w:tc>
          <w:tcPr>
            <w:tcW w:w="819" w:type="dxa"/>
            <w:noWrap w:val="0"/>
            <w:vAlign w:val="center"/>
          </w:tcPr>
          <w:p w14:paraId="16796E6E">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c>
          <w:tcPr>
            <w:tcW w:w="3264" w:type="dxa"/>
            <w:noWrap w:val="0"/>
            <w:vAlign w:val="center"/>
          </w:tcPr>
          <w:p w14:paraId="223E6E37">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r>
      <w:tr w14:paraId="222A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noWrap w:val="0"/>
            <w:vAlign w:val="center"/>
          </w:tcPr>
          <w:p w14:paraId="62BF0F0D">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177" w:type="dxa"/>
            <w:noWrap w:val="0"/>
            <w:vAlign w:val="center"/>
          </w:tcPr>
          <w:p w14:paraId="6E3F384B">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728" w:type="dxa"/>
            <w:noWrap w:val="0"/>
            <w:vAlign w:val="center"/>
          </w:tcPr>
          <w:p w14:paraId="0FC3FDEF">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w:t>
            </w:r>
          </w:p>
        </w:tc>
        <w:tc>
          <w:tcPr>
            <w:tcW w:w="819" w:type="dxa"/>
            <w:noWrap w:val="0"/>
            <w:vAlign w:val="center"/>
          </w:tcPr>
          <w:p w14:paraId="77176ED1">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p>
        </w:tc>
        <w:tc>
          <w:tcPr>
            <w:tcW w:w="3264" w:type="dxa"/>
            <w:noWrap w:val="0"/>
            <w:vAlign w:val="center"/>
          </w:tcPr>
          <w:p w14:paraId="28CDF1E7">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详见第七章响应文件格式“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授权书”</w:t>
            </w:r>
          </w:p>
        </w:tc>
      </w:tr>
      <w:tr w14:paraId="1384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720" w:type="dxa"/>
            <w:noWrap w:val="0"/>
            <w:vAlign w:val="center"/>
          </w:tcPr>
          <w:p w14:paraId="42500B80">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177" w:type="dxa"/>
            <w:noWrap w:val="0"/>
            <w:vAlign w:val="center"/>
          </w:tcPr>
          <w:p w14:paraId="2D07A30B">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电子交易服务费</w:t>
            </w:r>
          </w:p>
        </w:tc>
        <w:tc>
          <w:tcPr>
            <w:tcW w:w="2728" w:type="dxa"/>
            <w:noWrap w:val="0"/>
            <w:vAlign w:val="center"/>
          </w:tcPr>
          <w:p w14:paraId="328E4241">
            <w:pPr>
              <w:keepNext w:val="0"/>
              <w:keepLines w:val="0"/>
              <w:pageBreakBefore w:val="0"/>
              <w:widowControl w:val="0"/>
              <w:kinsoku/>
              <w:wordWrap/>
              <w:overflowPunct/>
              <w:topLinePunct w:val="0"/>
              <w:autoSpaceDE/>
              <w:autoSpaceDN/>
              <w:bidi w:val="0"/>
              <w:snapToGrid/>
              <w:spacing w:line="360" w:lineRule="auto"/>
              <w:ind w:right="0" w:right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符合谈判文件要求</w:t>
            </w:r>
          </w:p>
        </w:tc>
        <w:tc>
          <w:tcPr>
            <w:tcW w:w="819" w:type="dxa"/>
            <w:noWrap w:val="0"/>
            <w:vAlign w:val="center"/>
          </w:tcPr>
          <w:p w14:paraId="182FDFB2">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rPr>
            </w:pPr>
          </w:p>
        </w:tc>
        <w:tc>
          <w:tcPr>
            <w:tcW w:w="3264" w:type="dxa"/>
            <w:noWrap w:val="0"/>
            <w:vAlign w:val="center"/>
          </w:tcPr>
          <w:p w14:paraId="0CDD8F31">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color w:val="auto"/>
                <w:sz w:val="24"/>
                <w:szCs w:val="24"/>
                <w:highlight w:val="none"/>
                <w:lang w:val="en-US" w:eastAsia="zh-CN"/>
              </w:rPr>
            </w:pPr>
            <w:r>
              <w:rPr>
                <w:rFonts w:hint="eastAsia"/>
                <w:b/>
                <w:bCs/>
                <w:color w:val="auto"/>
                <w:sz w:val="24"/>
                <w:highlight w:val="none"/>
              </w:rPr>
              <w:t>备注</w:t>
            </w:r>
            <w:r>
              <w:rPr>
                <w:b/>
                <w:bCs/>
                <w:color w:val="auto"/>
                <w:sz w:val="24"/>
                <w:highlight w:val="none"/>
              </w:rPr>
              <w:t>：</w:t>
            </w:r>
            <w:r>
              <w:rPr>
                <w:rFonts w:hint="eastAsia"/>
                <w:b/>
                <w:bCs/>
                <w:color w:val="auto"/>
                <w:sz w:val="24"/>
                <w:highlight w:val="none"/>
              </w:rPr>
              <w:t>需从供应商银行账户转出。</w:t>
            </w:r>
            <w:r>
              <w:rPr>
                <w:rFonts w:hint="eastAsia" w:cs="宋体"/>
                <w:b/>
                <w:bCs/>
                <w:color w:val="auto"/>
                <w:sz w:val="24"/>
                <w:szCs w:val="24"/>
                <w:highlight w:val="none"/>
              </w:rPr>
              <w:t>（以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w:t>
            </w:r>
          </w:p>
        </w:tc>
      </w:tr>
      <w:tr w14:paraId="0FDE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noWrap w:val="0"/>
            <w:vAlign w:val="center"/>
          </w:tcPr>
          <w:p w14:paraId="1F1897C5">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2177" w:type="dxa"/>
            <w:noWrap w:val="0"/>
            <w:vAlign w:val="center"/>
          </w:tcPr>
          <w:p w14:paraId="09238E40">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w:t>
            </w:r>
          </w:p>
        </w:tc>
        <w:tc>
          <w:tcPr>
            <w:tcW w:w="2728" w:type="dxa"/>
            <w:noWrap w:val="0"/>
            <w:vAlign w:val="center"/>
          </w:tcPr>
          <w:p w14:paraId="4684AEA7">
            <w:pPr>
              <w:keepNext w:val="0"/>
              <w:keepLines w:val="0"/>
              <w:pageBreakBefore w:val="0"/>
              <w:widowControl w:val="0"/>
              <w:kinsoku/>
              <w:wordWrap/>
              <w:overflowPunct/>
              <w:topLinePunct w:val="0"/>
              <w:autoSpaceDE/>
              <w:autoSpaceDN/>
              <w:bidi w:val="0"/>
              <w:snapToGrid/>
              <w:spacing w:line="36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w:t>
            </w:r>
          </w:p>
        </w:tc>
        <w:tc>
          <w:tcPr>
            <w:tcW w:w="819" w:type="dxa"/>
            <w:noWrap w:val="0"/>
            <w:vAlign w:val="center"/>
          </w:tcPr>
          <w:p w14:paraId="6EE67027">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p>
        </w:tc>
        <w:tc>
          <w:tcPr>
            <w:tcW w:w="3264" w:type="dxa"/>
            <w:noWrap w:val="0"/>
            <w:vAlign w:val="center"/>
          </w:tcPr>
          <w:p w14:paraId="612DB905">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p>
        </w:tc>
      </w:tr>
      <w:tr w14:paraId="3B88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noWrap w:val="0"/>
            <w:vAlign w:val="center"/>
          </w:tcPr>
          <w:p w14:paraId="3E34B260">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strike/>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8</w:t>
            </w:r>
          </w:p>
        </w:tc>
        <w:tc>
          <w:tcPr>
            <w:tcW w:w="2177" w:type="dxa"/>
            <w:noWrap w:val="0"/>
            <w:vAlign w:val="center"/>
          </w:tcPr>
          <w:p w14:paraId="040F05D8">
            <w:pPr>
              <w:keepNext w:val="0"/>
              <w:keepLines w:val="0"/>
              <w:pageBreakBefore w:val="0"/>
              <w:widowControl w:val="0"/>
              <w:kinsoku/>
              <w:wordWrap/>
              <w:overflowPunct/>
              <w:topLinePunct w:val="0"/>
              <w:autoSpaceDE/>
              <w:autoSpaceDN/>
              <w:bidi w:val="0"/>
              <w:snapToGrid/>
              <w:spacing w:line="360" w:lineRule="auto"/>
              <w:ind w:right="0"/>
              <w:jc w:val="center"/>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highlight w:val="none"/>
              </w:rPr>
              <w:t>响应情况</w:t>
            </w:r>
          </w:p>
        </w:tc>
        <w:tc>
          <w:tcPr>
            <w:tcW w:w="2728" w:type="dxa"/>
            <w:noWrap w:val="0"/>
            <w:vAlign w:val="center"/>
          </w:tcPr>
          <w:p w14:paraId="629C215D">
            <w:pPr>
              <w:keepNext w:val="0"/>
              <w:keepLines w:val="0"/>
              <w:pageBreakBefore w:val="0"/>
              <w:widowControl w:val="0"/>
              <w:kinsoku/>
              <w:wordWrap/>
              <w:overflowPunct/>
              <w:topLinePunct w:val="0"/>
              <w:autoSpaceDE/>
              <w:autoSpaceDN/>
              <w:bidi w:val="0"/>
              <w:snapToGrid/>
              <w:spacing w:line="360" w:lineRule="auto"/>
              <w:ind w:right="0"/>
              <w:jc w:val="both"/>
              <w:textAlignment w:val="auto"/>
              <w:rPr>
                <w:rFonts w:hint="default" w:ascii="宋体" w:hAnsi="宋体" w:eastAsia="宋体" w:cs="宋体"/>
                <w:strike/>
                <w:dstrike w:val="0"/>
                <w:color w:val="auto"/>
                <w:sz w:val="24"/>
                <w:szCs w:val="24"/>
                <w:highlight w:val="none"/>
                <w:lang w:val="en-US" w:eastAsia="zh-CN"/>
              </w:rPr>
            </w:pPr>
            <w:r>
              <w:rPr>
                <w:rFonts w:hint="eastAsia" w:ascii="宋体" w:hAnsi="宋体" w:eastAsia="宋体" w:cs="宋体"/>
                <w:color w:val="auto"/>
                <w:sz w:val="24"/>
                <w:highlight w:val="none"/>
              </w:rPr>
              <w:t>付款方式</w:t>
            </w:r>
            <w:r>
              <w:rPr>
                <w:rFonts w:hint="eastAsia" w:ascii="宋体" w:hAnsi="宋体" w:cs="宋体"/>
                <w:color w:val="auto"/>
                <w:sz w:val="24"/>
                <w:highlight w:val="none"/>
                <w:lang w:val="en-US" w:eastAsia="zh-CN"/>
              </w:rPr>
              <w:t>、</w:t>
            </w:r>
            <w:r>
              <w:rPr>
                <w:rFonts w:hint="eastAsia" w:ascii="宋体" w:hAnsi="宋体" w:eastAsia="宋体" w:cs="宋体"/>
                <w:color w:val="auto"/>
                <w:spacing w:val="-8"/>
                <w:sz w:val="24"/>
                <w:highlight w:val="none"/>
                <w:lang w:eastAsia="zh-CN"/>
              </w:rPr>
              <w:t>服务期限</w:t>
            </w:r>
            <w:r>
              <w:rPr>
                <w:rFonts w:hint="eastAsia" w:ascii="宋体" w:hAnsi="宋体" w:eastAsia="宋体" w:cs="宋体"/>
                <w:color w:val="auto"/>
                <w:spacing w:val="-8"/>
                <w:sz w:val="24"/>
                <w:highlight w:val="none"/>
              </w:rPr>
              <w:t>响应、</w:t>
            </w:r>
            <w:r>
              <w:rPr>
                <w:rFonts w:hint="eastAsia" w:ascii="宋体" w:hAnsi="宋体" w:eastAsia="宋体" w:cs="宋体"/>
                <w:color w:val="auto"/>
                <w:spacing w:val="-8"/>
                <w:sz w:val="24"/>
                <w:highlight w:val="none"/>
                <w:lang w:eastAsia="zh-CN"/>
              </w:rPr>
              <w:t>服务地点</w:t>
            </w:r>
            <w:r>
              <w:rPr>
                <w:rFonts w:hint="eastAsia" w:ascii="宋体" w:hAnsi="宋体" w:eastAsia="宋体" w:cs="宋体"/>
                <w:color w:val="auto"/>
                <w:spacing w:val="-8"/>
                <w:sz w:val="24"/>
                <w:highlight w:val="none"/>
              </w:rPr>
              <w:t>响应</w:t>
            </w:r>
          </w:p>
        </w:tc>
        <w:tc>
          <w:tcPr>
            <w:tcW w:w="819" w:type="dxa"/>
            <w:noWrap w:val="0"/>
            <w:vAlign w:val="center"/>
          </w:tcPr>
          <w:p w14:paraId="1178E12C">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宋体" w:hAnsi="宋体" w:eastAsia="宋体" w:cs="宋体"/>
                <w:strike/>
                <w:dstrike w:val="0"/>
                <w:color w:val="auto"/>
                <w:sz w:val="24"/>
                <w:szCs w:val="24"/>
                <w:highlight w:val="none"/>
              </w:rPr>
            </w:pPr>
          </w:p>
        </w:tc>
        <w:tc>
          <w:tcPr>
            <w:tcW w:w="3264" w:type="dxa"/>
            <w:noWrap w:val="0"/>
            <w:vAlign w:val="center"/>
          </w:tcPr>
          <w:p w14:paraId="1458F05F">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宋体" w:hAnsi="宋体" w:eastAsia="宋体" w:cs="宋体"/>
                <w:strike/>
                <w:dstrike w:val="0"/>
                <w:color w:val="auto"/>
                <w:sz w:val="24"/>
                <w:szCs w:val="24"/>
                <w:highlight w:val="none"/>
                <w:lang w:val="en-US" w:eastAsia="zh-CN"/>
              </w:rPr>
            </w:pPr>
            <w:r>
              <w:rPr>
                <w:rFonts w:hint="eastAsia" w:ascii="宋体" w:hAnsi="宋体" w:eastAsia="宋体" w:cs="宋体"/>
                <w:color w:val="auto"/>
                <w:sz w:val="24"/>
                <w:szCs w:val="24"/>
                <w:highlight w:val="none"/>
              </w:rPr>
              <w:t>详见第七章响应文件格式“谈判响应表”</w:t>
            </w:r>
          </w:p>
        </w:tc>
      </w:tr>
      <w:tr w14:paraId="182A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noWrap w:val="0"/>
            <w:vAlign w:val="center"/>
          </w:tcPr>
          <w:p w14:paraId="59530A54">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177" w:type="dxa"/>
            <w:noWrap w:val="0"/>
            <w:vAlign w:val="center"/>
          </w:tcPr>
          <w:p w14:paraId="58BD6C64">
            <w:pPr>
              <w:pStyle w:val="32"/>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sz w:val="24"/>
                <w:szCs w:val="24"/>
                <w:highlight w:val="none"/>
              </w:rPr>
            </w:pPr>
            <w:r>
              <w:rPr>
                <w:rFonts w:hint="eastAsia"/>
                <w:color w:val="auto"/>
                <w:highlight w:val="none"/>
              </w:rPr>
              <w:t>无不良信用记录声明函</w:t>
            </w:r>
          </w:p>
        </w:tc>
        <w:tc>
          <w:tcPr>
            <w:tcW w:w="2728" w:type="dxa"/>
            <w:noWrap w:val="0"/>
            <w:vAlign w:val="center"/>
          </w:tcPr>
          <w:p w14:paraId="180B2847">
            <w:pPr>
              <w:keepNext w:val="0"/>
              <w:keepLines w:val="0"/>
              <w:pageBreakBefore w:val="0"/>
              <w:widowControl w:val="0"/>
              <w:kinsoku/>
              <w:wordWrap/>
              <w:overflowPunct/>
              <w:topLinePunct w:val="0"/>
              <w:autoSpaceDE/>
              <w:autoSpaceDN/>
              <w:bidi w:val="0"/>
              <w:snapToGrid/>
              <w:spacing w:line="360" w:lineRule="auto"/>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符合谈判文件要求</w:t>
            </w:r>
          </w:p>
        </w:tc>
        <w:tc>
          <w:tcPr>
            <w:tcW w:w="819" w:type="dxa"/>
            <w:noWrap w:val="0"/>
            <w:vAlign w:val="center"/>
          </w:tcPr>
          <w:p w14:paraId="56B557E5">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sz w:val="24"/>
                <w:szCs w:val="24"/>
                <w:highlight w:val="none"/>
              </w:rPr>
            </w:pPr>
          </w:p>
        </w:tc>
        <w:tc>
          <w:tcPr>
            <w:tcW w:w="3264" w:type="dxa"/>
            <w:noWrap w:val="0"/>
            <w:vAlign w:val="center"/>
          </w:tcPr>
          <w:p w14:paraId="6EE064A5">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sz w:val="24"/>
                <w:szCs w:val="24"/>
                <w:highlight w:val="none"/>
              </w:rPr>
            </w:pPr>
          </w:p>
        </w:tc>
      </w:tr>
      <w:tr w14:paraId="2A2F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noWrap w:val="0"/>
            <w:vAlign w:val="center"/>
          </w:tcPr>
          <w:p w14:paraId="2C0EC4A9">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177" w:type="dxa"/>
            <w:shd w:val="clear" w:color="auto" w:fill="auto"/>
            <w:noWrap w:val="0"/>
            <w:vAlign w:val="center"/>
          </w:tcPr>
          <w:p w14:paraId="6DD7C669">
            <w:pPr>
              <w:keepNext w:val="0"/>
              <w:keepLines w:val="0"/>
              <w:pageBreakBefore w:val="0"/>
              <w:widowControl w:val="0"/>
              <w:kinsoku/>
              <w:wordWrap/>
              <w:overflowPunct/>
              <w:topLinePunct w:val="0"/>
              <w:autoSpaceDE/>
              <w:autoSpaceDN/>
              <w:bidi w:val="0"/>
              <w:snapToGrid/>
              <w:spacing w:line="360" w:lineRule="auto"/>
              <w:ind w:right="0" w:rightChars="0"/>
              <w:jc w:val="center"/>
              <w:textAlignment w:val="auto"/>
              <w:rPr>
                <w:rFonts w:hint="eastAsia"/>
                <w:color w:val="auto"/>
                <w:highlight w:val="none"/>
              </w:rPr>
            </w:pPr>
            <w:r>
              <w:rPr>
                <w:rFonts w:hint="eastAsia" w:ascii="宋体" w:hAnsi="宋体" w:eastAsia="宋体" w:cs="宋体"/>
                <w:color w:val="auto"/>
                <w:sz w:val="24"/>
                <w:szCs w:val="24"/>
                <w:highlight w:val="none"/>
              </w:rPr>
              <w:t>其他要求</w:t>
            </w:r>
          </w:p>
        </w:tc>
        <w:tc>
          <w:tcPr>
            <w:tcW w:w="2728" w:type="dxa"/>
            <w:shd w:val="clear" w:color="auto" w:fill="auto"/>
            <w:noWrap w:val="0"/>
            <w:vAlign w:val="center"/>
          </w:tcPr>
          <w:p w14:paraId="1382C3A7">
            <w:pPr>
              <w:keepNext w:val="0"/>
              <w:keepLines w:val="0"/>
              <w:pageBreakBefore w:val="0"/>
              <w:widowControl w:val="0"/>
              <w:kinsoku/>
              <w:wordWrap/>
              <w:overflowPunct/>
              <w:topLinePunct w:val="0"/>
              <w:autoSpaceDE/>
              <w:autoSpaceDN/>
              <w:bidi w:val="0"/>
              <w:snapToGrid/>
              <w:spacing w:line="360" w:lineRule="auto"/>
              <w:ind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上述指标中未列出，但国家相关法律法规或</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文件有明确规定的</w:t>
            </w:r>
          </w:p>
        </w:tc>
        <w:tc>
          <w:tcPr>
            <w:tcW w:w="819" w:type="dxa"/>
            <w:noWrap w:val="0"/>
            <w:vAlign w:val="center"/>
          </w:tcPr>
          <w:p w14:paraId="744EB254">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sz w:val="24"/>
                <w:szCs w:val="24"/>
                <w:highlight w:val="none"/>
              </w:rPr>
            </w:pPr>
          </w:p>
        </w:tc>
        <w:tc>
          <w:tcPr>
            <w:tcW w:w="3264" w:type="dxa"/>
            <w:noWrap w:val="0"/>
            <w:vAlign w:val="center"/>
          </w:tcPr>
          <w:p w14:paraId="66AE9EF3">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宋体" w:hAnsi="宋体" w:eastAsia="宋体" w:cs="宋体"/>
                <w:color w:val="auto"/>
                <w:sz w:val="24"/>
                <w:szCs w:val="24"/>
                <w:highlight w:val="none"/>
              </w:rPr>
            </w:pPr>
          </w:p>
        </w:tc>
      </w:tr>
      <w:tr w14:paraId="1D80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8" w:type="dxa"/>
            <w:gridSpan w:val="5"/>
            <w:noWrap w:val="0"/>
            <w:vAlign w:val="center"/>
          </w:tcPr>
          <w:p w14:paraId="735835C4">
            <w:pPr>
              <w:keepNext w:val="0"/>
              <w:keepLines w:val="0"/>
              <w:pageBreakBefore w:val="0"/>
              <w:widowControl w:val="0"/>
              <w:kinsoku/>
              <w:wordWrap/>
              <w:overflowPunct/>
              <w:topLinePunct w:val="0"/>
              <w:autoSpaceDE/>
              <w:autoSpaceDN/>
              <w:bidi w:val="0"/>
              <w:adjustRightInd w:val="0"/>
              <w:snapToGrid/>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评审指标通过标准：</w:t>
            </w:r>
            <w:r>
              <w:rPr>
                <w:rFonts w:hint="eastAsia" w:ascii="宋体" w:hAnsi="宋体" w:cs="宋体"/>
                <w:b/>
                <w:color w:val="auto"/>
                <w:sz w:val="24"/>
                <w:szCs w:val="24"/>
                <w:highlight w:val="none"/>
                <w:lang w:eastAsia="zh-CN"/>
              </w:rPr>
              <w:t>参审单位</w:t>
            </w:r>
            <w:r>
              <w:rPr>
                <w:rFonts w:hint="eastAsia" w:ascii="宋体" w:hAnsi="宋体" w:eastAsia="宋体" w:cs="宋体"/>
                <w:b/>
                <w:color w:val="auto"/>
                <w:sz w:val="24"/>
                <w:szCs w:val="24"/>
                <w:highlight w:val="none"/>
              </w:rPr>
              <w:t>必须通过上述全部指标。</w:t>
            </w:r>
          </w:p>
          <w:p w14:paraId="19DB5D2A">
            <w:pPr>
              <w:keepNext w:val="0"/>
              <w:keepLines w:val="0"/>
              <w:pageBreakBefore w:val="0"/>
              <w:widowControl w:val="0"/>
              <w:kinsoku/>
              <w:wordWrap/>
              <w:overflowPunct/>
              <w:topLinePunct w:val="0"/>
              <w:autoSpaceDE/>
              <w:autoSpaceDN/>
              <w:bidi w:val="0"/>
              <w:adjustRightInd w:val="0"/>
              <w:snapToGrid/>
              <w:spacing w:line="360" w:lineRule="auto"/>
              <w:ind w:right="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小组根据表中所列各项指标对</w:t>
            </w:r>
            <w:r>
              <w:rPr>
                <w:rFonts w:hint="eastAsia" w:ascii="宋体" w:hAnsi="宋体" w:cs="宋体"/>
                <w:b/>
                <w:color w:val="auto"/>
                <w:sz w:val="24"/>
                <w:szCs w:val="24"/>
                <w:highlight w:val="none"/>
                <w:lang w:eastAsia="zh-CN"/>
              </w:rPr>
              <w:t>参审单位</w:t>
            </w:r>
            <w:r>
              <w:rPr>
                <w:rFonts w:hint="eastAsia" w:ascii="宋体" w:hAnsi="宋体" w:cs="宋体"/>
                <w:b/>
                <w:color w:val="auto"/>
                <w:sz w:val="24"/>
                <w:szCs w:val="24"/>
                <w:highlight w:val="none"/>
                <w:lang w:val="en-US" w:eastAsia="zh-CN"/>
              </w:rPr>
              <w:t>的响应文件</w:t>
            </w:r>
            <w:r>
              <w:rPr>
                <w:rFonts w:hint="eastAsia" w:ascii="宋体" w:hAnsi="宋体" w:eastAsia="宋体" w:cs="宋体"/>
                <w:b/>
                <w:color w:val="auto"/>
                <w:sz w:val="24"/>
                <w:szCs w:val="24"/>
                <w:highlight w:val="none"/>
              </w:rPr>
              <w:t>是否为有效进行评审，未列入上表中的指标不得作为否决</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依据。符合评审指标通过标准的，为有效投</w:t>
            </w:r>
            <w:r>
              <w:rPr>
                <w:rFonts w:hint="eastAsia" w:ascii="宋体" w:hAnsi="宋体" w:cs="宋体"/>
                <w:b/>
                <w:color w:val="auto"/>
                <w:sz w:val="24"/>
                <w:szCs w:val="24"/>
                <w:highlight w:val="none"/>
                <w:lang w:val="en-US" w:eastAsia="zh-CN"/>
              </w:rPr>
              <w:t>响应文件</w:t>
            </w:r>
            <w:r>
              <w:rPr>
                <w:rFonts w:hint="eastAsia" w:ascii="宋体" w:hAnsi="宋体" w:eastAsia="宋体" w:cs="宋体"/>
                <w:b/>
                <w:color w:val="auto"/>
                <w:sz w:val="24"/>
                <w:szCs w:val="24"/>
                <w:highlight w:val="none"/>
              </w:rPr>
              <w:t>。未通过评审的</w:t>
            </w:r>
            <w:r>
              <w:rPr>
                <w:rFonts w:hint="eastAsia" w:ascii="宋体" w:hAnsi="宋体" w:cs="宋体"/>
                <w:b/>
                <w:color w:val="auto"/>
                <w:sz w:val="24"/>
                <w:szCs w:val="24"/>
                <w:highlight w:val="none"/>
                <w:lang w:eastAsia="zh-CN"/>
              </w:rPr>
              <w:t>参审单位</w:t>
            </w:r>
            <w:r>
              <w:rPr>
                <w:rFonts w:hint="eastAsia" w:ascii="宋体" w:hAnsi="宋体" w:eastAsia="宋体" w:cs="宋体"/>
                <w:b/>
                <w:color w:val="auto"/>
                <w:sz w:val="24"/>
                <w:szCs w:val="24"/>
                <w:highlight w:val="none"/>
              </w:rPr>
              <w:t>将不参与</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w:t>
            </w:r>
          </w:p>
        </w:tc>
      </w:tr>
    </w:tbl>
    <w:p w14:paraId="7A39D16C">
      <w:pPr>
        <w:adjustRightInd w:val="0"/>
        <w:snapToGrid w:val="0"/>
        <w:spacing w:line="360" w:lineRule="auto"/>
        <w:ind w:right="-1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小组在</w:t>
      </w:r>
      <w:r>
        <w:rPr>
          <w:rFonts w:hint="eastAsia" w:ascii="宋体" w:hAnsi="宋体" w:cs="宋体"/>
          <w:color w:val="auto"/>
          <w:sz w:val="24"/>
          <w:highlight w:val="none"/>
          <w:lang w:val="en-US" w:eastAsia="zh-CN"/>
        </w:rPr>
        <w:t>评审</w:t>
      </w:r>
      <w:r>
        <w:rPr>
          <w:rFonts w:hint="eastAsia" w:ascii="宋体" w:hAnsi="宋体" w:eastAsia="宋体" w:cs="宋体"/>
          <w:color w:val="auto"/>
          <w:sz w:val="24"/>
          <w:highlight w:val="none"/>
        </w:rPr>
        <w:t>过程中发现的问题，应当及时作出处理或者向</w:t>
      </w:r>
      <w:r>
        <w:rPr>
          <w:rFonts w:hint="eastAsia" w:ascii="宋体" w:hAnsi="宋体" w:cs="宋体"/>
          <w:color w:val="auto"/>
          <w:sz w:val="24"/>
          <w:highlight w:val="none"/>
          <w:lang w:eastAsia="zh-CN"/>
        </w:rPr>
        <w:t>业主方（委托单位）</w:t>
      </w:r>
      <w:r>
        <w:rPr>
          <w:rFonts w:hint="eastAsia" w:ascii="宋体" w:hAnsi="宋体" w:eastAsia="宋体" w:cs="宋体"/>
          <w:color w:val="auto"/>
          <w:sz w:val="24"/>
          <w:highlight w:val="none"/>
        </w:rPr>
        <w:t>提出处理建议，并作书面记录。</w:t>
      </w:r>
    </w:p>
    <w:p w14:paraId="633D23A7">
      <w:pPr>
        <w:adjustRightInd w:val="0"/>
        <w:snapToGrid w:val="0"/>
        <w:spacing w:line="360" w:lineRule="auto"/>
        <w:ind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在评审过程中，</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小组发现</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的报价或者某些分项报价可能低于成本或者高于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文件设定的最高投标限价的，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小组将以询标的方式告知并要求</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进行必要的说明或补正，经</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小组认定其报价低于成本或者高于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文件设定的最高限价的，将否决其投标。对于询标后判定为不符合</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文件的报价，</w:t>
      </w:r>
      <w:r>
        <w:rPr>
          <w:rFonts w:hint="eastAsia" w:ascii="宋体" w:hAnsi="宋体" w:cs="宋体"/>
          <w:color w:val="auto"/>
          <w:sz w:val="24"/>
          <w:highlight w:val="none"/>
          <w:lang w:val="en-US" w:eastAsia="zh-CN"/>
        </w:rPr>
        <w:t>评审委员会</w:t>
      </w:r>
      <w:r>
        <w:rPr>
          <w:rFonts w:hint="eastAsia" w:ascii="宋体" w:hAnsi="宋体" w:eastAsia="宋体" w:cs="宋体"/>
          <w:color w:val="auto"/>
          <w:sz w:val="24"/>
          <w:highlight w:val="none"/>
        </w:rPr>
        <w:t>要提出充足的否定理由，并予以书面记录。最终对</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的评审结论分为通过和未通过。</w:t>
      </w:r>
    </w:p>
    <w:p w14:paraId="5F98B097">
      <w:pPr>
        <w:keepNext w:val="0"/>
        <w:keepLines w:val="0"/>
        <w:pageBreakBefore w:val="0"/>
        <w:widowControl w:val="0"/>
        <w:kinsoku/>
        <w:wordWrap/>
        <w:overflowPunct/>
        <w:topLinePunct w:val="0"/>
        <w:bidi w:val="0"/>
        <w:adjustRightInd w:val="0"/>
        <w:snapToGrid w:val="0"/>
        <w:spacing w:line="360" w:lineRule="auto"/>
        <w:ind w:right="-1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最终报价与公布的预算价（或最高限价（控制价）)相比降幅过小，或</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最终报价明显缺乏竞争性的，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小组可以否决所有投标。</w:t>
      </w:r>
    </w:p>
    <w:p w14:paraId="6FB92B8F">
      <w:pPr>
        <w:keepNext w:val="0"/>
        <w:keepLines w:val="0"/>
        <w:pageBreakBefore w:val="0"/>
        <w:widowControl w:val="0"/>
        <w:kinsoku/>
        <w:wordWrap/>
        <w:overflowPunct/>
        <w:topLinePunct w:val="0"/>
        <w:bidi w:val="0"/>
        <w:adjustRightInd w:val="0"/>
        <w:snapToGrid w:val="0"/>
        <w:spacing w:line="360" w:lineRule="auto"/>
        <w:ind w:right="-1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小组应写出</w:t>
      </w:r>
      <w:r>
        <w:rPr>
          <w:rFonts w:hint="eastAsia" w:ascii="宋体" w:hAnsi="宋体" w:cs="宋体"/>
          <w:color w:val="auto"/>
          <w:sz w:val="24"/>
          <w:highlight w:val="none"/>
          <w:lang w:val="en-US" w:eastAsia="zh-CN"/>
        </w:rPr>
        <w:t>评审</w:t>
      </w:r>
      <w:r>
        <w:rPr>
          <w:rFonts w:hint="eastAsia" w:ascii="宋体" w:hAnsi="宋体" w:eastAsia="宋体" w:cs="宋体"/>
          <w:color w:val="auto"/>
          <w:sz w:val="24"/>
          <w:highlight w:val="none"/>
        </w:rPr>
        <w:t>报告并签字。评标报告是</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小组根据全体评标成员签字的原始评标记录和评标结果编写的报告，</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小组全体成员及监督员均须在评标报告上签字。评标报告应如实记录本次评标的主要过程，全面反映评标过程中的各种不同的意见，以及其他澄清、说明、补正事项。</w:t>
      </w:r>
    </w:p>
    <w:p w14:paraId="7C7F29CE">
      <w:pPr>
        <w:keepNext w:val="0"/>
        <w:keepLines w:val="0"/>
        <w:pageBreakBefore w:val="0"/>
        <w:widowControl w:val="0"/>
        <w:kinsoku/>
        <w:wordWrap/>
        <w:overflowPunct/>
        <w:topLinePunct w:val="0"/>
        <w:bidi w:val="0"/>
        <w:adjustRightInd w:val="0"/>
        <w:snapToGrid w:val="0"/>
        <w:spacing w:line="360" w:lineRule="auto"/>
        <w:ind w:right="-1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小组和</w:t>
      </w:r>
      <w:r>
        <w:rPr>
          <w:rFonts w:hint="eastAsia" w:ascii="宋体" w:hAnsi="宋体" w:cs="宋体"/>
          <w:color w:val="auto"/>
          <w:sz w:val="24"/>
          <w:highlight w:val="none"/>
          <w:lang w:val="en-US" w:eastAsia="zh-CN"/>
        </w:rPr>
        <w:t>评审</w:t>
      </w:r>
      <w:r>
        <w:rPr>
          <w:rFonts w:hint="eastAsia" w:ascii="宋体" w:hAnsi="宋体" w:eastAsia="宋体" w:cs="宋体"/>
          <w:color w:val="auto"/>
          <w:sz w:val="24"/>
          <w:highlight w:val="none"/>
        </w:rPr>
        <w:t>工作人员应严格遵守国家的法律、法规和规章制度；严格按照本次</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文件进行评标；公正廉洁、不徇私情，不得损害国家利益；保护招、</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的合法权益。</w:t>
      </w:r>
    </w:p>
    <w:p w14:paraId="3B76BD9F">
      <w:pPr>
        <w:keepNext w:val="0"/>
        <w:keepLines w:val="0"/>
        <w:pageBreakBefore w:val="0"/>
        <w:widowControl w:val="0"/>
        <w:kinsoku/>
        <w:wordWrap/>
        <w:overflowPunct/>
        <w:topLinePunct w:val="0"/>
        <w:bidi w:val="0"/>
        <w:adjustRightInd w:val="0"/>
        <w:snapToGrid w:val="0"/>
        <w:spacing w:line="360" w:lineRule="auto"/>
        <w:ind w:right="-11" w:firstLine="422" w:firstLineChars="175"/>
        <w:jc w:val="left"/>
        <w:textAlignment w:val="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15</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在评标过程中，评委及其他评标工作人员必须对评标情况严格保密，任何人不得将评标情况透露给与</w:t>
      </w: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有关的单位和个人。如有违反评标纪律的情况发生，将依据有关法律法规的规定，追究有关当事人的责任。</w:t>
      </w:r>
    </w:p>
    <w:p w14:paraId="0E6B9C32">
      <w:pPr>
        <w:pStyle w:val="4"/>
        <w:bidi w:val="0"/>
        <w:rPr>
          <w:rFonts w:hint="eastAsia" w:ascii="宋体" w:hAnsi="Times New Roman" w:eastAsia="宋体" w:cs="Times New Roman"/>
          <w:color w:val="auto"/>
          <w:sz w:val="28"/>
          <w:szCs w:val="28"/>
          <w:highlight w:val="none"/>
          <w:lang w:val="en-US" w:eastAsia="zh-CN"/>
        </w:rPr>
      </w:pPr>
      <w:r>
        <w:rPr>
          <w:rFonts w:hint="eastAsia" w:ascii="宋体" w:hAnsi="宋体" w:eastAsia="宋体" w:cs="宋体"/>
          <w:color w:val="auto"/>
          <w:sz w:val="24"/>
          <w:highlight w:val="none"/>
        </w:rPr>
        <w:br w:type="page"/>
      </w:r>
      <w:bookmarkStart w:id="88" w:name="_Toc4901"/>
      <w:bookmarkStart w:id="89" w:name="_Toc14741"/>
      <w:bookmarkStart w:id="90" w:name="_Toc477794142"/>
      <w:bookmarkStart w:id="91" w:name="_Hlt519045391"/>
      <w:bookmarkStart w:id="92" w:name="_Hlt509738521"/>
      <w:bookmarkStart w:id="93" w:name="_Hlt509738509"/>
      <w:r>
        <w:rPr>
          <w:rFonts w:hint="eastAsia" w:ascii="宋体" w:hAnsi="Times New Roman" w:eastAsia="宋体" w:cs="Times New Roman"/>
          <w:color w:val="auto"/>
          <w:sz w:val="28"/>
          <w:szCs w:val="28"/>
          <w:highlight w:val="none"/>
          <w:lang w:val="en-US" w:eastAsia="zh-CN"/>
        </w:rPr>
        <w:t>第六章  合同参考范本</w:t>
      </w:r>
      <w:bookmarkEnd w:id="88"/>
      <w:bookmarkEnd w:id="89"/>
    </w:p>
    <w:p w14:paraId="40635DB1">
      <w:pPr>
        <w:pStyle w:val="3"/>
        <w:spacing w:line="500" w:lineRule="exact"/>
        <w:ind w:left="0" w:leftChars="0" w:firstLine="0" w:firstLineChars="0"/>
        <w:jc w:val="center"/>
        <w:outlineLvl w:val="0"/>
        <w:rPr>
          <w:rFonts w:hint="eastAsia" w:asciiTheme="minorEastAsia" w:hAnsiTheme="minorEastAsia" w:eastAsiaTheme="minorEastAsia" w:cstheme="minorEastAsia"/>
          <w:b w:val="0"/>
          <w:bCs w:val="0"/>
          <w:i/>
          <w:iCs/>
          <w:color w:val="FF0000"/>
          <w:kern w:val="2"/>
          <w:sz w:val="24"/>
          <w:szCs w:val="24"/>
          <w:highlight w:val="none"/>
          <w:lang w:val="en-US" w:eastAsia="zh-CN" w:bidi="ar-SA"/>
        </w:rPr>
      </w:pPr>
      <w:bookmarkStart w:id="94" w:name="_Toc14413"/>
      <w:bookmarkStart w:id="95" w:name="_Toc26882"/>
      <w:bookmarkStart w:id="96" w:name="_Toc331685784"/>
      <w:bookmarkStart w:id="97" w:name="_Toc27513"/>
      <w:r>
        <w:rPr>
          <w:rFonts w:hint="eastAsia" w:asciiTheme="minorEastAsia" w:hAnsiTheme="minorEastAsia" w:eastAsiaTheme="minorEastAsia" w:cstheme="minorEastAsia"/>
          <w:b w:val="0"/>
          <w:bCs w:val="0"/>
          <w:i/>
          <w:iCs/>
          <w:color w:val="FF0000"/>
          <w:kern w:val="2"/>
          <w:sz w:val="24"/>
          <w:szCs w:val="24"/>
          <w:highlight w:val="none"/>
          <w:lang w:val="en-US" w:eastAsia="zh-CN" w:bidi="ar-SA"/>
        </w:rPr>
        <w:t>（本合同为参考格式，业主单位可根据结合自身情况使用）</w:t>
      </w:r>
      <w:bookmarkEnd w:id="94"/>
      <w:bookmarkEnd w:id="95"/>
    </w:p>
    <w:p w14:paraId="0B621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19C4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4435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2CE742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7A5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EAD4C9E">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经本项目</w:t>
      </w:r>
      <w:r>
        <w:rPr>
          <w:rFonts w:hint="eastAsia" w:cs="宋体"/>
          <w:color w:val="auto"/>
          <w:sz w:val="24"/>
          <w:szCs w:val="24"/>
          <w:highlight w:val="none"/>
          <w:lang w:eastAsia="zh-CN"/>
        </w:rPr>
        <w:t>谈判小组</w:t>
      </w:r>
      <w:r>
        <w:rPr>
          <w:rFonts w:hint="eastAsia" w:ascii="宋体" w:hAnsi="宋体" w:eastAsia="宋体" w:cs="宋体"/>
          <w:color w:val="auto"/>
          <w:sz w:val="24"/>
          <w:szCs w:val="24"/>
          <w:highlight w:val="none"/>
        </w:rPr>
        <w:t>评审，决定将合同授予乙方。为进一步明确双方的责任，确保合同的顺利履行，根据《中华人民共和国民法典》之规定及</w:t>
      </w:r>
      <w:r>
        <w:rPr>
          <w:rFonts w:hint="eastAsia"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、中标通知书等相关资料的要求，经甲乙双方充分协商，特订立本合同，以便共同遵守。</w:t>
      </w:r>
    </w:p>
    <w:p w14:paraId="652A6F9A">
      <w:pPr>
        <w:spacing w:line="360" w:lineRule="auto"/>
        <w:ind w:firstLine="437"/>
        <w:outlineLvl w:val="2"/>
        <w:rPr>
          <w:rFonts w:ascii="宋体" w:hAnsi="宋体" w:eastAsia="宋体"/>
          <w:b/>
          <w:bCs/>
          <w:sz w:val="24"/>
          <w:highlight w:val="none"/>
          <w:lang w:val="zh-CN"/>
        </w:rPr>
      </w:pPr>
      <w:bookmarkStart w:id="98" w:name="_Toc24059"/>
      <w:bookmarkStart w:id="99" w:name="_Toc2232"/>
      <w:bookmarkStart w:id="100" w:name="_Toc3029"/>
      <w:r>
        <w:rPr>
          <w:rFonts w:hint="eastAsia" w:ascii="宋体" w:hAnsi="宋体" w:eastAsia="宋体"/>
          <w:b/>
          <w:bCs/>
          <w:sz w:val="24"/>
          <w:highlight w:val="none"/>
          <w:lang w:val="en-US" w:eastAsia="zh-CN"/>
        </w:rPr>
        <w:t>1.</w:t>
      </w:r>
      <w:r>
        <w:rPr>
          <w:rFonts w:hint="eastAsia" w:ascii="宋体" w:hAnsi="宋体" w:eastAsia="宋体"/>
          <w:b/>
          <w:bCs/>
          <w:sz w:val="24"/>
          <w:highlight w:val="none"/>
          <w:lang w:val="zh-CN"/>
        </w:rPr>
        <w:t>合同组成部分</w:t>
      </w:r>
      <w:bookmarkEnd w:id="98"/>
      <w:bookmarkEnd w:id="99"/>
      <w:bookmarkEnd w:id="100"/>
    </w:p>
    <w:p w14:paraId="74340F7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w:t>
      </w:r>
      <w:r>
        <w:rPr>
          <w:rFonts w:hint="eastAsia" w:ascii="宋体" w:hAnsi="宋体" w:eastAsia="宋体"/>
          <w:sz w:val="24"/>
          <w:highlight w:val="none"/>
          <w:lang w:val="en-US" w:eastAsia="zh-CN"/>
        </w:rPr>
        <w:t>那么</w:t>
      </w:r>
      <w:r>
        <w:rPr>
          <w:rFonts w:hint="eastAsia" w:ascii="宋体" w:hAnsi="宋体" w:eastAsia="宋体"/>
          <w:sz w:val="24"/>
          <w:highlight w:val="none"/>
          <w:lang w:val="zh-CN"/>
        </w:rPr>
        <w:t>在保证按照</w:t>
      </w:r>
      <w:r>
        <w:rPr>
          <w:rFonts w:hint="eastAsia" w:ascii="宋体" w:hAnsi="宋体" w:eastAsia="宋体"/>
          <w:sz w:val="24"/>
          <w:highlight w:val="none"/>
          <w:lang w:val="en-US" w:eastAsia="zh-CN"/>
        </w:rPr>
        <w:t>谈判文件</w:t>
      </w:r>
      <w:r>
        <w:rPr>
          <w:rFonts w:hint="eastAsia" w:ascii="宋体" w:hAnsi="宋体" w:eastAsia="宋体"/>
          <w:sz w:val="24"/>
          <w:highlight w:val="none"/>
          <w:lang w:val="zh-CN"/>
        </w:rPr>
        <w:t>确定的事项前提下，组成本合同的多个文件的优先适用顺序如下：</w:t>
      </w:r>
    </w:p>
    <w:p w14:paraId="4958E2CF">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1.1</w:t>
      </w:r>
      <w:r>
        <w:rPr>
          <w:rFonts w:hint="eastAsia" w:ascii="宋体" w:hAnsi="宋体" w:eastAsia="宋体"/>
          <w:sz w:val="24"/>
          <w:highlight w:val="none"/>
          <w:lang w:val="zh-CN"/>
        </w:rPr>
        <w:t>本合同及其补充合同、变更协议；</w:t>
      </w:r>
    </w:p>
    <w:p w14:paraId="2D05B674">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w:t>
      </w:r>
      <w:r>
        <w:rPr>
          <w:rFonts w:hint="eastAsia" w:ascii="宋体" w:hAnsi="宋体" w:eastAsia="宋体"/>
          <w:sz w:val="24"/>
          <w:highlight w:val="none"/>
          <w:lang w:val="en-US" w:eastAsia="zh-CN"/>
        </w:rPr>
        <w:t>.2中标</w:t>
      </w:r>
      <w:r>
        <w:rPr>
          <w:rFonts w:hint="eastAsia" w:ascii="宋体" w:hAnsi="宋体" w:eastAsia="宋体"/>
          <w:sz w:val="24"/>
          <w:highlight w:val="none"/>
          <w:lang w:val="zh-CN"/>
        </w:rPr>
        <w:t>通知书；</w:t>
      </w:r>
    </w:p>
    <w:p w14:paraId="06570E5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1.3</w:t>
      </w:r>
      <w:r>
        <w:rPr>
          <w:rFonts w:hint="eastAsia"/>
          <w:sz w:val="24"/>
          <w:highlight w:val="none"/>
          <w:lang w:val="en-US" w:eastAsia="zh-CN"/>
        </w:rPr>
        <w:t>响应文件</w:t>
      </w:r>
      <w:r>
        <w:rPr>
          <w:rFonts w:hint="eastAsia" w:ascii="宋体" w:hAnsi="宋体" w:eastAsia="宋体"/>
          <w:sz w:val="24"/>
          <w:highlight w:val="none"/>
          <w:lang w:val="zh-CN"/>
        </w:rPr>
        <w:t>（含澄清或者说明文件）；</w:t>
      </w:r>
    </w:p>
    <w:p w14:paraId="230B6D7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1.4</w:t>
      </w:r>
      <w:r>
        <w:rPr>
          <w:rFonts w:hint="eastAsia" w:ascii="宋体" w:hAnsi="宋体" w:eastAsia="宋体"/>
          <w:sz w:val="24"/>
          <w:highlight w:val="none"/>
          <w:lang w:val="zh-CN"/>
        </w:rPr>
        <w:t>谈判文件（含澄清或者修改文件）；</w:t>
      </w:r>
    </w:p>
    <w:p w14:paraId="3A8E52A2">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1.5</w:t>
      </w:r>
      <w:r>
        <w:rPr>
          <w:rFonts w:hint="eastAsia" w:ascii="宋体" w:hAnsi="宋体" w:eastAsia="宋体"/>
          <w:sz w:val="24"/>
          <w:highlight w:val="none"/>
          <w:lang w:val="zh-CN"/>
        </w:rPr>
        <w:t>其他相关文件。</w:t>
      </w:r>
    </w:p>
    <w:p w14:paraId="32BF812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en-US" w:eastAsia="zh-CN"/>
        </w:rPr>
        <w:t>2.</w:t>
      </w:r>
      <w:r>
        <w:rPr>
          <w:rFonts w:hint="eastAsia" w:ascii="宋体" w:hAnsi="宋体" w:eastAsia="宋体"/>
          <w:b/>
          <w:bCs/>
          <w:sz w:val="24"/>
          <w:highlight w:val="none"/>
          <w:lang w:val="zh-CN"/>
        </w:rPr>
        <w:t>服务</w:t>
      </w:r>
    </w:p>
    <w:p w14:paraId="751D6EE5">
      <w:pPr>
        <w:spacing w:line="360" w:lineRule="auto"/>
        <w:ind w:firstLine="435"/>
        <w:rPr>
          <w:rFonts w:ascii="宋体" w:hAnsi="宋体" w:eastAsia="宋体"/>
          <w:sz w:val="24"/>
          <w:highlight w:val="none"/>
          <w:u w:val="single"/>
        </w:rPr>
      </w:pPr>
      <w:r>
        <w:rPr>
          <w:rFonts w:hint="eastAsia" w:ascii="宋体" w:hAnsi="宋体" w:eastAsia="宋体"/>
          <w:sz w:val="24"/>
          <w:highlight w:val="none"/>
          <w:lang w:val="en-US" w:eastAsia="zh-CN"/>
        </w:rPr>
        <w:t>2.1</w:t>
      </w:r>
      <w:r>
        <w:rPr>
          <w:rFonts w:hint="eastAsia" w:ascii="宋体" w:hAnsi="宋体" w:eastAsia="宋体"/>
          <w:sz w:val="24"/>
          <w:highlight w:val="none"/>
        </w:rPr>
        <w:t>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6B0A8FC">
      <w:pPr>
        <w:spacing w:line="360" w:lineRule="auto"/>
        <w:ind w:firstLine="435"/>
        <w:rPr>
          <w:rFonts w:ascii="宋体" w:hAnsi="宋体" w:eastAsia="宋体"/>
          <w:sz w:val="24"/>
          <w:highlight w:val="none"/>
          <w:u w:val="single"/>
        </w:rPr>
      </w:pPr>
      <w:r>
        <w:rPr>
          <w:rFonts w:hint="eastAsia" w:ascii="宋体" w:hAnsi="宋体" w:eastAsia="宋体"/>
          <w:sz w:val="24"/>
          <w:highlight w:val="none"/>
          <w:lang w:val="en-US" w:eastAsia="zh-CN"/>
        </w:rPr>
        <w:t>2.2</w:t>
      </w:r>
      <w:r>
        <w:rPr>
          <w:rFonts w:hint="eastAsia" w:ascii="宋体" w:hAnsi="宋体" w:eastAsia="宋体"/>
          <w:sz w:val="24"/>
          <w:highlight w:val="none"/>
        </w:rPr>
        <w:t>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528F47E">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2.3</w:t>
      </w:r>
      <w:r>
        <w:rPr>
          <w:rFonts w:hint="eastAsia" w:ascii="宋体" w:hAnsi="宋体" w:eastAsia="宋体"/>
          <w:sz w:val="24"/>
          <w:highlight w:val="none"/>
        </w:rPr>
        <w:t>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5DB5C33">
      <w:pPr>
        <w:spacing w:line="360" w:lineRule="auto"/>
        <w:ind w:firstLine="437"/>
        <w:outlineLvl w:val="2"/>
        <w:rPr>
          <w:rFonts w:ascii="宋体" w:hAnsi="宋体" w:eastAsia="宋体"/>
          <w:b/>
          <w:bCs/>
          <w:sz w:val="24"/>
          <w:highlight w:val="none"/>
          <w:lang w:val="zh-CN"/>
        </w:rPr>
      </w:pPr>
      <w:bookmarkStart w:id="101" w:name="_Toc21551"/>
      <w:bookmarkStart w:id="102" w:name="_Toc21631"/>
      <w:bookmarkStart w:id="103" w:name="_Toc23292"/>
      <w:r>
        <w:rPr>
          <w:rFonts w:hint="eastAsia" w:ascii="宋体" w:hAnsi="宋体" w:eastAsia="宋体"/>
          <w:b/>
          <w:bCs/>
          <w:sz w:val="24"/>
          <w:highlight w:val="none"/>
          <w:lang w:val="en-US" w:eastAsia="zh-CN"/>
        </w:rPr>
        <w:t>3.</w:t>
      </w:r>
      <w:r>
        <w:rPr>
          <w:rFonts w:hint="eastAsia" w:ascii="宋体" w:hAnsi="宋体" w:eastAsia="宋体"/>
          <w:b/>
          <w:bCs/>
          <w:sz w:val="24"/>
          <w:highlight w:val="none"/>
          <w:lang w:val="zh-CN"/>
        </w:rPr>
        <w:t>价款</w:t>
      </w:r>
      <w:bookmarkEnd w:id="101"/>
      <w:bookmarkEnd w:id="102"/>
      <w:bookmarkEnd w:id="103"/>
    </w:p>
    <w:p w14:paraId="6EB67A59">
      <w:pPr>
        <w:spacing w:line="360" w:lineRule="auto"/>
        <w:ind w:left="504" w:leftChars="240" w:firstLine="40" w:firstLineChars="17"/>
        <w:outlineLvl w:val="2"/>
        <w:rPr>
          <w:rFonts w:ascii="宋体" w:hAnsi="宋体" w:eastAsia="宋体"/>
          <w:b/>
          <w:bCs/>
          <w:sz w:val="24"/>
          <w:highlight w:val="none"/>
          <w:lang w:val="zh-CN"/>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bookmarkStart w:id="104" w:name="_Toc10340"/>
      <w:bookmarkStart w:id="105" w:name="_Toc1814"/>
      <w:bookmarkStart w:id="106" w:name="_Toc22618"/>
      <w:r>
        <w:rPr>
          <w:rFonts w:hint="eastAsia" w:ascii="宋体" w:hAnsi="宋体" w:eastAsia="宋体"/>
          <w:b/>
          <w:bCs/>
          <w:sz w:val="24"/>
          <w:highlight w:val="none"/>
          <w:lang w:val="en-US" w:eastAsia="zh-CN"/>
        </w:rPr>
        <w:t>4.</w:t>
      </w:r>
      <w:r>
        <w:rPr>
          <w:rFonts w:ascii="宋体" w:hAnsi="宋体" w:eastAsia="宋体"/>
          <w:b/>
          <w:bCs/>
          <w:sz w:val="24"/>
          <w:highlight w:val="none"/>
          <w:lang w:val="zh-CN"/>
        </w:rPr>
        <w:t>付款方式和发票开具方式</w:t>
      </w:r>
      <w:bookmarkEnd w:id="104"/>
      <w:bookmarkEnd w:id="105"/>
      <w:bookmarkEnd w:id="106"/>
    </w:p>
    <w:p w14:paraId="01F45A0F">
      <w:pPr>
        <w:spacing w:line="360" w:lineRule="auto"/>
        <w:ind w:firstLine="435"/>
        <w:rPr>
          <w:rFonts w:ascii="宋体" w:hAnsi="宋体" w:eastAsia="宋体"/>
          <w:sz w:val="24"/>
          <w:highlight w:val="none"/>
        </w:rPr>
      </w:pPr>
      <w:r>
        <w:rPr>
          <w:rFonts w:hint="eastAsia" w:ascii="宋体" w:hAnsi="宋体" w:eastAsia="宋体"/>
          <w:sz w:val="24"/>
          <w:highlight w:val="none"/>
        </w:rPr>
        <w:t>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3416A73">
      <w:pPr>
        <w:spacing w:line="360" w:lineRule="auto"/>
        <w:ind w:firstLine="435"/>
        <w:rPr>
          <w:rFonts w:ascii="宋体" w:hAnsi="宋体" w:eastAsia="宋体"/>
          <w:sz w:val="24"/>
          <w:highlight w:val="none"/>
        </w:rPr>
      </w:pPr>
      <w:r>
        <w:rPr>
          <w:rFonts w:hint="eastAsia" w:ascii="宋体" w:hAnsi="宋体" w:eastAsia="宋体"/>
          <w:sz w:val="24"/>
          <w:highlight w:val="none"/>
        </w:rPr>
        <w:t>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341509F">
      <w:pPr>
        <w:spacing w:line="360" w:lineRule="auto"/>
        <w:ind w:firstLine="437"/>
        <w:outlineLvl w:val="2"/>
        <w:rPr>
          <w:rFonts w:ascii="宋体" w:hAnsi="宋体" w:eastAsia="宋体"/>
          <w:b/>
          <w:bCs/>
          <w:sz w:val="24"/>
          <w:highlight w:val="none"/>
          <w:lang w:val="zh-CN"/>
        </w:rPr>
      </w:pPr>
      <w:bookmarkStart w:id="107" w:name="_Toc19304"/>
      <w:bookmarkStart w:id="108" w:name="_Toc32071"/>
      <w:bookmarkStart w:id="109" w:name="_Toc2846"/>
      <w:r>
        <w:rPr>
          <w:rFonts w:ascii="宋体" w:hAnsi="宋体" w:eastAsia="宋体"/>
          <w:b/>
          <w:bCs/>
          <w:sz w:val="24"/>
          <w:highlight w:val="none"/>
          <w:lang w:val="zh-CN"/>
        </w:rPr>
        <w:t>5</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107"/>
      <w:bookmarkEnd w:id="108"/>
      <w:bookmarkEnd w:id="109"/>
    </w:p>
    <w:p w14:paraId="0D87DF6C">
      <w:pPr>
        <w:spacing w:line="360" w:lineRule="auto"/>
        <w:ind w:firstLine="435"/>
        <w:rPr>
          <w:rFonts w:ascii="宋体" w:hAnsi="宋体" w:eastAsia="宋体"/>
          <w:sz w:val="24"/>
          <w:highlight w:val="none"/>
          <w:u w:val="single"/>
        </w:rPr>
      </w:pPr>
      <w:r>
        <w:rPr>
          <w:rFonts w:hint="eastAsia" w:ascii="宋体" w:hAnsi="宋体" w:eastAsia="宋体"/>
          <w:sz w:val="24"/>
          <w:highlight w:val="none"/>
        </w:rPr>
        <w:t>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A0ED4C4">
      <w:pPr>
        <w:spacing w:line="360" w:lineRule="auto"/>
        <w:ind w:firstLine="435"/>
        <w:rPr>
          <w:rFonts w:ascii="宋体" w:hAnsi="宋体" w:eastAsia="宋体"/>
          <w:sz w:val="24"/>
          <w:highlight w:val="none"/>
        </w:rPr>
      </w:pPr>
      <w:r>
        <w:rPr>
          <w:rFonts w:hint="eastAsia" w:ascii="宋体" w:hAnsi="宋体" w:eastAsia="宋体"/>
          <w:sz w:val="24"/>
          <w:highlight w:val="none"/>
        </w:rPr>
        <w:t>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BE10226">
      <w:pPr>
        <w:spacing w:line="360" w:lineRule="auto"/>
        <w:ind w:firstLine="435"/>
        <w:rPr>
          <w:rFonts w:ascii="宋体" w:hAnsi="宋体" w:eastAsia="宋体"/>
          <w:sz w:val="24"/>
          <w:highlight w:val="none"/>
        </w:rPr>
      </w:pPr>
      <w:r>
        <w:rPr>
          <w:rFonts w:hint="eastAsia" w:ascii="宋体" w:hAnsi="宋体" w:eastAsia="宋体"/>
          <w:sz w:val="24"/>
          <w:highlight w:val="none"/>
        </w:rPr>
        <w:t>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1160455">
      <w:pPr>
        <w:spacing w:line="360" w:lineRule="auto"/>
        <w:ind w:firstLine="437"/>
        <w:outlineLvl w:val="2"/>
        <w:rPr>
          <w:rFonts w:ascii="宋体" w:hAnsi="宋体" w:eastAsia="宋体"/>
          <w:b/>
          <w:bCs/>
          <w:sz w:val="24"/>
          <w:highlight w:val="none"/>
          <w:lang w:val="zh-CN"/>
        </w:rPr>
      </w:pPr>
      <w:bookmarkStart w:id="110" w:name="_Toc19554"/>
      <w:bookmarkStart w:id="111" w:name="_Toc27250"/>
      <w:bookmarkStart w:id="112" w:name="_Toc21423"/>
      <w:r>
        <w:rPr>
          <w:rFonts w:hint="eastAsia" w:ascii="宋体" w:hAnsi="宋体" w:eastAsia="宋体"/>
          <w:b/>
          <w:bCs/>
          <w:sz w:val="24"/>
          <w:highlight w:val="none"/>
          <w:lang w:val="zh-CN"/>
        </w:rPr>
        <w:t>6.违约责任</w:t>
      </w:r>
      <w:bookmarkEnd w:id="110"/>
      <w:bookmarkEnd w:id="111"/>
      <w:bookmarkEnd w:id="112"/>
    </w:p>
    <w:p w14:paraId="35994DDC">
      <w:pPr>
        <w:spacing w:line="360" w:lineRule="auto"/>
        <w:ind w:firstLine="435"/>
        <w:rPr>
          <w:rFonts w:ascii="宋体" w:hAnsi="宋体" w:eastAsia="宋体"/>
          <w:sz w:val="24"/>
          <w:highlight w:val="none"/>
        </w:rPr>
      </w:pPr>
      <w:r>
        <w:rPr>
          <w:rFonts w:hint="eastAsia" w:ascii="宋体" w:hAnsi="宋体" w:eastAsia="宋体"/>
          <w:sz w:val="24"/>
          <w:highlight w:val="none"/>
        </w:rPr>
        <w:t>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5EA760B9">
      <w:pPr>
        <w:spacing w:line="360" w:lineRule="auto"/>
        <w:ind w:firstLine="435"/>
        <w:rPr>
          <w:rFonts w:ascii="宋体" w:hAnsi="宋体" w:eastAsia="宋体"/>
          <w:sz w:val="24"/>
          <w:highlight w:val="none"/>
        </w:rPr>
      </w:pPr>
      <w:r>
        <w:rPr>
          <w:rFonts w:hint="eastAsia" w:ascii="宋体" w:hAnsi="宋体" w:eastAsia="宋体"/>
          <w:sz w:val="24"/>
          <w:highlight w:val="none"/>
        </w:rPr>
        <w:t>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01C992D7">
      <w:pPr>
        <w:spacing w:line="360" w:lineRule="auto"/>
        <w:ind w:firstLine="435"/>
        <w:rPr>
          <w:rFonts w:ascii="宋体" w:hAnsi="宋体" w:eastAsia="宋体"/>
          <w:sz w:val="24"/>
          <w:highlight w:val="none"/>
        </w:rPr>
      </w:pPr>
      <w:r>
        <w:rPr>
          <w:rFonts w:hint="eastAsia" w:ascii="宋体" w:hAnsi="宋体" w:eastAsia="宋体"/>
          <w:sz w:val="24"/>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FE9561">
      <w:pPr>
        <w:spacing w:line="360" w:lineRule="auto"/>
        <w:ind w:firstLine="435"/>
        <w:rPr>
          <w:rFonts w:ascii="宋体" w:hAnsi="宋体" w:eastAsia="宋体"/>
          <w:sz w:val="24"/>
          <w:highlight w:val="none"/>
        </w:rPr>
      </w:pPr>
      <w:r>
        <w:rPr>
          <w:rFonts w:hint="eastAsia" w:ascii="宋体" w:hAnsi="宋体" w:eastAsia="宋体"/>
          <w:sz w:val="24"/>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D31BF4">
      <w:pPr>
        <w:spacing w:line="360" w:lineRule="auto"/>
        <w:ind w:firstLine="435"/>
        <w:rPr>
          <w:rFonts w:ascii="宋体" w:hAnsi="宋体" w:eastAsia="宋体"/>
          <w:sz w:val="24"/>
          <w:highlight w:val="none"/>
        </w:rPr>
      </w:pPr>
      <w:r>
        <w:rPr>
          <w:rFonts w:hint="eastAsia" w:ascii="宋体" w:hAnsi="宋体" w:eastAsia="宋体"/>
          <w:sz w:val="24"/>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F747F17">
      <w:pPr>
        <w:spacing w:line="360" w:lineRule="auto"/>
        <w:ind w:firstLine="435"/>
        <w:rPr>
          <w:rFonts w:ascii="宋体" w:hAnsi="宋体" w:eastAsia="宋体"/>
          <w:sz w:val="24"/>
          <w:highlight w:val="none"/>
        </w:rPr>
      </w:pPr>
      <w:r>
        <w:rPr>
          <w:rFonts w:hint="eastAsia" w:ascii="宋体" w:hAnsi="宋体" w:eastAsia="宋体"/>
          <w:sz w:val="24"/>
          <w:highlight w:val="none"/>
        </w:rPr>
        <w:t>6.6如果出现监督管理部门在处理投诉事项期间，书面通知甲方暂停采购活动的情形，或者询问或质疑事项可能影响成交结果的，导致甲方中止履行合同的情形，均不视为甲方违约。</w:t>
      </w:r>
    </w:p>
    <w:p w14:paraId="15E2E7AB">
      <w:pPr>
        <w:spacing w:line="360" w:lineRule="auto"/>
        <w:ind w:firstLine="437"/>
        <w:outlineLvl w:val="2"/>
        <w:rPr>
          <w:rFonts w:ascii="宋体" w:hAnsi="宋体" w:eastAsia="宋体"/>
          <w:b/>
          <w:bCs/>
          <w:sz w:val="24"/>
          <w:highlight w:val="none"/>
          <w:lang w:val="zh-CN"/>
        </w:rPr>
      </w:pPr>
      <w:bookmarkStart w:id="113" w:name="_Toc28375"/>
      <w:bookmarkStart w:id="114" w:name="_Toc15583"/>
      <w:bookmarkStart w:id="115" w:name="_Toc16021"/>
      <w:r>
        <w:rPr>
          <w:rFonts w:hint="eastAsia" w:ascii="宋体" w:hAnsi="宋体" w:eastAsia="宋体"/>
          <w:b/>
          <w:bCs/>
          <w:sz w:val="24"/>
          <w:highlight w:val="none"/>
          <w:lang w:val="zh-CN"/>
        </w:rPr>
        <w:t>7.合同</w:t>
      </w:r>
      <w:r>
        <w:rPr>
          <w:rFonts w:ascii="宋体" w:hAnsi="宋体" w:eastAsia="宋体"/>
          <w:b/>
          <w:bCs/>
          <w:sz w:val="24"/>
          <w:highlight w:val="none"/>
          <w:lang w:val="zh-CN"/>
        </w:rPr>
        <w:t>争议的解决</w:t>
      </w:r>
      <w:bookmarkEnd w:id="113"/>
      <w:bookmarkEnd w:id="114"/>
      <w:bookmarkEnd w:id="115"/>
    </w:p>
    <w:p w14:paraId="28D1EAE9">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7B9A7082">
      <w:pPr>
        <w:spacing w:line="360" w:lineRule="auto"/>
        <w:ind w:firstLine="435"/>
        <w:rPr>
          <w:rFonts w:ascii="宋体" w:hAnsi="宋体" w:eastAsia="宋体"/>
          <w:sz w:val="24"/>
          <w:highlight w:val="none"/>
        </w:rPr>
      </w:pPr>
      <w:r>
        <w:rPr>
          <w:rFonts w:hint="eastAsia" w:ascii="宋体" w:hAnsi="宋体" w:eastAsia="宋体"/>
          <w:sz w:val="24"/>
          <w:highlight w:val="none"/>
        </w:rPr>
        <w:t>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6166AA3D">
      <w:pPr>
        <w:spacing w:line="360" w:lineRule="auto"/>
        <w:ind w:firstLine="435"/>
        <w:rPr>
          <w:rFonts w:ascii="宋体" w:hAnsi="宋体" w:eastAsia="宋体"/>
          <w:sz w:val="24"/>
          <w:highlight w:val="none"/>
        </w:rPr>
      </w:pPr>
      <w:r>
        <w:rPr>
          <w:rFonts w:hint="eastAsia" w:ascii="宋体" w:hAnsi="宋体" w:eastAsia="宋体"/>
          <w:sz w:val="24"/>
          <w:highlight w:val="none"/>
        </w:rPr>
        <w:t>7.2向</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62910CB5">
      <w:pPr>
        <w:spacing w:line="360" w:lineRule="auto"/>
        <w:ind w:firstLine="437"/>
        <w:outlineLvl w:val="2"/>
        <w:rPr>
          <w:rFonts w:ascii="宋体" w:hAnsi="宋体" w:eastAsia="宋体"/>
          <w:b/>
          <w:bCs/>
          <w:sz w:val="24"/>
          <w:highlight w:val="none"/>
          <w:lang w:val="zh-CN"/>
        </w:rPr>
      </w:pPr>
      <w:bookmarkStart w:id="116" w:name="_Toc11173"/>
      <w:bookmarkStart w:id="117" w:name="_Toc15322"/>
      <w:bookmarkStart w:id="118" w:name="_Toc7245"/>
      <w:r>
        <w:rPr>
          <w:rFonts w:hint="eastAsia" w:ascii="宋体" w:hAnsi="宋体" w:eastAsia="宋体"/>
          <w:b/>
          <w:bCs/>
          <w:sz w:val="24"/>
          <w:highlight w:val="none"/>
          <w:lang w:val="zh-CN"/>
        </w:rPr>
        <w:t>8.</w:t>
      </w:r>
      <w:r>
        <w:rPr>
          <w:rFonts w:ascii="宋体" w:hAnsi="宋体" w:eastAsia="宋体"/>
          <w:b/>
          <w:bCs/>
          <w:sz w:val="24"/>
          <w:highlight w:val="none"/>
          <w:lang w:val="zh-CN"/>
        </w:rPr>
        <w:t>合同生效</w:t>
      </w:r>
      <w:bookmarkEnd w:id="116"/>
      <w:bookmarkEnd w:id="117"/>
      <w:bookmarkEnd w:id="118"/>
    </w:p>
    <w:p w14:paraId="40E3039C">
      <w:pPr>
        <w:pStyle w:val="4"/>
        <w:rPr>
          <w:rFonts w:hint="eastAsia"/>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79EDE60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 xml:space="preserve">（甲方）：    （公章）         </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（乙方）：     （公章）  </w:t>
      </w:r>
    </w:p>
    <w:p w14:paraId="0EE1B94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2B197DC6">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566568D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                         委托代理人：</w:t>
      </w:r>
    </w:p>
    <w:p w14:paraId="0E70C65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317FE66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5847004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0D90E1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25EFB67">
      <w:pPr>
        <w:pStyle w:val="17"/>
        <w:keepNext w:val="0"/>
        <w:keepLines w:val="0"/>
        <w:pageBreakBefore w:val="0"/>
        <w:widowControl w:val="0"/>
        <w:kinsoku/>
        <w:wordWrap/>
        <w:overflowPunct/>
        <w:topLinePunct w:val="0"/>
        <w:autoSpaceDE/>
        <w:autoSpaceDN/>
        <w:bidi w:val="0"/>
        <w:adjustRightInd/>
        <w:snapToGrid/>
        <w:spacing w:line="460" w:lineRule="exact"/>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备注：本合同的约定如与本项目</w:t>
      </w:r>
      <w:r>
        <w:rPr>
          <w:rFonts w:hint="eastAsia" w:ascii="宋体" w:hAnsi="宋体" w:eastAsia="宋体" w:cs="宋体"/>
          <w:b/>
          <w:color w:val="auto"/>
          <w:kern w:val="0"/>
          <w:sz w:val="24"/>
          <w:szCs w:val="24"/>
          <w:highlight w:val="none"/>
          <w:lang w:eastAsia="zh-CN"/>
        </w:rPr>
        <w:t>谈判文件</w:t>
      </w:r>
      <w:r>
        <w:rPr>
          <w:rFonts w:hint="eastAsia" w:ascii="宋体" w:hAnsi="宋体" w:eastAsia="宋体" w:cs="宋体"/>
          <w:b/>
          <w:color w:val="auto"/>
          <w:kern w:val="0"/>
          <w:sz w:val="24"/>
          <w:szCs w:val="24"/>
          <w:highlight w:val="none"/>
        </w:rPr>
        <w:t>的</w:t>
      </w:r>
      <w:r>
        <w:rPr>
          <w:rFonts w:hint="eastAsia" w:ascii="宋体" w:hAnsi="宋体" w:eastAsia="宋体"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业主单位要求</w:t>
      </w:r>
      <w:r>
        <w:rPr>
          <w:rFonts w:hint="eastAsia" w:ascii="宋体" w:hAnsi="宋体" w:eastAsia="宋体" w:cs="宋体"/>
          <w:b/>
          <w:color w:val="auto"/>
          <w:kern w:val="0"/>
          <w:sz w:val="24"/>
          <w:szCs w:val="24"/>
          <w:highlight w:val="none"/>
        </w:rPr>
        <w:t>的约定</w:t>
      </w:r>
      <w:r>
        <w:rPr>
          <w:rFonts w:hint="eastAsia" w:ascii="宋体" w:hAnsi="宋体" w:eastAsia="宋体" w:cs="宋体"/>
          <w:b/>
          <w:color w:val="auto"/>
          <w:kern w:val="0"/>
          <w:sz w:val="24"/>
          <w:szCs w:val="24"/>
          <w:highlight w:val="none"/>
          <w:lang w:val="en-US" w:eastAsia="zh-CN"/>
        </w:rPr>
        <w:t>有冲突时</w:t>
      </w:r>
      <w:r>
        <w:rPr>
          <w:rFonts w:hint="eastAsia" w:ascii="宋体" w:hAnsi="宋体" w:eastAsia="宋体" w:cs="宋体"/>
          <w:b/>
          <w:color w:val="auto"/>
          <w:kern w:val="0"/>
          <w:sz w:val="24"/>
          <w:szCs w:val="24"/>
          <w:highlight w:val="none"/>
        </w:rPr>
        <w:t>，以</w:t>
      </w:r>
      <w:r>
        <w:rPr>
          <w:rFonts w:hint="eastAsia" w:ascii="宋体" w:hAnsi="宋体" w:eastAsia="宋体"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业主单位要求</w:t>
      </w:r>
      <w:r>
        <w:rPr>
          <w:rFonts w:hint="eastAsia" w:ascii="宋体" w:hAnsi="宋体" w:eastAsia="宋体" w:cs="宋体"/>
          <w:b/>
          <w:color w:val="auto"/>
          <w:kern w:val="0"/>
          <w:sz w:val="24"/>
          <w:szCs w:val="24"/>
          <w:highlight w:val="none"/>
        </w:rPr>
        <w:t>的约定为准。</w:t>
      </w:r>
    </w:p>
    <w:p w14:paraId="7402009A">
      <w:pPr>
        <w:pStyle w:val="17"/>
        <w:rPr>
          <w:rFonts w:hint="eastAsia" w:ascii="宋体" w:hAnsi="宋体" w:eastAsia="宋体" w:cs="宋体"/>
          <w:color w:val="auto"/>
          <w:highlight w:val="none"/>
        </w:rPr>
      </w:pPr>
    </w:p>
    <w:p w14:paraId="24AB2558">
      <w:pPr>
        <w:pStyle w:val="17"/>
        <w:rPr>
          <w:rFonts w:hint="eastAsia" w:ascii="宋体" w:hAnsi="宋体" w:eastAsia="宋体" w:cs="宋体"/>
          <w:color w:val="auto"/>
          <w:highlight w:val="none"/>
        </w:rPr>
      </w:pPr>
    </w:p>
    <w:p w14:paraId="54A25728">
      <w:pPr>
        <w:pStyle w:val="17"/>
        <w:rPr>
          <w:rFonts w:hint="eastAsia" w:ascii="宋体" w:hAnsi="宋体" w:eastAsia="宋体" w:cs="宋体"/>
          <w:color w:val="auto"/>
          <w:highlight w:val="none"/>
        </w:rPr>
      </w:pPr>
    </w:p>
    <w:p w14:paraId="480165FF">
      <w:pPr>
        <w:pStyle w:val="17"/>
        <w:rPr>
          <w:rFonts w:hint="eastAsia" w:ascii="宋体" w:hAnsi="宋体" w:eastAsia="宋体" w:cs="宋体"/>
          <w:color w:val="auto"/>
          <w:highlight w:val="none"/>
        </w:rPr>
      </w:pPr>
    </w:p>
    <w:bookmarkEnd w:id="96"/>
    <w:p w14:paraId="4AC1EFB1">
      <w:pPr>
        <w:widowControl/>
        <w:jc w:val="left"/>
        <w:rPr>
          <w:rFonts w:hint="eastAsia" w:ascii="宋体" w:hAnsi="宋体" w:eastAsia="宋体" w:cs="宋体"/>
          <w:color w:val="auto"/>
          <w:sz w:val="24"/>
          <w:highlight w:val="none"/>
        </w:rPr>
      </w:pPr>
    </w:p>
    <w:p w14:paraId="57196B29">
      <w:pPr>
        <w:pStyle w:val="23"/>
        <w:rPr>
          <w:rFonts w:hint="eastAsia" w:ascii="宋体" w:hAnsi="宋体" w:eastAsia="宋体" w:cs="宋体"/>
          <w:color w:val="auto"/>
          <w:sz w:val="24"/>
          <w:highlight w:val="none"/>
        </w:rPr>
      </w:pPr>
    </w:p>
    <w:p w14:paraId="03C686F9">
      <w:pPr>
        <w:pStyle w:val="17"/>
        <w:rPr>
          <w:rFonts w:hint="eastAsia" w:ascii="宋体" w:hAnsi="宋体" w:eastAsia="宋体" w:cs="宋体"/>
          <w:color w:val="auto"/>
          <w:sz w:val="24"/>
          <w:highlight w:val="none"/>
        </w:rPr>
      </w:pPr>
    </w:p>
    <w:p w14:paraId="2901AF8A">
      <w:pPr>
        <w:pStyle w:val="17"/>
        <w:rPr>
          <w:rFonts w:hint="eastAsia" w:ascii="宋体" w:hAnsi="宋体" w:eastAsia="宋体" w:cs="宋体"/>
          <w:color w:val="auto"/>
          <w:sz w:val="24"/>
          <w:highlight w:val="none"/>
        </w:rPr>
      </w:pPr>
    </w:p>
    <w:p w14:paraId="7CE1436B">
      <w:pPr>
        <w:pStyle w:val="17"/>
        <w:rPr>
          <w:rFonts w:hint="eastAsia" w:ascii="宋体" w:hAnsi="宋体" w:eastAsia="宋体" w:cs="宋体"/>
          <w:color w:val="auto"/>
          <w:sz w:val="24"/>
          <w:highlight w:val="none"/>
        </w:rPr>
      </w:pPr>
    </w:p>
    <w:p w14:paraId="67A1BC78">
      <w:pPr>
        <w:pStyle w:val="17"/>
        <w:rPr>
          <w:rFonts w:hint="eastAsia" w:ascii="宋体" w:hAnsi="宋体" w:eastAsia="宋体" w:cs="宋体"/>
          <w:color w:val="auto"/>
          <w:sz w:val="24"/>
          <w:highlight w:val="none"/>
        </w:rPr>
      </w:pPr>
    </w:p>
    <w:p w14:paraId="48E8CE6B">
      <w:pPr>
        <w:pStyle w:val="17"/>
        <w:rPr>
          <w:rFonts w:hint="eastAsia" w:ascii="宋体" w:hAnsi="宋体" w:eastAsia="宋体" w:cs="宋体"/>
          <w:color w:val="auto"/>
          <w:sz w:val="24"/>
          <w:highlight w:val="none"/>
        </w:rPr>
      </w:pPr>
    </w:p>
    <w:p w14:paraId="16BADAE4">
      <w:pPr>
        <w:pStyle w:val="17"/>
        <w:rPr>
          <w:rFonts w:hint="eastAsia" w:ascii="宋体" w:hAnsi="宋体" w:eastAsia="宋体" w:cs="宋体"/>
          <w:color w:val="auto"/>
          <w:sz w:val="24"/>
          <w:highlight w:val="none"/>
        </w:rPr>
      </w:pPr>
    </w:p>
    <w:p w14:paraId="75DBCD44">
      <w:pPr>
        <w:pStyle w:val="17"/>
        <w:rPr>
          <w:rFonts w:hint="eastAsia" w:ascii="宋体" w:hAnsi="宋体" w:eastAsia="宋体" w:cs="宋体"/>
          <w:color w:val="auto"/>
          <w:sz w:val="24"/>
          <w:highlight w:val="none"/>
        </w:rPr>
      </w:pPr>
    </w:p>
    <w:p w14:paraId="46AAC8C5">
      <w:pPr>
        <w:pStyle w:val="17"/>
        <w:rPr>
          <w:rFonts w:hint="eastAsia" w:ascii="宋体" w:hAnsi="宋体" w:eastAsia="宋体" w:cs="宋体"/>
          <w:color w:val="auto"/>
          <w:sz w:val="24"/>
          <w:highlight w:val="none"/>
        </w:rPr>
      </w:pPr>
    </w:p>
    <w:p w14:paraId="31481314">
      <w:pPr>
        <w:rPr>
          <w:rFonts w:hint="eastAsia"/>
          <w:color w:val="auto"/>
          <w:highlight w:val="none"/>
          <w:lang w:val="en-US" w:eastAsia="zh-CN"/>
        </w:rPr>
      </w:pPr>
      <w:bookmarkStart w:id="119" w:name="_Toc9711"/>
    </w:p>
    <w:p w14:paraId="4725C0B9">
      <w:pPr>
        <w:pStyle w:val="4"/>
        <w:keepNext/>
        <w:keepLines/>
        <w:pageBreakBefore w:val="0"/>
        <w:widowControl w:val="0"/>
        <w:kinsoku/>
        <w:wordWrap/>
        <w:overflowPunct/>
        <w:topLinePunct w:val="0"/>
        <w:autoSpaceDE/>
        <w:autoSpaceDN/>
        <w:bidi w:val="0"/>
        <w:adjustRightInd/>
        <w:snapToGrid/>
        <w:spacing w:after="140" w:line="416" w:lineRule="auto"/>
        <w:textAlignment w:val="auto"/>
        <w:rPr>
          <w:rFonts w:hint="eastAsia"/>
          <w:color w:val="auto"/>
          <w:sz w:val="28"/>
          <w:szCs w:val="28"/>
          <w:highlight w:val="none"/>
          <w:lang w:val="en-US" w:eastAsia="zh-CN"/>
        </w:rPr>
      </w:pPr>
      <w:r>
        <w:rPr>
          <w:rFonts w:hint="eastAsia"/>
          <w:color w:val="auto"/>
          <w:sz w:val="28"/>
          <w:szCs w:val="28"/>
          <w:highlight w:val="none"/>
          <w:lang w:val="en-US" w:eastAsia="zh-CN"/>
        </w:rPr>
        <w:t>第七章 响应文件格式</w:t>
      </w:r>
      <w:bookmarkEnd w:id="90"/>
      <w:bookmarkEnd w:id="97"/>
      <w:bookmarkEnd w:id="119"/>
    </w:p>
    <w:bookmarkEnd w:id="91"/>
    <w:bookmarkEnd w:id="92"/>
    <w:bookmarkEnd w:id="93"/>
    <w:p w14:paraId="2EACCA11">
      <w:pPr>
        <w:spacing w:line="900" w:lineRule="exact"/>
        <w:ind w:left="0" w:leftChars="0"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bookmarkStart w:id="120" w:name="_Toc461053086"/>
      <w:bookmarkStart w:id="121" w:name="_Toc461056631"/>
      <w:bookmarkStart w:id="122" w:name="_Toc520983587"/>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紫云湖小学扩建项目第三方检测</w:t>
      </w:r>
    </w:p>
    <w:p w14:paraId="2E541A7D">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6EDA128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D093D75">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3F3C0D18">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6427369">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4DC1DB4F">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2D14D91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7013E4CB">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581E2814">
      <w:pPr>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4A75BB5E">
      <w:pPr>
        <w:spacing w:after="156" w:afterLines="50"/>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7FB7ACCB">
      <w:pPr>
        <w:spacing w:after="156" w:afterLines="50" w:line="500" w:lineRule="exact"/>
        <w:ind w:firstLine="562"/>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505EA131">
      <w:pPr>
        <w:spacing w:after="156" w:afterLines="50" w:line="5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553CEE60">
      <w:pPr>
        <w:spacing w:after="156" w:afterLines="50" w:line="500" w:lineRule="exact"/>
        <w:ind w:firstLine="2522" w:firstLineChars="785"/>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32239C6">
      <w:pPr>
        <w:jc w:val="center"/>
        <w:rPr>
          <w:rFonts w:hint="eastAsia" w:ascii="宋体" w:hAnsi="宋体" w:eastAsia="宋体" w:cs="宋体"/>
          <w:b/>
          <w:bCs w:val="0"/>
          <w:color w:val="auto"/>
          <w:kern w:val="2"/>
          <w:sz w:val="28"/>
          <w:szCs w:val="28"/>
          <w:highlight w:val="none"/>
          <w:lang w:val="en-US" w:eastAsia="zh-CN" w:bidi="ar-SA"/>
        </w:rPr>
      </w:pP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r>
        <w:rPr>
          <w:rFonts w:hint="eastAsia" w:ascii="宋体" w:hAnsi="宋体" w:eastAsia="宋体" w:cs="宋体"/>
          <w:b/>
          <w:bCs w:val="0"/>
          <w:color w:val="auto"/>
          <w:kern w:val="2"/>
          <w:sz w:val="28"/>
          <w:szCs w:val="28"/>
          <w:highlight w:val="none"/>
          <w:lang w:val="en-US" w:eastAsia="zh-CN" w:bidi="ar-SA"/>
        </w:rPr>
        <w:br w:type="page"/>
      </w:r>
    </w:p>
    <w:p w14:paraId="1F0A5185">
      <w:pPr>
        <w:spacing w:before="156" w:beforeLines="50" w:after="156" w:afterLines="50" w:line="360" w:lineRule="auto"/>
        <w:ind w:firstLine="275" w:firstLineChars="98"/>
        <w:jc w:val="center"/>
        <w:rPr>
          <w:rFonts w:hint="eastAsia" w:ascii="宋体" w:hAnsi="宋体" w:eastAsia="宋体" w:cs="宋体"/>
          <w:b/>
          <w:color w:val="auto"/>
          <w:sz w:val="24"/>
          <w:highlight w:val="none"/>
        </w:rPr>
      </w:pPr>
      <w:r>
        <w:rPr>
          <w:rFonts w:hint="eastAsia" w:ascii="宋体" w:hAnsi="宋体" w:eastAsia="宋体" w:cs="宋体"/>
          <w:b/>
          <w:bCs w:val="0"/>
          <w:color w:val="auto"/>
          <w:kern w:val="2"/>
          <w:sz w:val="28"/>
          <w:szCs w:val="28"/>
          <w:highlight w:val="none"/>
          <w:lang w:val="en-US" w:eastAsia="zh-CN" w:bidi="ar-SA"/>
        </w:rPr>
        <w:t>一</w:t>
      </w:r>
      <w:bookmarkEnd w:id="120"/>
      <w:bookmarkEnd w:id="121"/>
      <w:r>
        <w:rPr>
          <w:rFonts w:hint="eastAsia" w:ascii="宋体" w:hAnsi="宋体" w:eastAsia="宋体" w:cs="宋体"/>
          <w:b/>
          <w:bCs w:val="0"/>
          <w:color w:val="auto"/>
          <w:kern w:val="2"/>
          <w:sz w:val="28"/>
          <w:szCs w:val="28"/>
          <w:highlight w:val="none"/>
          <w:lang w:val="en-US" w:eastAsia="zh-CN" w:bidi="ar-SA"/>
        </w:rPr>
        <w:t>、报价表格式</w:t>
      </w:r>
      <w:bookmarkEnd w:id="122"/>
    </w:p>
    <w:p w14:paraId="075CFEE4">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7DDC9BC1">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r>
        <w:rPr>
          <w:rFonts w:hint="eastAsia" w:ascii="宋体" w:hAnsi="宋体" w:cs="宋体"/>
          <w:b/>
          <w:color w:val="auto"/>
          <w:sz w:val="24"/>
          <w:szCs w:val="28"/>
          <w:highlight w:val="none"/>
          <w:u w:val="single"/>
          <w:lang w:eastAsia="zh-CN"/>
        </w:rPr>
        <w:t>紫云湖小学扩建项目第三方检测</w:t>
      </w:r>
      <w:r>
        <w:rPr>
          <w:rFonts w:hint="eastAsia" w:ascii="宋体" w:hAnsi="宋体" w:eastAsia="宋体" w:cs="宋体"/>
          <w:b/>
          <w:color w:val="auto"/>
          <w:sz w:val="24"/>
          <w:szCs w:val="28"/>
          <w:highlight w:val="none"/>
          <w:u w:val="single"/>
        </w:rPr>
        <w:t xml:space="preserve">      </w:t>
      </w:r>
    </w:p>
    <w:p w14:paraId="4491162B">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cs="宋体"/>
          <w:b/>
          <w:color w:val="auto"/>
          <w:sz w:val="24"/>
          <w:szCs w:val="28"/>
          <w:highlight w:val="none"/>
          <w:u w:val="single"/>
          <w:lang w:eastAsia="zh-CN"/>
        </w:rPr>
        <w:t>2026PHBJ211</w:t>
      </w:r>
      <w:r>
        <w:rPr>
          <w:rFonts w:hint="eastAsia" w:ascii="宋体" w:hAnsi="宋体" w:eastAsia="宋体" w:cs="宋体"/>
          <w:b/>
          <w:color w:val="auto"/>
          <w:sz w:val="24"/>
          <w:szCs w:val="28"/>
          <w:highlight w:val="none"/>
          <w:u w:val="single"/>
        </w:rPr>
        <w:t xml:space="preserve">       </w:t>
      </w:r>
    </w:p>
    <w:tbl>
      <w:tblPr>
        <w:tblStyle w:val="24"/>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6378"/>
      </w:tblGrid>
      <w:tr w14:paraId="4102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17" w:type="pct"/>
            <w:tcBorders>
              <w:top w:val="single" w:color="auto" w:sz="4" w:space="0"/>
              <w:left w:val="single" w:color="auto" w:sz="4" w:space="0"/>
              <w:bottom w:val="single" w:color="auto" w:sz="4" w:space="0"/>
              <w:right w:val="single" w:color="auto" w:sz="4" w:space="0"/>
            </w:tcBorders>
            <w:noWrap w:val="0"/>
            <w:vAlign w:val="center"/>
          </w:tcPr>
          <w:p w14:paraId="180F7544">
            <w:pPr>
              <w:spacing w:line="360" w:lineRule="auto"/>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参审单位</w:t>
            </w:r>
            <w:r>
              <w:rPr>
                <w:rFonts w:hint="eastAsia" w:ascii="宋体" w:hAnsi="宋体" w:eastAsia="宋体" w:cs="宋体"/>
                <w:b/>
                <w:color w:val="auto"/>
                <w:sz w:val="24"/>
                <w:highlight w:val="none"/>
              </w:rPr>
              <w:t>名称</w:t>
            </w:r>
          </w:p>
        </w:tc>
        <w:tc>
          <w:tcPr>
            <w:tcW w:w="3482" w:type="pct"/>
            <w:tcBorders>
              <w:left w:val="single" w:color="auto" w:sz="4" w:space="0"/>
            </w:tcBorders>
            <w:noWrap w:val="0"/>
            <w:vAlign w:val="top"/>
          </w:tcPr>
          <w:p w14:paraId="2A774ED5">
            <w:pPr>
              <w:spacing w:line="360" w:lineRule="auto"/>
              <w:rPr>
                <w:rFonts w:hint="eastAsia" w:ascii="宋体" w:hAnsi="宋体" w:eastAsia="宋体" w:cs="宋体"/>
                <w:b/>
                <w:color w:val="auto"/>
                <w:sz w:val="24"/>
                <w:highlight w:val="none"/>
              </w:rPr>
            </w:pPr>
          </w:p>
        </w:tc>
      </w:tr>
      <w:tr w14:paraId="4539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17" w:type="pct"/>
            <w:tcBorders>
              <w:top w:val="single" w:color="auto" w:sz="4" w:space="0"/>
              <w:left w:val="single" w:color="auto" w:sz="4" w:space="0"/>
              <w:bottom w:val="single" w:color="auto" w:sz="4" w:space="0"/>
              <w:right w:val="single" w:color="auto" w:sz="4" w:space="0"/>
            </w:tcBorders>
            <w:noWrap w:val="0"/>
            <w:vAlign w:val="center"/>
          </w:tcPr>
          <w:p w14:paraId="06381626">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范围</w:t>
            </w:r>
          </w:p>
        </w:tc>
        <w:tc>
          <w:tcPr>
            <w:tcW w:w="3482" w:type="pct"/>
            <w:tcBorders>
              <w:left w:val="single" w:color="auto" w:sz="4" w:space="0"/>
            </w:tcBorders>
            <w:noWrap w:val="0"/>
            <w:vAlign w:val="center"/>
          </w:tcPr>
          <w:p w14:paraId="0682FD25">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28"/>
                <w:highlight w:val="none"/>
              </w:rPr>
              <w:t xml:space="preserve">全部 </w:t>
            </w:r>
          </w:p>
        </w:tc>
      </w:tr>
      <w:tr w14:paraId="3FBE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17" w:type="pct"/>
            <w:tcBorders>
              <w:top w:val="single" w:color="auto" w:sz="4" w:space="0"/>
            </w:tcBorders>
            <w:noWrap w:val="0"/>
            <w:vAlign w:val="center"/>
          </w:tcPr>
          <w:p w14:paraId="1D6729E2">
            <w:pPr>
              <w:spacing w:line="360" w:lineRule="auto"/>
              <w:jc w:val="center"/>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报价</w:t>
            </w:r>
          </w:p>
        </w:tc>
        <w:tc>
          <w:tcPr>
            <w:tcW w:w="3482" w:type="pct"/>
            <w:noWrap w:val="0"/>
            <w:vAlign w:val="center"/>
          </w:tcPr>
          <w:p w14:paraId="46A82E35">
            <w:pPr>
              <w:snapToGrid w:val="0"/>
              <w:spacing w:line="360" w:lineRule="auto"/>
              <w:rPr>
                <w:rFonts w:hint="default" w:ascii="宋体" w:hAnsi="宋体"/>
                <w:b w:val="0"/>
                <w:bCs/>
                <w:color w:val="auto"/>
                <w:sz w:val="24"/>
                <w:highlight w:val="none"/>
                <w:u w:val="none"/>
                <w:lang w:val="en-US" w:eastAsia="zh-CN"/>
              </w:rPr>
            </w:pPr>
            <w:r>
              <w:rPr>
                <w:rFonts w:hint="eastAsia" w:ascii="宋体" w:hAnsi="宋体"/>
                <w:b w:val="0"/>
                <w:bCs/>
                <w:color w:val="auto"/>
                <w:sz w:val="24"/>
                <w:highlight w:val="none"/>
                <w:u w:val="none"/>
                <w:lang w:val="en-US" w:eastAsia="zh-CN"/>
              </w:rPr>
              <w:t>人民币大写</w:t>
            </w:r>
            <w:r>
              <w:rPr>
                <w:rFonts w:hint="eastAsia" w:ascii="宋体" w:hAnsi="宋体"/>
                <w:b w:val="0"/>
                <w:bCs/>
                <w:color w:val="auto"/>
                <w:sz w:val="24"/>
                <w:highlight w:val="none"/>
                <w:u w:val="single"/>
                <w:lang w:val="en-US" w:eastAsia="zh-CN"/>
              </w:rPr>
              <w:t xml:space="preserve">          </w:t>
            </w:r>
          </w:p>
          <w:p w14:paraId="30AA42B8">
            <w:pPr>
              <w:snapToGrid w:val="0"/>
              <w:spacing w:line="360" w:lineRule="auto"/>
              <w:rPr>
                <w:rFonts w:hint="default" w:ascii="宋体" w:hAnsi="宋体"/>
                <w:b/>
                <w:bCs w:val="0"/>
                <w:color w:val="auto"/>
                <w:sz w:val="24"/>
                <w:highlight w:val="none"/>
                <w:u w:val="none"/>
                <w:lang w:val="en-US" w:eastAsia="zh-CN"/>
              </w:rPr>
            </w:pPr>
            <w:r>
              <w:rPr>
                <w:rFonts w:hint="eastAsia" w:ascii="宋体" w:hAnsi="宋体"/>
                <w:b w:val="0"/>
                <w:bCs/>
                <w:color w:val="auto"/>
                <w:sz w:val="24"/>
                <w:highlight w:val="none"/>
                <w:u w:val="none"/>
                <w:lang w:val="en-US" w:eastAsia="zh-CN"/>
              </w:rPr>
              <w:t>人民币小写</w:t>
            </w:r>
            <w:r>
              <w:rPr>
                <w:rFonts w:hint="eastAsia" w:ascii="宋体" w:hAnsi="宋体"/>
                <w:b w:val="0"/>
                <w:bCs/>
                <w:color w:val="auto"/>
                <w:sz w:val="24"/>
                <w:highlight w:val="none"/>
                <w:u w:val="single"/>
                <w:lang w:val="en-US" w:eastAsia="zh-CN"/>
              </w:rPr>
              <w:t xml:space="preserve">          </w:t>
            </w:r>
          </w:p>
        </w:tc>
      </w:tr>
      <w:tr w14:paraId="1FE7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517" w:type="pct"/>
            <w:noWrap w:val="0"/>
            <w:vAlign w:val="center"/>
          </w:tcPr>
          <w:p w14:paraId="47749023">
            <w:pPr>
              <w:spacing w:line="360" w:lineRule="auto"/>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备注说明</w:t>
            </w:r>
          </w:p>
        </w:tc>
        <w:tc>
          <w:tcPr>
            <w:tcW w:w="3482" w:type="pct"/>
            <w:noWrap w:val="0"/>
            <w:vAlign w:val="top"/>
          </w:tcPr>
          <w:p w14:paraId="759F9B97">
            <w:pPr>
              <w:spacing w:line="360" w:lineRule="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本项目无二次报价</w:t>
            </w:r>
          </w:p>
        </w:tc>
      </w:tr>
    </w:tbl>
    <w:p w14:paraId="0B248C24">
      <w:pPr>
        <w:spacing w:line="360" w:lineRule="auto"/>
        <w:ind w:firstLine="4560" w:firstLineChars="1900"/>
        <w:rPr>
          <w:rFonts w:hint="eastAsia" w:ascii="宋体" w:hAnsi="宋体" w:eastAsia="宋体" w:cs="宋体"/>
          <w:color w:val="auto"/>
          <w:sz w:val="24"/>
          <w:highlight w:val="none"/>
        </w:rPr>
      </w:pPr>
    </w:p>
    <w:p w14:paraId="1C41F8AB">
      <w:pPr>
        <w:spacing w:line="360" w:lineRule="auto"/>
        <w:ind w:firstLine="4560" w:firstLineChars="19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签章：</w:t>
      </w:r>
      <w:r>
        <w:rPr>
          <w:rFonts w:hint="eastAsia" w:ascii="宋体" w:hAnsi="宋体" w:eastAsia="宋体" w:cs="宋体"/>
          <w:color w:val="auto"/>
          <w:sz w:val="24"/>
          <w:highlight w:val="none"/>
          <w:u w:val="single"/>
        </w:rPr>
        <w:t xml:space="preserve">                </w:t>
      </w:r>
    </w:p>
    <w:p w14:paraId="3851EAEC">
      <w:pPr>
        <w:spacing w:line="360" w:lineRule="auto"/>
        <w:ind w:firstLine="4560" w:firstLineChars="19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0EB3D4F">
      <w:pPr>
        <w:adjustRightInd w:val="0"/>
        <w:snapToGrid w:val="0"/>
        <w:spacing w:line="360" w:lineRule="auto"/>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注：</w:t>
      </w:r>
    </w:p>
    <w:p w14:paraId="7041BF51">
      <w:pPr>
        <w:adjustRightInd w:val="0"/>
        <w:snapToGrid w:val="0"/>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szCs w:val="28"/>
          <w:highlight w:val="none"/>
        </w:rPr>
        <w:t>1.本表内容根据</w:t>
      </w:r>
      <w:r>
        <w:rPr>
          <w:rFonts w:hint="eastAsia" w:ascii="宋体" w:hAnsi="宋体"/>
          <w:b/>
          <w:bCs/>
          <w:color w:val="auto"/>
          <w:sz w:val="24"/>
          <w:szCs w:val="28"/>
          <w:highlight w:val="none"/>
          <w:lang w:val="en-US" w:eastAsia="zh-CN"/>
        </w:rPr>
        <w:t>谈判</w:t>
      </w:r>
      <w:r>
        <w:rPr>
          <w:rFonts w:hint="eastAsia" w:ascii="宋体" w:hAnsi="宋体" w:eastAsia="宋体"/>
          <w:b/>
          <w:bCs/>
          <w:color w:val="auto"/>
          <w:sz w:val="24"/>
          <w:szCs w:val="28"/>
          <w:highlight w:val="none"/>
        </w:rPr>
        <w:t>文件要求包括了</w:t>
      </w:r>
      <w:r>
        <w:rPr>
          <w:rFonts w:hint="eastAsia" w:ascii="宋体" w:hAnsi="宋体"/>
          <w:b/>
          <w:bCs/>
          <w:color w:val="auto"/>
          <w:sz w:val="24"/>
          <w:szCs w:val="28"/>
          <w:highlight w:val="none"/>
          <w:lang w:val="en-US" w:eastAsia="zh-CN"/>
        </w:rPr>
        <w:t>谈判</w:t>
      </w:r>
      <w:r>
        <w:rPr>
          <w:rFonts w:hint="eastAsia" w:ascii="宋体" w:hAnsi="宋体" w:eastAsia="宋体"/>
          <w:b/>
          <w:bCs/>
          <w:color w:val="auto"/>
          <w:sz w:val="24"/>
          <w:szCs w:val="28"/>
          <w:highlight w:val="none"/>
        </w:rPr>
        <w:t>文件要求提供的全部内容的所有费用。</w:t>
      </w:r>
    </w:p>
    <w:p w14:paraId="77BB67F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3F3D6775">
      <w:pPr>
        <w:adjustRightInd w:val="0"/>
        <w:snapToGrid w:val="0"/>
        <w:spacing w:line="360" w:lineRule="auto"/>
        <w:ind w:firstLine="480" w:firstLineChars="200"/>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w:t>
      </w:r>
      <w:r>
        <w:rPr>
          <w:rFonts w:hint="eastAsia" w:ascii="宋体" w:hAnsi="宋体" w:eastAsia="宋体"/>
          <w:b w:val="0"/>
          <w:bCs w:val="0"/>
          <w:color w:val="auto"/>
          <w:sz w:val="24"/>
          <w:szCs w:val="28"/>
          <w:highlight w:val="none"/>
          <w:lang w:eastAsia="zh-CN"/>
        </w:rPr>
        <w:t>参审单位</w:t>
      </w:r>
      <w:r>
        <w:rPr>
          <w:rFonts w:hint="eastAsia" w:ascii="宋体" w:hAnsi="宋体" w:eastAsia="宋体"/>
          <w:b w:val="0"/>
          <w:bCs w:val="0"/>
          <w:color w:val="auto"/>
          <w:sz w:val="24"/>
          <w:szCs w:val="28"/>
          <w:highlight w:val="none"/>
        </w:rPr>
        <w:t>应根据其响应文件中报价表的内容填写唱标信息，唱标信息不作为评审的依据。唱标信息与报价表不一致的，</w:t>
      </w:r>
      <w:r>
        <w:rPr>
          <w:rFonts w:ascii="宋体" w:hAnsi="宋体" w:eastAsia="宋体"/>
          <w:b w:val="0"/>
          <w:bCs w:val="0"/>
          <w:color w:val="auto"/>
          <w:sz w:val="24"/>
          <w:szCs w:val="28"/>
          <w:highlight w:val="none"/>
        </w:rPr>
        <w:t>以</w:t>
      </w:r>
      <w:r>
        <w:rPr>
          <w:rFonts w:hint="eastAsia" w:ascii="宋体" w:hAnsi="宋体" w:eastAsia="宋体"/>
          <w:b w:val="0"/>
          <w:bCs w:val="0"/>
          <w:color w:val="auto"/>
          <w:sz w:val="24"/>
          <w:szCs w:val="28"/>
          <w:highlight w:val="none"/>
        </w:rPr>
        <w:t>报价表为准。</w:t>
      </w:r>
    </w:p>
    <w:p w14:paraId="1310F89E">
      <w:pPr>
        <w:spacing w:before="156" w:beforeLines="50" w:after="156" w:afterLines="50" w:line="360" w:lineRule="auto"/>
        <w:ind w:firstLine="236" w:firstLineChars="98"/>
        <w:jc w:val="both"/>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color w:val="auto"/>
          <w:sz w:val="24"/>
          <w:highlight w:val="none"/>
        </w:rPr>
        <w:br w:type="page"/>
      </w:r>
    </w:p>
    <w:p w14:paraId="43E6652D">
      <w:pPr>
        <w:spacing w:before="156" w:beforeLines="50" w:after="156" w:afterLines="50" w:line="360" w:lineRule="auto"/>
        <w:ind w:firstLine="275" w:firstLineChars="98"/>
        <w:jc w:val="center"/>
        <w:rPr>
          <w:rFonts w:hint="eastAsia" w:ascii="宋体" w:hAnsi="宋体" w:eastAsia="宋体" w:cs="宋体"/>
          <w:b/>
          <w:bCs w:val="0"/>
          <w:color w:val="auto"/>
          <w:kern w:val="2"/>
          <w:sz w:val="28"/>
          <w:szCs w:val="28"/>
          <w:highlight w:val="none"/>
          <w:lang w:val="en-US" w:eastAsia="zh-CN" w:bidi="ar-SA"/>
        </w:rPr>
      </w:pPr>
      <w:bookmarkStart w:id="123" w:name="_Toc11077"/>
      <w:bookmarkStart w:id="124" w:name="_Toc11651"/>
      <w:bookmarkStart w:id="125" w:name="_Toc522466835"/>
      <w:r>
        <w:rPr>
          <w:rFonts w:hint="eastAsia" w:ascii="宋体" w:hAnsi="宋体" w:eastAsia="宋体" w:cs="宋体"/>
          <w:b/>
          <w:bCs/>
          <w:color w:val="auto"/>
          <w:sz w:val="28"/>
          <w:highlight w:val="none"/>
          <w:lang w:val="en-US" w:eastAsia="zh-CN"/>
        </w:rPr>
        <w:t>三</w:t>
      </w:r>
      <w:r>
        <w:rPr>
          <w:rFonts w:hint="eastAsia" w:ascii="宋体" w:hAnsi="宋体" w:eastAsia="宋体" w:cs="宋体"/>
          <w:b/>
          <w:bCs/>
          <w:color w:val="auto"/>
          <w:sz w:val="28"/>
          <w:highlight w:val="none"/>
        </w:rPr>
        <w:t>．</w:t>
      </w:r>
      <w:bookmarkEnd w:id="123"/>
      <w:r>
        <w:rPr>
          <w:rFonts w:hint="eastAsia" w:ascii="宋体" w:hAnsi="宋体" w:cs="宋体"/>
          <w:b/>
          <w:bCs w:val="0"/>
          <w:color w:val="auto"/>
          <w:kern w:val="2"/>
          <w:sz w:val="28"/>
          <w:szCs w:val="28"/>
          <w:highlight w:val="none"/>
          <w:lang w:val="en-US" w:eastAsia="zh-CN" w:bidi="ar-SA"/>
        </w:rPr>
        <w:t>参审单位</w:t>
      </w:r>
      <w:r>
        <w:rPr>
          <w:rFonts w:hint="eastAsia" w:ascii="宋体" w:hAnsi="宋体" w:eastAsia="宋体" w:cs="宋体"/>
          <w:b/>
          <w:bCs w:val="0"/>
          <w:color w:val="auto"/>
          <w:kern w:val="2"/>
          <w:sz w:val="28"/>
          <w:szCs w:val="28"/>
          <w:highlight w:val="none"/>
          <w:lang w:val="en-US" w:eastAsia="zh-CN" w:bidi="ar-SA"/>
        </w:rPr>
        <w:t>情况综合简介</w:t>
      </w:r>
      <w:bookmarkEnd w:id="124"/>
      <w:bookmarkEnd w:id="125"/>
    </w:p>
    <w:p w14:paraId="02FF24CE">
      <w:pPr>
        <w:spacing w:line="5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可自行制作格式</w:t>
      </w:r>
      <w:r>
        <w:rPr>
          <w:rFonts w:hint="eastAsia" w:ascii="宋体" w:hAnsi="宋体" w:cs="宋体"/>
          <w:color w:val="auto"/>
          <w:sz w:val="24"/>
          <w:highlight w:val="none"/>
          <w:lang w:eastAsia="zh-CN"/>
        </w:rPr>
        <w:t>）</w:t>
      </w:r>
    </w:p>
    <w:p w14:paraId="20544003">
      <w:pPr>
        <w:spacing w:line="500" w:lineRule="exact"/>
        <w:jc w:val="center"/>
        <w:rPr>
          <w:rFonts w:hint="eastAsia" w:ascii="宋体" w:hAnsi="宋体" w:eastAsia="宋体" w:cs="宋体"/>
          <w:color w:val="auto"/>
          <w:sz w:val="28"/>
          <w:highlight w:val="none"/>
        </w:rPr>
      </w:pPr>
    </w:p>
    <w:p w14:paraId="5694550B">
      <w:pPr>
        <w:spacing w:line="500" w:lineRule="exact"/>
        <w:jc w:val="center"/>
        <w:rPr>
          <w:rFonts w:hint="eastAsia" w:ascii="宋体" w:hAnsi="宋体" w:eastAsia="宋体" w:cs="宋体"/>
          <w:color w:val="auto"/>
          <w:sz w:val="28"/>
          <w:highlight w:val="none"/>
        </w:rPr>
      </w:pPr>
    </w:p>
    <w:p w14:paraId="547985F8">
      <w:pPr>
        <w:spacing w:line="500" w:lineRule="exact"/>
        <w:jc w:val="center"/>
        <w:rPr>
          <w:rFonts w:hint="eastAsia" w:ascii="宋体" w:hAnsi="宋体" w:eastAsia="宋体" w:cs="宋体"/>
          <w:color w:val="auto"/>
          <w:sz w:val="28"/>
          <w:highlight w:val="none"/>
        </w:rPr>
      </w:pPr>
    </w:p>
    <w:p w14:paraId="7D04D577">
      <w:pPr>
        <w:spacing w:line="500" w:lineRule="exact"/>
        <w:jc w:val="center"/>
        <w:rPr>
          <w:rFonts w:hint="eastAsia" w:ascii="宋体" w:hAnsi="宋体" w:eastAsia="宋体" w:cs="宋体"/>
          <w:color w:val="auto"/>
          <w:sz w:val="28"/>
          <w:highlight w:val="none"/>
        </w:rPr>
      </w:pPr>
    </w:p>
    <w:p w14:paraId="44E7A064">
      <w:pPr>
        <w:spacing w:line="500" w:lineRule="exact"/>
        <w:jc w:val="center"/>
        <w:rPr>
          <w:rFonts w:hint="eastAsia" w:ascii="宋体" w:hAnsi="宋体" w:eastAsia="宋体" w:cs="宋体"/>
          <w:color w:val="auto"/>
          <w:sz w:val="28"/>
          <w:highlight w:val="none"/>
        </w:rPr>
      </w:pPr>
    </w:p>
    <w:p w14:paraId="28407FA1">
      <w:pPr>
        <w:spacing w:line="500" w:lineRule="exact"/>
        <w:jc w:val="center"/>
        <w:rPr>
          <w:rFonts w:hint="eastAsia" w:ascii="宋体" w:hAnsi="宋体" w:eastAsia="宋体" w:cs="宋体"/>
          <w:color w:val="auto"/>
          <w:sz w:val="28"/>
          <w:highlight w:val="none"/>
        </w:rPr>
      </w:pPr>
    </w:p>
    <w:p w14:paraId="091F549F">
      <w:pPr>
        <w:spacing w:line="500" w:lineRule="exact"/>
        <w:jc w:val="center"/>
        <w:rPr>
          <w:rFonts w:hint="eastAsia" w:ascii="宋体" w:hAnsi="宋体" w:eastAsia="宋体" w:cs="宋体"/>
          <w:color w:val="auto"/>
          <w:sz w:val="28"/>
          <w:highlight w:val="none"/>
        </w:rPr>
      </w:pPr>
    </w:p>
    <w:p w14:paraId="3FE86DC0">
      <w:pPr>
        <w:spacing w:line="500" w:lineRule="exact"/>
        <w:jc w:val="center"/>
        <w:rPr>
          <w:rFonts w:hint="eastAsia" w:ascii="宋体" w:hAnsi="宋体" w:eastAsia="宋体" w:cs="宋体"/>
          <w:color w:val="auto"/>
          <w:sz w:val="28"/>
          <w:highlight w:val="none"/>
        </w:rPr>
      </w:pPr>
    </w:p>
    <w:p w14:paraId="48C6B91A">
      <w:pPr>
        <w:spacing w:line="500" w:lineRule="exact"/>
        <w:jc w:val="center"/>
        <w:rPr>
          <w:rFonts w:hint="eastAsia" w:ascii="宋体" w:hAnsi="宋体" w:eastAsia="宋体" w:cs="宋体"/>
          <w:color w:val="auto"/>
          <w:sz w:val="28"/>
          <w:highlight w:val="none"/>
        </w:rPr>
      </w:pPr>
    </w:p>
    <w:p w14:paraId="40A500A3">
      <w:pPr>
        <w:spacing w:line="500" w:lineRule="exact"/>
        <w:jc w:val="center"/>
        <w:rPr>
          <w:rFonts w:hint="eastAsia" w:ascii="宋体" w:hAnsi="宋体" w:eastAsia="宋体" w:cs="宋体"/>
          <w:color w:val="auto"/>
          <w:sz w:val="28"/>
          <w:highlight w:val="none"/>
        </w:rPr>
      </w:pPr>
    </w:p>
    <w:p w14:paraId="26B8C473">
      <w:pPr>
        <w:spacing w:line="500" w:lineRule="exact"/>
        <w:jc w:val="center"/>
        <w:rPr>
          <w:rFonts w:hint="eastAsia" w:ascii="宋体" w:hAnsi="宋体" w:eastAsia="宋体" w:cs="宋体"/>
          <w:color w:val="auto"/>
          <w:sz w:val="28"/>
          <w:highlight w:val="none"/>
        </w:rPr>
      </w:pPr>
    </w:p>
    <w:p w14:paraId="60F0ECA5">
      <w:pPr>
        <w:spacing w:line="500" w:lineRule="exact"/>
        <w:jc w:val="center"/>
        <w:rPr>
          <w:rFonts w:hint="eastAsia" w:ascii="宋体" w:hAnsi="宋体" w:eastAsia="宋体" w:cs="宋体"/>
          <w:color w:val="auto"/>
          <w:sz w:val="28"/>
          <w:highlight w:val="none"/>
        </w:rPr>
      </w:pPr>
    </w:p>
    <w:p w14:paraId="6B13A222">
      <w:pPr>
        <w:spacing w:line="500" w:lineRule="exact"/>
        <w:jc w:val="center"/>
        <w:rPr>
          <w:rFonts w:hint="eastAsia" w:ascii="宋体" w:hAnsi="宋体" w:eastAsia="宋体" w:cs="宋体"/>
          <w:color w:val="auto"/>
          <w:sz w:val="28"/>
          <w:highlight w:val="none"/>
        </w:rPr>
      </w:pPr>
    </w:p>
    <w:p w14:paraId="78FA5501">
      <w:pPr>
        <w:spacing w:line="500" w:lineRule="exact"/>
        <w:jc w:val="center"/>
        <w:rPr>
          <w:rFonts w:hint="eastAsia" w:ascii="宋体" w:hAnsi="宋体" w:eastAsia="宋体" w:cs="宋体"/>
          <w:color w:val="auto"/>
          <w:sz w:val="28"/>
          <w:highlight w:val="none"/>
        </w:rPr>
      </w:pPr>
    </w:p>
    <w:p w14:paraId="12587DF1">
      <w:pPr>
        <w:spacing w:line="500" w:lineRule="exact"/>
        <w:jc w:val="center"/>
        <w:rPr>
          <w:rFonts w:hint="eastAsia" w:ascii="宋体" w:hAnsi="宋体" w:eastAsia="宋体" w:cs="宋体"/>
          <w:color w:val="auto"/>
          <w:sz w:val="28"/>
          <w:highlight w:val="none"/>
        </w:rPr>
      </w:pPr>
    </w:p>
    <w:p w14:paraId="08C10DF5">
      <w:pPr>
        <w:spacing w:line="500" w:lineRule="exact"/>
        <w:jc w:val="center"/>
        <w:rPr>
          <w:rFonts w:hint="eastAsia" w:ascii="宋体" w:hAnsi="宋体" w:eastAsia="宋体" w:cs="宋体"/>
          <w:color w:val="auto"/>
          <w:sz w:val="28"/>
          <w:highlight w:val="none"/>
        </w:rPr>
      </w:pPr>
    </w:p>
    <w:p w14:paraId="6237F0BE">
      <w:pPr>
        <w:spacing w:line="500" w:lineRule="exact"/>
        <w:jc w:val="center"/>
        <w:rPr>
          <w:rFonts w:hint="eastAsia" w:ascii="宋体" w:hAnsi="宋体" w:eastAsia="宋体" w:cs="宋体"/>
          <w:color w:val="auto"/>
          <w:sz w:val="28"/>
          <w:highlight w:val="none"/>
        </w:rPr>
      </w:pPr>
    </w:p>
    <w:p w14:paraId="6CF6EED7">
      <w:pPr>
        <w:spacing w:line="500" w:lineRule="exact"/>
        <w:jc w:val="center"/>
        <w:rPr>
          <w:rFonts w:hint="eastAsia" w:ascii="宋体" w:hAnsi="宋体" w:eastAsia="宋体" w:cs="宋体"/>
          <w:color w:val="auto"/>
          <w:sz w:val="28"/>
          <w:highlight w:val="none"/>
        </w:rPr>
      </w:pPr>
    </w:p>
    <w:p w14:paraId="09202898">
      <w:pPr>
        <w:spacing w:line="500" w:lineRule="exact"/>
        <w:jc w:val="center"/>
        <w:rPr>
          <w:rFonts w:hint="eastAsia" w:ascii="宋体" w:hAnsi="宋体" w:eastAsia="宋体" w:cs="宋体"/>
          <w:color w:val="auto"/>
          <w:sz w:val="28"/>
          <w:highlight w:val="none"/>
        </w:rPr>
      </w:pPr>
    </w:p>
    <w:p w14:paraId="2380CA70">
      <w:pPr>
        <w:spacing w:line="500" w:lineRule="exact"/>
        <w:jc w:val="center"/>
        <w:rPr>
          <w:rFonts w:hint="eastAsia" w:ascii="宋体" w:hAnsi="宋体" w:eastAsia="宋体" w:cs="宋体"/>
          <w:color w:val="auto"/>
          <w:sz w:val="28"/>
          <w:highlight w:val="none"/>
        </w:rPr>
      </w:pPr>
    </w:p>
    <w:p w14:paraId="5F062A47">
      <w:pPr>
        <w:spacing w:line="500" w:lineRule="exact"/>
        <w:jc w:val="center"/>
        <w:rPr>
          <w:rFonts w:hint="eastAsia" w:ascii="宋体" w:hAnsi="宋体" w:eastAsia="宋体" w:cs="宋体"/>
          <w:color w:val="auto"/>
          <w:sz w:val="28"/>
          <w:highlight w:val="none"/>
        </w:rPr>
      </w:pPr>
    </w:p>
    <w:p w14:paraId="3A4D3ED5">
      <w:pPr>
        <w:spacing w:line="500" w:lineRule="exact"/>
        <w:jc w:val="center"/>
        <w:rPr>
          <w:rFonts w:hint="eastAsia" w:ascii="宋体" w:hAnsi="宋体" w:eastAsia="宋体" w:cs="宋体"/>
          <w:color w:val="auto"/>
          <w:sz w:val="28"/>
          <w:highlight w:val="none"/>
        </w:rPr>
      </w:pPr>
    </w:p>
    <w:p w14:paraId="077BE782">
      <w:pPr>
        <w:spacing w:line="500" w:lineRule="exact"/>
        <w:jc w:val="center"/>
        <w:rPr>
          <w:rFonts w:hint="eastAsia" w:ascii="宋体" w:hAnsi="宋体" w:eastAsia="宋体" w:cs="宋体"/>
          <w:color w:val="auto"/>
          <w:sz w:val="28"/>
          <w:highlight w:val="none"/>
        </w:rPr>
      </w:pPr>
    </w:p>
    <w:p w14:paraId="28736414">
      <w:pPr>
        <w:spacing w:line="500" w:lineRule="exact"/>
        <w:jc w:val="center"/>
        <w:rPr>
          <w:rFonts w:hint="eastAsia" w:ascii="宋体" w:hAnsi="宋体" w:eastAsia="宋体" w:cs="宋体"/>
          <w:color w:val="auto"/>
          <w:sz w:val="28"/>
          <w:highlight w:val="none"/>
        </w:rPr>
      </w:pPr>
    </w:p>
    <w:p w14:paraId="572A5167">
      <w:pPr>
        <w:spacing w:before="156" w:beforeLines="50" w:after="156" w:afterLines="50" w:line="360" w:lineRule="auto"/>
        <w:ind w:firstLine="294" w:firstLineChars="98"/>
        <w:jc w:val="center"/>
        <w:rPr>
          <w:rFonts w:hint="eastAsia" w:ascii="宋体" w:hAnsi="宋体" w:eastAsia="宋体" w:cs="宋体"/>
          <w:b/>
          <w:bCs w:val="0"/>
          <w:color w:val="auto"/>
          <w:kern w:val="2"/>
          <w:sz w:val="24"/>
          <w:szCs w:val="28"/>
          <w:highlight w:val="none"/>
          <w:lang w:val="en-US" w:eastAsia="zh-CN" w:bidi="ar-SA"/>
        </w:rPr>
      </w:pPr>
      <w:r>
        <w:rPr>
          <w:rFonts w:hint="eastAsia" w:ascii="宋体" w:hAnsi="宋体" w:eastAsia="宋体" w:cs="宋体"/>
          <w:b w:val="0"/>
          <w:bCs w:val="0"/>
          <w:color w:val="auto"/>
          <w:sz w:val="30"/>
          <w:highlight w:val="none"/>
        </w:rPr>
        <w:br w:type="page"/>
      </w:r>
      <w:bookmarkStart w:id="126" w:name="_Toc516969098"/>
      <w:bookmarkStart w:id="127" w:name="_Toc19621"/>
      <w:bookmarkStart w:id="128" w:name="_Toc496587829"/>
      <w:r>
        <w:rPr>
          <w:rFonts w:hint="eastAsia" w:ascii="宋体" w:hAnsi="宋体" w:cs="宋体"/>
          <w:b/>
          <w:bCs w:val="0"/>
          <w:color w:val="auto"/>
          <w:kern w:val="2"/>
          <w:sz w:val="28"/>
          <w:szCs w:val="28"/>
          <w:highlight w:val="none"/>
          <w:lang w:val="en-US" w:eastAsia="zh-CN" w:bidi="ar-SA"/>
        </w:rPr>
        <w:t>四</w:t>
      </w:r>
      <w:r>
        <w:rPr>
          <w:rFonts w:hint="eastAsia" w:ascii="宋体" w:hAnsi="宋体" w:eastAsia="宋体" w:cs="宋体"/>
          <w:b/>
          <w:bCs w:val="0"/>
          <w:color w:val="auto"/>
          <w:kern w:val="2"/>
          <w:sz w:val="28"/>
          <w:szCs w:val="28"/>
          <w:highlight w:val="none"/>
          <w:lang w:val="en-US" w:eastAsia="zh-CN" w:bidi="ar-SA"/>
        </w:rPr>
        <w:t>．</w:t>
      </w:r>
      <w:r>
        <w:rPr>
          <w:rFonts w:hint="eastAsia" w:ascii="宋体" w:hAnsi="宋体" w:cs="宋体"/>
          <w:b/>
          <w:bCs w:val="0"/>
          <w:color w:val="auto"/>
          <w:kern w:val="2"/>
          <w:sz w:val="28"/>
          <w:szCs w:val="28"/>
          <w:highlight w:val="none"/>
          <w:lang w:val="en-US" w:eastAsia="zh-CN" w:bidi="ar-SA"/>
        </w:rPr>
        <w:t>响应</w:t>
      </w:r>
      <w:r>
        <w:rPr>
          <w:rFonts w:hint="eastAsia" w:ascii="宋体" w:hAnsi="宋体" w:eastAsia="宋体" w:cs="宋体"/>
          <w:b/>
          <w:bCs w:val="0"/>
          <w:color w:val="auto"/>
          <w:kern w:val="2"/>
          <w:sz w:val="28"/>
          <w:szCs w:val="28"/>
          <w:highlight w:val="none"/>
          <w:lang w:val="en-US" w:eastAsia="zh-CN" w:bidi="ar-SA"/>
        </w:rPr>
        <w:t>函</w:t>
      </w:r>
      <w:bookmarkEnd w:id="126"/>
      <w:bookmarkEnd w:id="127"/>
      <w:bookmarkEnd w:id="128"/>
    </w:p>
    <w:p w14:paraId="2E9C9003">
      <w:pPr>
        <w:pStyle w:val="11"/>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肥西县公共资源交易有限责任公司</w:t>
      </w:r>
    </w:p>
    <w:p w14:paraId="115EAE73">
      <w:pPr>
        <w:pStyle w:val="11"/>
        <w:spacing w:line="360" w:lineRule="auto"/>
        <w:ind w:firstLine="602" w:firstLineChars="2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肥西县教育体育局</w:t>
      </w:r>
    </w:p>
    <w:p w14:paraId="444A4741">
      <w:pPr>
        <w:spacing w:line="360" w:lineRule="auto"/>
        <w:ind w:firstLine="480" w:firstLineChars="200"/>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cs="宋体"/>
          <w:b/>
          <w:bCs/>
          <w:color w:val="auto"/>
          <w:sz w:val="24"/>
          <w:szCs w:val="24"/>
          <w:highlight w:val="none"/>
          <w:u w:val="single"/>
          <w:lang w:eastAsia="zh-CN"/>
        </w:rPr>
        <w:t>紫云湖小学扩建项目第三方检测</w:t>
      </w:r>
      <w:r>
        <w:rPr>
          <w:rFonts w:hint="eastAsia" w:ascii="宋体" w:hAnsi="宋体" w:eastAsia="宋体" w:cs="宋体"/>
          <w:color w:val="auto"/>
          <w:sz w:val="24"/>
          <w:szCs w:val="24"/>
          <w:highlight w:val="none"/>
        </w:rPr>
        <w:t>”的第</w:t>
      </w:r>
      <w:r>
        <w:rPr>
          <w:rFonts w:hint="eastAsia" w:ascii="宋体" w:hAnsi="宋体" w:cs="宋体"/>
          <w:b/>
          <w:color w:val="auto"/>
          <w:kern w:val="0"/>
          <w:sz w:val="24"/>
          <w:szCs w:val="24"/>
          <w:highlight w:val="none"/>
          <w:u w:val="single"/>
          <w:lang w:val="zh-CN"/>
        </w:rPr>
        <w:t>2026PHBJ211</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邀请书或</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公告，我方提交规定形式的响应文件。</w:t>
      </w:r>
    </w:p>
    <w:p w14:paraId="09C70440">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据此函，我方兹宣布同意如下：</w:t>
      </w:r>
    </w:p>
    <w:p w14:paraId="1004A0B2">
      <w:pPr>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1.我方按</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文件规定提供服务的最终</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报价详见最终报价表，我方完全响应</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文件规定的服务期限及付款和结算方式。如我方</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，我方承诺愿意按</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文件规定交纳履约保证金、工程量清单和</w:t>
      </w:r>
      <w:bookmarkStart w:id="129" w:name="_Hlk2920264"/>
      <w:r>
        <w:rPr>
          <w:rFonts w:hint="eastAsia" w:ascii="宋体" w:hAnsi="宋体" w:eastAsia="宋体" w:cs="宋体"/>
          <w:color w:val="auto"/>
          <w:sz w:val="24"/>
          <w:szCs w:val="24"/>
          <w:highlight w:val="none"/>
        </w:rPr>
        <w:t>最高限价（控制价）</w:t>
      </w:r>
      <w:bookmarkEnd w:id="129"/>
      <w:r>
        <w:rPr>
          <w:rFonts w:hint="eastAsia" w:ascii="宋体" w:hAnsi="宋体" w:eastAsia="宋体" w:cs="宋体"/>
          <w:color w:val="auto"/>
          <w:sz w:val="24"/>
          <w:szCs w:val="24"/>
          <w:highlight w:val="none"/>
        </w:rPr>
        <w:t>编制费（如有）以及代理服务费。</w:t>
      </w:r>
    </w:p>
    <w:p w14:paraId="57E4E068">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文件的规定，严格履行合同的责任和义务,并保证于买方要求的日期内完成服务，并通过买方验收。</w:t>
      </w:r>
    </w:p>
    <w:p w14:paraId="081EE68C">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3.我方承诺报价低于同类服务的市场平均价格。</w:t>
      </w:r>
    </w:p>
    <w:p w14:paraId="6FE8D228">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4.我方已详细审核全部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文件，包括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文件的答疑、澄清、变更或补充（如有），参考资料及有关附件，我方正式认可并遵守本次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文件，并对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文件各项条款（包括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时间）、规定及要求均无异议。我方知道必须放弃提出含糊不清或误解的问题的权利。</w:t>
      </w:r>
    </w:p>
    <w:p w14:paraId="09EC6550">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日期起遵循本响应文件，并在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有效期之前均具有约束力。</w:t>
      </w:r>
    </w:p>
    <w:p w14:paraId="2EC50D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6.我方承诺如</w:t>
      </w:r>
      <w:r>
        <w:rPr>
          <w:rFonts w:hint="eastAsia" w:ascii="宋体" w:hAnsi="宋体" w:eastAsia="宋体" w:cs="宋体"/>
          <w:snapToGrid w:val="0"/>
          <w:color w:val="auto"/>
          <w:kern w:val="0"/>
          <w:sz w:val="24"/>
          <w:szCs w:val="24"/>
          <w:highlight w:val="none"/>
          <w:lang w:eastAsia="zh-CN"/>
        </w:rPr>
        <w:t>谈判</w:t>
      </w:r>
      <w:r>
        <w:rPr>
          <w:rFonts w:hint="eastAsia" w:ascii="宋体" w:hAnsi="宋体" w:eastAsia="宋体" w:cs="宋体"/>
          <w:color w:val="auto"/>
          <w:sz w:val="24"/>
          <w:szCs w:val="24"/>
          <w:highlight w:val="none"/>
        </w:rPr>
        <w:t>保证金未按</w:t>
      </w:r>
      <w:r>
        <w:rPr>
          <w:rFonts w:hint="eastAsia" w:ascii="宋体" w:hAnsi="宋体" w:eastAsia="宋体" w:cs="宋体"/>
          <w:snapToGrid w:val="0"/>
          <w:color w:val="auto"/>
          <w:kern w:val="0"/>
          <w:sz w:val="24"/>
          <w:szCs w:val="24"/>
          <w:highlight w:val="none"/>
          <w:lang w:eastAsia="zh-CN"/>
        </w:rPr>
        <w:t>谈判</w:t>
      </w:r>
      <w:r>
        <w:rPr>
          <w:rFonts w:hint="eastAsia" w:ascii="宋体" w:hAnsi="宋体" w:eastAsia="宋体" w:cs="宋体"/>
          <w:color w:val="auto"/>
          <w:sz w:val="24"/>
          <w:szCs w:val="24"/>
          <w:highlight w:val="none"/>
        </w:rPr>
        <w:t>文件规定递交，我方</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无效，由此产生的一切后果由我方承担；如果在开标后规定的</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有效期内撤回</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，我方的</w:t>
      </w:r>
      <w:r>
        <w:rPr>
          <w:rFonts w:hint="eastAsia" w:ascii="宋体" w:hAnsi="宋体" w:eastAsia="宋体" w:cs="宋体"/>
          <w:snapToGrid w:val="0"/>
          <w:color w:val="auto"/>
          <w:kern w:val="0"/>
          <w:sz w:val="24"/>
          <w:szCs w:val="24"/>
          <w:highlight w:val="none"/>
          <w:lang w:eastAsia="zh-CN"/>
        </w:rPr>
        <w:t>谈判</w:t>
      </w:r>
      <w:r>
        <w:rPr>
          <w:rFonts w:hint="eastAsia" w:ascii="宋体" w:hAnsi="宋体" w:eastAsia="宋体" w:cs="宋体"/>
          <w:color w:val="auto"/>
          <w:sz w:val="24"/>
          <w:szCs w:val="24"/>
          <w:highlight w:val="none"/>
        </w:rPr>
        <w:t>保证金贵方可不予退还。</w:t>
      </w:r>
    </w:p>
    <w:p w14:paraId="0136C476">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7.我方声明响应文件所提供的一切资料均真实无误、及时、有效。企业运营正常（注册登记信息、年报信息可查）。由于我方提供资料不实而造成的责任和后果由我方承担。我方同意按照贵方提出的要求，提供与</w:t>
      </w:r>
      <w:r>
        <w:rPr>
          <w:rFonts w:hint="eastAsia" w:ascii="宋体" w:hAnsi="宋体" w:cs="宋体"/>
          <w:color w:val="auto"/>
          <w:sz w:val="24"/>
          <w:szCs w:val="24"/>
          <w:highlight w:val="none"/>
          <w:lang w:val="en-US" w:eastAsia="zh-CN"/>
        </w:rPr>
        <w:t>参与谈判</w:t>
      </w:r>
      <w:r>
        <w:rPr>
          <w:rFonts w:hint="eastAsia" w:ascii="宋体" w:hAnsi="宋体" w:eastAsia="宋体" w:cs="宋体"/>
          <w:color w:val="auto"/>
          <w:sz w:val="24"/>
          <w:szCs w:val="24"/>
          <w:highlight w:val="none"/>
        </w:rPr>
        <w:t>有关的任何证据、数据或资料。</w:t>
      </w:r>
    </w:p>
    <w:p w14:paraId="639C1237">
      <w:pPr>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8.我方承诺若</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文件要求提供本地化服务。</w:t>
      </w:r>
    </w:p>
    <w:p w14:paraId="523D61C3">
      <w:pPr>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9.我方完全理解贵方不一定接受最低报价的</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452B80CB">
      <w:pPr>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10.我方承诺不存在第一章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邀请（</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公告）“二、</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资格”中“</w:t>
      </w:r>
      <w:r>
        <w:rPr>
          <w:rFonts w:hint="eastAsia" w:ascii="宋体" w:hAnsi="宋体" w:cs="宋体"/>
          <w:color w:val="auto"/>
          <w:sz w:val="24"/>
          <w:szCs w:val="24"/>
          <w:highlight w:val="none"/>
          <w:lang w:eastAsia="zh-CN"/>
        </w:rPr>
        <w:t>参审单位</w:t>
      </w:r>
      <w:r>
        <w:rPr>
          <w:rFonts w:hint="eastAsia" w:ascii="宋体" w:hAnsi="宋体" w:eastAsia="宋体" w:cs="宋体"/>
          <w:color w:val="auto"/>
          <w:sz w:val="24"/>
          <w:szCs w:val="24"/>
          <w:highlight w:val="none"/>
        </w:rPr>
        <w:t>存在以下不良信用记录情形”规定的任何一种情形。</w:t>
      </w:r>
    </w:p>
    <w:p w14:paraId="45329C20">
      <w:pPr>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11.若因我方联系不上或未在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小组规定时间内进行二轮报价的（不限于二轮报价）的，视同我方上一轮报价为最终报价。</w:t>
      </w:r>
    </w:p>
    <w:p w14:paraId="65FE0713">
      <w:pPr>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12.我方同意</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文件规定的付款方式及结算方式。</w:t>
      </w:r>
    </w:p>
    <w:p w14:paraId="6AAD8A46">
      <w:pPr>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13.在你方和我方进行合同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之前，我方将按照响应文件中填报人员及</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文件提出的最低要求填报派驻本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的其他管理和技术人员及主要机械设备，经你方审批后作为派驻</w:t>
      </w:r>
      <w:r>
        <w:rPr>
          <w:rFonts w:hint="eastAsia" w:ascii="宋体" w:hAnsi="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项目管理机构主要人员和主要设备且不进行更换。我方承诺除非</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文件另有约定，我方派驻本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的项目经理及项目管理机构主要人员均为我单位在职人员（不含外聘人员、返聘人员、临时聘用人员）。如我方拟派驻的人员和设备不满足合同附件要求，你方有权取消我方</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14:paraId="3EF10404">
      <w:pPr>
        <w:spacing w:line="360" w:lineRule="auto"/>
        <w:ind w:firstLine="63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14.与本</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有关的通讯地址：</w:t>
      </w:r>
      <w:r>
        <w:rPr>
          <w:rFonts w:hint="eastAsia" w:ascii="宋体" w:hAnsi="宋体" w:eastAsia="宋体" w:cs="宋体"/>
          <w:color w:val="auto"/>
          <w:sz w:val="24"/>
          <w:highlight w:val="none"/>
          <w:u w:val="single"/>
        </w:rPr>
        <w:t xml:space="preserve">                                  </w:t>
      </w:r>
    </w:p>
    <w:p w14:paraId="0C5DE51B">
      <w:pPr>
        <w:spacing w:line="360" w:lineRule="auto"/>
        <w:ind w:firstLine="63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4F653765">
      <w:pPr>
        <w:spacing w:line="360" w:lineRule="auto"/>
        <w:ind w:firstLine="630"/>
        <w:rPr>
          <w:rFonts w:hint="eastAsia" w:ascii="宋体" w:hAnsi="宋体" w:eastAsia="宋体" w:cs="宋体"/>
          <w:color w:val="auto"/>
          <w:sz w:val="24"/>
          <w:highlight w:val="none"/>
        </w:rPr>
      </w:pPr>
      <w:r>
        <w:rPr>
          <w:rFonts w:hint="eastAsia" w:ascii="宋体" w:hAnsi="宋体" w:cs="宋体"/>
          <w:color w:val="auto"/>
          <w:sz w:val="24"/>
          <w:highlight w:val="none"/>
          <w:lang w:eastAsia="zh-CN"/>
        </w:rPr>
        <w:t>参审单位</w:t>
      </w:r>
      <w:r>
        <w:rPr>
          <w:rFonts w:hint="eastAsia" w:ascii="宋体" w:hAnsi="宋体" w:eastAsia="宋体" w:cs="宋体"/>
          <w:color w:val="auto"/>
          <w:sz w:val="24"/>
          <w:highlight w:val="none"/>
        </w:rPr>
        <w:t>基本账户开户名：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开户行：</w:t>
      </w:r>
      <w:r>
        <w:rPr>
          <w:rFonts w:hint="eastAsia" w:ascii="宋体" w:hAnsi="宋体" w:eastAsia="宋体" w:cs="宋体"/>
          <w:color w:val="auto"/>
          <w:sz w:val="24"/>
          <w:highlight w:val="none"/>
          <w:u w:val="single"/>
        </w:rPr>
        <w:t xml:space="preserve">            </w:t>
      </w:r>
    </w:p>
    <w:p w14:paraId="6940926F">
      <w:pPr>
        <w:spacing w:line="360" w:lineRule="auto"/>
        <w:ind w:firstLine="630"/>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电子签章：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D4DA179">
      <w:pPr>
        <w:pStyle w:val="22"/>
        <w:rPr>
          <w:rFonts w:hint="eastAsia" w:ascii="宋体" w:hAnsi="宋体" w:eastAsia="宋体" w:cs="宋体"/>
          <w:color w:val="auto"/>
          <w:highlight w:val="none"/>
        </w:rPr>
      </w:pPr>
    </w:p>
    <w:p w14:paraId="2976873B">
      <w:pPr>
        <w:spacing w:line="360" w:lineRule="auto"/>
        <w:jc w:val="center"/>
        <w:rPr>
          <w:rFonts w:hint="eastAsia" w:ascii="宋体" w:hAnsi="宋体" w:eastAsia="宋体" w:cs="宋体"/>
          <w:b/>
          <w:bCs w:val="0"/>
          <w:color w:val="auto"/>
          <w:kern w:val="2"/>
          <w:sz w:val="24"/>
          <w:szCs w:val="28"/>
          <w:highlight w:val="none"/>
          <w:lang w:val="en-US" w:eastAsia="zh-CN" w:bidi="ar-SA"/>
        </w:rPr>
      </w:pPr>
      <w:r>
        <w:rPr>
          <w:rFonts w:hint="eastAsia" w:ascii="宋体" w:hAnsi="宋体" w:eastAsia="宋体" w:cs="宋体"/>
          <w:b/>
          <w:color w:val="auto"/>
          <w:sz w:val="24"/>
          <w:highlight w:val="none"/>
        </w:rPr>
        <w:br w:type="page"/>
      </w:r>
      <w:bookmarkStart w:id="130" w:name="_Toc3538"/>
      <w:r>
        <w:rPr>
          <w:rFonts w:hint="eastAsia" w:ascii="宋体" w:hAnsi="宋体" w:cs="宋体"/>
          <w:b/>
          <w:bCs w:val="0"/>
          <w:color w:val="auto"/>
          <w:kern w:val="2"/>
          <w:sz w:val="28"/>
          <w:szCs w:val="28"/>
          <w:highlight w:val="none"/>
          <w:lang w:val="en-US" w:eastAsia="zh-CN" w:bidi="ar-SA"/>
        </w:rPr>
        <w:t>五.</w:t>
      </w:r>
      <w:r>
        <w:rPr>
          <w:rFonts w:hint="eastAsia" w:ascii="宋体" w:hAnsi="宋体" w:eastAsia="宋体" w:cs="宋体"/>
          <w:b/>
          <w:bCs w:val="0"/>
          <w:color w:val="auto"/>
          <w:kern w:val="2"/>
          <w:sz w:val="28"/>
          <w:szCs w:val="28"/>
          <w:highlight w:val="none"/>
          <w:lang w:val="en-US" w:eastAsia="zh-CN" w:bidi="ar-SA"/>
        </w:rPr>
        <w:t>谈判响应表</w:t>
      </w:r>
      <w:bookmarkEnd w:id="130"/>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46D4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18626FBC">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916" w:type="dxa"/>
            <w:noWrap w:val="0"/>
            <w:vAlign w:val="center"/>
          </w:tcPr>
          <w:p w14:paraId="56A3300E">
            <w:pPr>
              <w:pStyle w:val="1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497" w:type="dxa"/>
            <w:noWrap w:val="0"/>
            <w:vAlign w:val="center"/>
          </w:tcPr>
          <w:p w14:paraId="6F6FA877">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文件要求</w:t>
            </w:r>
          </w:p>
        </w:tc>
        <w:tc>
          <w:tcPr>
            <w:tcW w:w="2575" w:type="dxa"/>
            <w:noWrap w:val="0"/>
            <w:vAlign w:val="center"/>
          </w:tcPr>
          <w:p w14:paraId="19D15917">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810" w:type="dxa"/>
            <w:noWrap w:val="0"/>
            <w:vAlign w:val="center"/>
          </w:tcPr>
          <w:p w14:paraId="44406F2C">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4116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CDC45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noWrap w:val="0"/>
            <w:vAlign w:val="center"/>
          </w:tcPr>
          <w:p w14:paraId="150F60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noWrap w:val="0"/>
            <w:vAlign w:val="center"/>
          </w:tcPr>
          <w:p w14:paraId="6B4D6590">
            <w:pPr>
              <w:jc w:val="center"/>
              <w:rPr>
                <w:rFonts w:hint="eastAsia" w:ascii="宋体" w:hAnsi="宋体" w:eastAsia="宋体" w:cs="宋体"/>
                <w:color w:val="auto"/>
                <w:sz w:val="24"/>
                <w:highlight w:val="none"/>
              </w:rPr>
            </w:pPr>
          </w:p>
        </w:tc>
        <w:tc>
          <w:tcPr>
            <w:tcW w:w="2575" w:type="dxa"/>
            <w:noWrap w:val="0"/>
            <w:vAlign w:val="center"/>
          </w:tcPr>
          <w:p w14:paraId="26D523D8">
            <w:pPr>
              <w:jc w:val="center"/>
              <w:rPr>
                <w:rFonts w:hint="eastAsia" w:ascii="宋体" w:hAnsi="宋体" w:eastAsia="宋体" w:cs="宋体"/>
                <w:color w:val="auto"/>
                <w:sz w:val="24"/>
                <w:highlight w:val="none"/>
              </w:rPr>
            </w:pPr>
          </w:p>
        </w:tc>
        <w:tc>
          <w:tcPr>
            <w:tcW w:w="810" w:type="dxa"/>
            <w:noWrap w:val="0"/>
            <w:vAlign w:val="center"/>
          </w:tcPr>
          <w:p w14:paraId="472E93A2">
            <w:pPr>
              <w:jc w:val="center"/>
              <w:rPr>
                <w:rFonts w:hint="eastAsia" w:ascii="宋体" w:hAnsi="宋体" w:eastAsia="宋体" w:cs="宋体"/>
                <w:color w:val="auto"/>
                <w:sz w:val="24"/>
                <w:highlight w:val="none"/>
              </w:rPr>
            </w:pPr>
          </w:p>
        </w:tc>
      </w:tr>
      <w:tr w14:paraId="7203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8E0BB2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noWrap w:val="0"/>
            <w:vAlign w:val="center"/>
          </w:tcPr>
          <w:p w14:paraId="7FD3CC4B">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服务期限</w:t>
            </w:r>
          </w:p>
        </w:tc>
        <w:tc>
          <w:tcPr>
            <w:tcW w:w="2497" w:type="dxa"/>
            <w:noWrap w:val="0"/>
            <w:vAlign w:val="center"/>
          </w:tcPr>
          <w:p w14:paraId="7AF40141">
            <w:pPr>
              <w:jc w:val="center"/>
              <w:rPr>
                <w:rFonts w:hint="eastAsia" w:ascii="宋体" w:hAnsi="宋体" w:eastAsia="宋体" w:cs="宋体"/>
                <w:color w:val="auto"/>
                <w:sz w:val="24"/>
                <w:highlight w:val="none"/>
              </w:rPr>
            </w:pPr>
          </w:p>
        </w:tc>
        <w:tc>
          <w:tcPr>
            <w:tcW w:w="2575" w:type="dxa"/>
            <w:noWrap w:val="0"/>
            <w:vAlign w:val="center"/>
          </w:tcPr>
          <w:p w14:paraId="74E3A417">
            <w:pPr>
              <w:jc w:val="center"/>
              <w:rPr>
                <w:rFonts w:hint="eastAsia" w:ascii="宋体" w:hAnsi="宋体" w:eastAsia="宋体" w:cs="宋体"/>
                <w:color w:val="auto"/>
                <w:sz w:val="24"/>
                <w:highlight w:val="none"/>
              </w:rPr>
            </w:pPr>
          </w:p>
        </w:tc>
        <w:tc>
          <w:tcPr>
            <w:tcW w:w="810" w:type="dxa"/>
            <w:noWrap w:val="0"/>
            <w:vAlign w:val="center"/>
          </w:tcPr>
          <w:p w14:paraId="4468C90A">
            <w:pPr>
              <w:jc w:val="center"/>
              <w:rPr>
                <w:rFonts w:hint="eastAsia" w:ascii="宋体" w:hAnsi="宋体" w:eastAsia="宋体" w:cs="宋体"/>
                <w:color w:val="auto"/>
                <w:sz w:val="24"/>
                <w:highlight w:val="none"/>
              </w:rPr>
            </w:pPr>
          </w:p>
        </w:tc>
      </w:tr>
      <w:tr w14:paraId="7B3E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281ACB2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noWrap w:val="0"/>
            <w:vAlign w:val="center"/>
          </w:tcPr>
          <w:p w14:paraId="0FA194E9">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服务地点</w:t>
            </w:r>
          </w:p>
        </w:tc>
        <w:tc>
          <w:tcPr>
            <w:tcW w:w="2497" w:type="dxa"/>
            <w:noWrap w:val="0"/>
            <w:vAlign w:val="center"/>
          </w:tcPr>
          <w:p w14:paraId="03A952DB">
            <w:pPr>
              <w:jc w:val="center"/>
              <w:rPr>
                <w:rFonts w:hint="eastAsia" w:ascii="宋体" w:hAnsi="宋体" w:eastAsia="宋体" w:cs="宋体"/>
                <w:color w:val="auto"/>
                <w:sz w:val="24"/>
                <w:highlight w:val="none"/>
              </w:rPr>
            </w:pPr>
          </w:p>
        </w:tc>
        <w:tc>
          <w:tcPr>
            <w:tcW w:w="2575" w:type="dxa"/>
            <w:noWrap w:val="0"/>
            <w:vAlign w:val="center"/>
          </w:tcPr>
          <w:p w14:paraId="5ABCAECE">
            <w:pPr>
              <w:pStyle w:val="35"/>
              <w:jc w:val="center"/>
              <w:rPr>
                <w:rFonts w:hint="eastAsia" w:ascii="宋体" w:hAnsi="宋体" w:eastAsia="宋体" w:cs="宋体"/>
                <w:color w:val="auto"/>
                <w:highlight w:val="none"/>
              </w:rPr>
            </w:pPr>
          </w:p>
        </w:tc>
        <w:tc>
          <w:tcPr>
            <w:tcW w:w="810" w:type="dxa"/>
            <w:noWrap w:val="0"/>
            <w:vAlign w:val="center"/>
          </w:tcPr>
          <w:p w14:paraId="060C235C">
            <w:pPr>
              <w:jc w:val="center"/>
              <w:rPr>
                <w:rFonts w:hint="eastAsia" w:ascii="宋体" w:hAnsi="宋体" w:eastAsia="宋体" w:cs="宋体"/>
                <w:color w:val="auto"/>
                <w:sz w:val="24"/>
                <w:highlight w:val="none"/>
              </w:rPr>
            </w:pPr>
          </w:p>
        </w:tc>
      </w:tr>
      <w:tr w14:paraId="12E2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1A5A683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916" w:type="dxa"/>
            <w:noWrap w:val="0"/>
            <w:vAlign w:val="center"/>
          </w:tcPr>
          <w:p w14:paraId="52EB5AEA">
            <w:pPr>
              <w:jc w:val="center"/>
              <w:rPr>
                <w:rFonts w:hint="eastAsia" w:ascii="宋体" w:hAnsi="宋体" w:eastAsia="宋体" w:cs="宋体"/>
                <w:color w:val="auto"/>
                <w:sz w:val="24"/>
                <w:highlight w:val="none"/>
              </w:rPr>
            </w:pPr>
          </w:p>
        </w:tc>
        <w:tc>
          <w:tcPr>
            <w:tcW w:w="2497" w:type="dxa"/>
            <w:noWrap w:val="0"/>
            <w:vAlign w:val="center"/>
          </w:tcPr>
          <w:p w14:paraId="30349423">
            <w:pPr>
              <w:jc w:val="center"/>
              <w:rPr>
                <w:rFonts w:hint="eastAsia" w:ascii="宋体" w:hAnsi="宋体" w:eastAsia="宋体" w:cs="宋体"/>
                <w:color w:val="auto"/>
                <w:sz w:val="24"/>
                <w:highlight w:val="none"/>
              </w:rPr>
            </w:pPr>
          </w:p>
        </w:tc>
        <w:tc>
          <w:tcPr>
            <w:tcW w:w="2575" w:type="dxa"/>
            <w:noWrap w:val="0"/>
            <w:vAlign w:val="center"/>
          </w:tcPr>
          <w:p w14:paraId="162AAC46">
            <w:pPr>
              <w:jc w:val="center"/>
              <w:rPr>
                <w:rFonts w:hint="eastAsia" w:ascii="宋体" w:hAnsi="宋体" w:eastAsia="宋体" w:cs="宋体"/>
                <w:color w:val="auto"/>
                <w:sz w:val="24"/>
                <w:highlight w:val="none"/>
              </w:rPr>
            </w:pPr>
          </w:p>
        </w:tc>
        <w:tc>
          <w:tcPr>
            <w:tcW w:w="810" w:type="dxa"/>
            <w:noWrap w:val="0"/>
            <w:vAlign w:val="center"/>
          </w:tcPr>
          <w:p w14:paraId="4C26F598">
            <w:pPr>
              <w:jc w:val="center"/>
              <w:rPr>
                <w:rFonts w:hint="eastAsia" w:ascii="宋体" w:hAnsi="宋体" w:eastAsia="宋体" w:cs="宋体"/>
                <w:color w:val="auto"/>
                <w:sz w:val="24"/>
                <w:highlight w:val="none"/>
              </w:rPr>
            </w:pPr>
          </w:p>
        </w:tc>
      </w:tr>
      <w:tr w14:paraId="29CA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29D048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noWrap w:val="0"/>
            <w:vAlign w:val="center"/>
          </w:tcPr>
          <w:p w14:paraId="2899F917">
            <w:pPr>
              <w:jc w:val="center"/>
              <w:rPr>
                <w:rFonts w:hint="eastAsia" w:ascii="宋体" w:hAnsi="宋体" w:eastAsia="宋体" w:cs="宋体"/>
                <w:color w:val="auto"/>
                <w:sz w:val="24"/>
                <w:highlight w:val="none"/>
              </w:rPr>
            </w:pPr>
          </w:p>
        </w:tc>
        <w:tc>
          <w:tcPr>
            <w:tcW w:w="2497" w:type="dxa"/>
            <w:noWrap w:val="0"/>
            <w:vAlign w:val="center"/>
          </w:tcPr>
          <w:p w14:paraId="7B12905F">
            <w:pPr>
              <w:jc w:val="center"/>
              <w:rPr>
                <w:rFonts w:hint="eastAsia" w:ascii="宋体" w:hAnsi="宋体" w:eastAsia="宋体" w:cs="宋体"/>
                <w:color w:val="auto"/>
                <w:sz w:val="24"/>
                <w:highlight w:val="none"/>
              </w:rPr>
            </w:pPr>
          </w:p>
        </w:tc>
        <w:tc>
          <w:tcPr>
            <w:tcW w:w="2575" w:type="dxa"/>
            <w:noWrap w:val="0"/>
            <w:vAlign w:val="center"/>
          </w:tcPr>
          <w:p w14:paraId="5B7EEA44">
            <w:pPr>
              <w:jc w:val="center"/>
              <w:rPr>
                <w:rFonts w:hint="eastAsia" w:ascii="宋体" w:hAnsi="宋体" w:eastAsia="宋体" w:cs="宋体"/>
                <w:color w:val="auto"/>
                <w:sz w:val="24"/>
                <w:highlight w:val="none"/>
              </w:rPr>
            </w:pPr>
          </w:p>
        </w:tc>
        <w:tc>
          <w:tcPr>
            <w:tcW w:w="810" w:type="dxa"/>
            <w:noWrap w:val="0"/>
            <w:vAlign w:val="center"/>
          </w:tcPr>
          <w:p w14:paraId="694CA4C9">
            <w:pPr>
              <w:jc w:val="center"/>
              <w:rPr>
                <w:rFonts w:hint="eastAsia" w:ascii="宋体" w:hAnsi="宋体" w:eastAsia="宋体" w:cs="宋体"/>
                <w:color w:val="auto"/>
                <w:sz w:val="24"/>
                <w:highlight w:val="none"/>
              </w:rPr>
            </w:pPr>
          </w:p>
        </w:tc>
      </w:tr>
    </w:tbl>
    <w:p w14:paraId="22287BF6">
      <w:pPr>
        <w:spacing w:line="360" w:lineRule="auto"/>
        <w:ind w:firstLine="4560" w:firstLineChars="1900"/>
        <w:rPr>
          <w:rFonts w:hint="eastAsia" w:ascii="宋体" w:hAnsi="宋体" w:eastAsia="宋体" w:cs="宋体"/>
          <w:color w:val="auto"/>
          <w:sz w:val="24"/>
          <w:highlight w:val="none"/>
          <w:lang w:val="en-US" w:eastAsia="zh-CN"/>
        </w:rPr>
      </w:pPr>
    </w:p>
    <w:p w14:paraId="106A64BD">
      <w:pPr>
        <w:spacing w:line="360" w:lineRule="auto"/>
        <w:ind w:firstLine="4560" w:firstLineChars="1900"/>
        <w:rPr>
          <w:rFonts w:hint="eastAsia" w:ascii="宋体" w:hAnsi="宋体" w:eastAsia="宋体" w:cs="宋体"/>
          <w:color w:val="auto"/>
          <w:sz w:val="24"/>
          <w:highlight w:val="none"/>
          <w:lang w:val="en-US" w:eastAsia="zh-CN"/>
        </w:rPr>
      </w:pPr>
    </w:p>
    <w:p w14:paraId="47BEA860">
      <w:pPr>
        <w:spacing w:line="360" w:lineRule="auto"/>
        <w:ind w:firstLine="4560" w:firstLineChars="19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参审单位</w:t>
      </w:r>
      <w:r>
        <w:rPr>
          <w:rFonts w:hint="eastAsia" w:ascii="宋体" w:hAnsi="宋体" w:eastAsia="宋体" w:cs="宋体"/>
          <w:color w:val="auto"/>
          <w:sz w:val="24"/>
          <w:highlight w:val="none"/>
        </w:rPr>
        <w:t>电子签章：</w:t>
      </w:r>
      <w:r>
        <w:rPr>
          <w:rFonts w:hint="eastAsia" w:ascii="宋体" w:hAnsi="宋体" w:eastAsia="宋体" w:cs="宋体"/>
          <w:color w:val="auto"/>
          <w:sz w:val="24"/>
          <w:highlight w:val="none"/>
          <w:u w:val="single"/>
        </w:rPr>
        <w:t xml:space="preserve">                </w:t>
      </w:r>
    </w:p>
    <w:p w14:paraId="3F1A81E0">
      <w:pPr>
        <w:spacing w:line="360" w:lineRule="auto"/>
        <w:ind w:firstLine="4560" w:firstLineChars="19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9E5E6AD">
      <w:pPr>
        <w:spacing w:line="500" w:lineRule="exact"/>
        <w:ind w:firstLine="602" w:firstLineChars="200"/>
        <w:jc w:val="both"/>
        <w:rPr>
          <w:rFonts w:hint="eastAsia" w:ascii="宋体" w:hAnsi="宋体" w:eastAsia="宋体" w:cs="宋体"/>
          <w:b/>
          <w:bCs/>
          <w:color w:val="auto"/>
          <w:sz w:val="30"/>
          <w:highlight w:val="none"/>
        </w:rPr>
        <w:sectPr>
          <w:headerReference r:id="rId8" w:type="default"/>
          <w:footerReference r:id="rId9" w:type="default"/>
          <w:footerReference r:id="rId10" w:type="even"/>
          <w:pgSz w:w="11907" w:h="16840"/>
          <w:pgMar w:top="1440" w:right="1247" w:bottom="1440" w:left="1247" w:header="851" w:footer="992" w:gutter="0"/>
          <w:pgBorders>
            <w:top w:val="none" w:sz="0" w:space="0"/>
            <w:left w:val="none" w:sz="0" w:space="0"/>
            <w:bottom w:val="none" w:sz="0" w:space="0"/>
            <w:right w:val="none" w:sz="0" w:space="0"/>
          </w:pgBorders>
          <w:cols w:space="720" w:num="1"/>
          <w:docGrid w:linePitch="303" w:charSpace="0"/>
        </w:sectPr>
      </w:pPr>
    </w:p>
    <w:p w14:paraId="00744210">
      <w:pPr>
        <w:spacing w:line="360" w:lineRule="auto"/>
        <w:jc w:val="center"/>
        <w:rPr>
          <w:rFonts w:hint="eastAsia" w:ascii="宋体" w:hAnsi="宋体" w:eastAsia="宋体" w:cs="宋体"/>
          <w:b/>
          <w:bCs w:val="0"/>
          <w:color w:val="auto"/>
          <w:kern w:val="2"/>
          <w:sz w:val="28"/>
          <w:szCs w:val="28"/>
          <w:highlight w:val="none"/>
          <w:lang w:val="en-US" w:eastAsia="zh-CN" w:bidi="ar-SA"/>
        </w:rPr>
      </w:pPr>
      <w:bookmarkStart w:id="131" w:name="_Hlt533409360"/>
      <w:bookmarkEnd w:id="131"/>
      <w:bookmarkStart w:id="132" w:name="_Hlt509739007"/>
      <w:bookmarkEnd w:id="132"/>
      <w:bookmarkStart w:id="133" w:name="_Hlt533408916"/>
      <w:bookmarkEnd w:id="133"/>
      <w:bookmarkStart w:id="134" w:name="_Hlt533408409"/>
      <w:bookmarkEnd w:id="134"/>
      <w:bookmarkStart w:id="135" w:name="_Hlt519045798"/>
      <w:bookmarkEnd w:id="135"/>
      <w:bookmarkStart w:id="136" w:name="_Hlt509716873"/>
      <w:bookmarkEnd w:id="136"/>
      <w:bookmarkStart w:id="137" w:name="_Toc496587831"/>
      <w:bookmarkStart w:id="138" w:name="_Toc1982"/>
      <w:r>
        <w:rPr>
          <w:rFonts w:hint="eastAsia" w:ascii="宋体" w:hAnsi="宋体" w:cs="宋体"/>
          <w:b/>
          <w:bCs w:val="0"/>
          <w:color w:val="auto"/>
          <w:kern w:val="2"/>
          <w:sz w:val="28"/>
          <w:szCs w:val="28"/>
          <w:highlight w:val="none"/>
          <w:lang w:val="en-US" w:eastAsia="zh-CN" w:bidi="ar-SA"/>
        </w:rPr>
        <w:t>六</w:t>
      </w:r>
      <w:r>
        <w:rPr>
          <w:rFonts w:hint="eastAsia" w:ascii="宋体" w:hAnsi="宋体" w:eastAsia="宋体" w:cs="宋体"/>
          <w:b/>
          <w:bCs w:val="0"/>
          <w:color w:val="auto"/>
          <w:kern w:val="2"/>
          <w:sz w:val="28"/>
          <w:szCs w:val="28"/>
          <w:highlight w:val="none"/>
          <w:lang w:val="en-US" w:eastAsia="zh-CN" w:bidi="ar-SA"/>
        </w:rPr>
        <w:t>.</w:t>
      </w:r>
      <w:bookmarkEnd w:id="137"/>
      <w:r>
        <w:rPr>
          <w:rFonts w:hint="eastAsia" w:ascii="宋体" w:hAnsi="宋体" w:cs="宋体"/>
          <w:b/>
          <w:bCs w:val="0"/>
          <w:color w:val="auto"/>
          <w:kern w:val="2"/>
          <w:sz w:val="28"/>
          <w:szCs w:val="28"/>
          <w:highlight w:val="none"/>
          <w:lang w:val="en-US" w:eastAsia="zh-CN" w:bidi="ar-SA"/>
        </w:rPr>
        <w:t>响应文件</w:t>
      </w:r>
      <w:r>
        <w:rPr>
          <w:rFonts w:hint="eastAsia" w:ascii="宋体" w:hAnsi="宋体" w:eastAsia="宋体" w:cs="宋体"/>
          <w:b/>
          <w:bCs w:val="0"/>
          <w:color w:val="auto"/>
          <w:kern w:val="2"/>
          <w:sz w:val="28"/>
          <w:szCs w:val="28"/>
          <w:highlight w:val="none"/>
          <w:lang w:val="en-US" w:eastAsia="zh-CN" w:bidi="ar-SA"/>
        </w:rPr>
        <w:t>业绩</w:t>
      </w:r>
      <w:bookmarkEnd w:id="138"/>
    </w:p>
    <w:p w14:paraId="0FA465CF">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（一）业绩表</w:t>
      </w:r>
    </w:p>
    <w:p w14:paraId="6353D1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（格式仅供参考）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0356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6" w:type="dxa"/>
            <w:noWrap w:val="0"/>
            <w:vAlign w:val="center"/>
          </w:tcPr>
          <w:p w14:paraId="074073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9" w:type="dxa"/>
            <w:noWrap w:val="0"/>
            <w:vAlign w:val="center"/>
          </w:tcPr>
          <w:p w14:paraId="45081E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410" w:type="dxa"/>
            <w:noWrap w:val="0"/>
            <w:vAlign w:val="center"/>
          </w:tcPr>
          <w:p w14:paraId="4E957C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1559" w:type="dxa"/>
            <w:noWrap w:val="0"/>
            <w:vAlign w:val="center"/>
          </w:tcPr>
          <w:p w14:paraId="1C15C7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w:t>
            </w:r>
          </w:p>
        </w:tc>
        <w:tc>
          <w:tcPr>
            <w:tcW w:w="1701" w:type="dxa"/>
            <w:noWrap w:val="0"/>
            <w:vAlign w:val="center"/>
          </w:tcPr>
          <w:p w14:paraId="37E9ED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业绩合同甲方</w:t>
            </w:r>
          </w:p>
          <w:p w14:paraId="1EF4E0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及联系电话</w:t>
            </w:r>
          </w:p>
        </w:tc>
        <w:tc>
          <w:tcPr>
            <w:tcW w:w="1134" w:type="dxa"/>
            <w:noWrap w:val="0"/>
            <w:vAlign w:val="center"/>
          </w:tcPr>
          <w:p w14:paraId="2A2BF3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D49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09" w:type="dxa"/>
            <w:gridSpan w:val="6"/>
            <w:noWrap w:val="0"/>
            <w:vAlign w:val="center"/>
          </w:tcPr>
          <w:p w14:paraId="24A35D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初审业绩（资格门槛业绩）</w:t>
            </w:r>
          </w:p>
        </w:tc>
      </w:tr>
      <w:tr w14:paraId="6C09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49EA65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9" w:type="dxa"/>
            <w:noWrap w:val="0"/>
            <w:vAlign w:val="center"/>
          </w:tcPr>
          <w:p w14:paraId="3C6D195F">
            <w:pPr>
              <w:spacing w:line="360" w:lineRule="auto"/>
              <w:rPr>
                <w:rFonts w:hint="eastAsia" w:ascii="宋体" w:hAnsi="宋体" w:eastAsia="宋体" w:cs="宋体"/>
                <w:color w:val="auto"/>
                <w:sz w:val="24"/>
                <w:szCs w:val="24"/>
                <w:highlight w:val="none"/>
              </w:rPr>
            </w:pPr>
          </w:p>
        </w:tc>
        <w:tc>
          <w:tcPr>
            <w:tcW w:w="2410" w:type="dxa"/>
            <w:noWrap w:val="0"/>
            <w:vAlign w:val="center"/>
          </w:tcPr>
          <w:p w14:paraId="28955746">
            <w:pPr>
              <w:spacing w:line="360" w:lineRule="auto"/>
              <w:rPr>
                <w:rFonts w:hint="eastAsia" w:ascii="宋体" w:hAnsi="宋体" w:eastAsia="宋体" w:cs="宋体"/>
                <w:color w:val="auto"/>
                <w:sz w:val="24"/>
                <w:szCs w:val="24"/>
                <w:highlight w:val="none"/>
              </w:rPr>
            </w:pPr>
          </w:p>
        </w:tc>
        <w:tc>
          <w:tcPr>
            <w:tcW w:w="1559" w:type="dxa"/>
            <w:noWrap w:val="0"/>
            <w:vAlign w:val="center"/>
          </w:tcPr>
          <w:p w14:paraId="37915434">
            <w:pPr>
              <w:spacing w:line="360" w:lineRule="auto"/>
              <w:rPr>
                <w:rFonts w:hint="eastAsia" w:ascii="宋体" w:hAnsi="宋体" w:eastAsia="宋体" w:cs="宋体"/>
                <w:color w:val="auto"/>
                <w:sz w:val="24"/>
                <w:szCs w:val="24"/>
                <w:highlight w:val="none"/>
              </w:rPr>
            </w:pPr>
          </w:p>
        </w:tc>
        <w:tc>
          <w:tcPr>
            <w:tcW w:w="1701" w:type="dxa"/>
            <w:noWrap w:val="0"/>
            <w:vAlign w:val="center"/>
          </w:tcPr>
          <w:p w14:paraId="393926BE">
            <w:pPr>
              <w:spacing w:line="360" w:lineRule="auto"/>
              <w:rPr>
                <w:rFonts w:hint="eastAsia" w:ascii="宋体" w:hAnsi="宋体" w:eastAsia="宋体" w:cs="宋体"/>
                <w:color w:val="auto"/>
                <w:sz w:val="24"/>
                <w:szCs w:val="24"/>
                <w:highlight w:val="none"/>
              </w:rPr>
            </w:pPr>
          </w:p>
        </w:tc>
        <w:tc>
          <w:tcPr>
            <w:tcW w:w="1134" w:type="dxa"/>
            <w:noWrap w:val="0"/>
            <w:vAlign w:val="center"/>
          </w:tcPr>
          <w:p w14:paraId="24D5143E">
            <w:pPr>
              <w:spacing w:line="360" w:lineRule="auto"/>
              <w:rPr>
                <w:rFonts w:hint="eastAsia" w:ascii="宋体" w:hAnsi="宋体" w:eastAsia="宋体" w:cs="宋体"/>
                <w:color w:val="auto"/>
                <w:sz w:val="24"/>
                <w:szCs w:val="24"/>
                <w:highlight w:val="none"/>
              </w:rPr>
            </w:pPr>
          </w:p>
        </w:tc>
      </w:tr>
      <w:tr w14:paraId="7429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6"/>
            <w:noWrap w:val="0"/>
            <w:vAlign w:val="center"/>
          </w:tcPr>
          <w:p w14:paraId="6218C4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评审业绩（打分业绩）</w:t>
            </w:r>
          </w:p>
        </w:tc>
      </w:tr>
      <w:tr w14:paraId="107D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75E1A2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9" w:type="dxa"/>
            <w:noWrap w:val="0"/>
            <w:vAlign w:val="center"/>
          </w:tcPr>
          <w:p w14:paraId="2974794B">
            <w:pPr>
              <w:spacing w:line="360" w:lineRule="auto"/>
              <w:rPr>
                <w:rFonts w:hint="eastAsia" w:ascii="宋体" w:hAnsi="宋体" w:eastAsia="宋体" w:cs="宋体"/>
                <w:color w:val="auto"/>
                <w:sz w:val="24"/>
                <w:szCs w:val="24"/>
                <w:highlight w:val="none"/>
              </w:rPr>
            </w:pPr>
          </w:p>
        </w:tc>
        <w:tc>
          <w:tcPr>
            <w:tcW w:w="2410" w:type="dxa"/>
            <w:noWrap w:val="0"/>
            <w:vAlign w:val="center"/>
          </w:tcPr>
          <w:p w14:paraId="55C07305">
            <w:pPr>
              <w:spacing w:line="360" w:lineRule="auto"/>
              <w:rPr>
                <w:rFonts w:hint="eastAsia" w:ascii="宋体" w:hAnsi="宋体" w:eastAsia="宋体" w:cs="宋体"/>
                <w:color w:val="auto"/>
                <w:sz w:val="24"/>
                <w:szCs w:val="24"/>
                <w:highlight w:val="none"/>
              </w:rPr>
            </w:pPr>
          </w:p>
        </w:tc>
        <w:tc>
          <w:tcPr>
            <w:tcW w:w="1559" w:type="dxa"/>
            <w:noWrap w:val="0"/>
            <w:vAlign w:val="center"/>
          </w:tcPr>
          <w:p w14:paraId="4DB291F4">
            <w:pPr>
              <w:spacing w:line="360" w:lineRule="auto"/>
              <w:rPr>
                <w:rFonts w:hint="eastAsia" w:ascii="宋体" w:hAnsi="宋体" w:eastAsia="宋体" w:cs="宋体"/>
                <w:color w:val="auto"/>
                <w:sz w:val="24"/>
                <w:szCs w:val="24"/>
                <w:highlight w:val="none"/>
              </w:rPr>
            </w:pPr>
          </w:p>
        </w:tc>
        <w:tc>
          <w:tcPr>
            <w:tcW w:w="1701" w:type="dxa"/>
            <w:noWrap w:val="0"/>
            <w:vAlign w:val="center"/>
          </w:tcPr>
          <w:p w14:paraId="0EEBDB18">
            <w:pPr>
              <w:spacing w:line="360" w:lineRule="auto"/>
              <w:rPr>
                <w:rFonts w:hint="eastAsia" w:ascii="宋体" w:hAnsi="宋体" w:eastAsia="宋体" w:cs="宋体"/>
                <w:color w:val="auto"/>
                <w:sz w:val="24"/>
                <w:szCs w:val="24"/>
                <w:highlight w:val="none"/>
              </w:rPr>
            </w:pPr>
          </w:p>
        </w:tc>
        <w:tc>
          <w:tcPr>
            <w:tcW w:w="1134" w:type="dxa"/>
            <w:noWrap w:val="0"/>
            <w:vAlign w:val="center"/>
          </w:tcPr>
          <w:p w14:paraId="5B31F51D">
            <w:pPr>
              <w:spacing w:line="360" w:lineRule="auto"/>
              <w:rPr>
                <w:rFonts w:hint="eastAsia" w:ascii="宋体" w:hAnsi="宋体" w:eastAsia="宋体" w:cs="宋体"/>
                <w:color w:val="auto"/>
                <w:sz w:val="24"/>
                <w:szCs w:val="24"/>
                <w:highlight w:val="none"/>
              </w:rPr>
            </w:pPr>
          </w:p>
        </w:tc>
      </w:tr>
      <w:tr w14:paraId="69B6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48EB67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9" w:type="dxa"/>
            <w:noWrap w:val="0"/>
            <w:vAlign w:val="center"/>
          </w:tcPr>
          <w:p w14:paraId="6484CEBC">
            <w:pPr>
              <w:spacing w:line="360" w:lineRule="auto"/>
              <w:rPr>
                <w:rFonts w:hint="eastAsia" w:ascii="宋体" w:hAnsi="宋体" w:eastAsia="宋体" w:cs="宋体"/>
                <w:color w:val="auto"/>
                <w:sz w:val="24"/>
                <w:szCs w:val="24"/>
                <w:highlight w:val="none"/>
              </w:rPr>
            </w:pPr>
          </w:p>
        </w:tc>
        <w:tc>
          <w:tcPr>
            <w:tcW w:w="2410" w:type="dxa"/>
            <w:noWrap w:val="0"/>
            <w:vAlign w:val="center"/>
          </w:tcPr>
          <w:p w14:paraId="02CD9E19">
            <w:pPr>
              <w:spacing w:line="360" w:lineRule="auto"/>
              <w:rPr>
                <w:rFonts w:hint="eastAsia" w:ascii="宋体" w:hAnsi="宋体" w:eastAsia="宋体" w:cs="宋体"/>
                <w:color w:val="auto"/>
                <w:sz w:val="24"/>
                <w:szCs w:val="24"/>
                <w:highlight w:val="none"/>
              </w:rPr>
            </w:pPr>
          </w:p>
        </w:tc>
        <w:tc>
          <w:tcPr>
            <w:tcW w:w="1559" w:type="dxa"/>
            <w:noWrap w:val="0"/>
            <w:vAlign w:val="center"/>
          </w:tcPr>
          <w:p w14:paraId="37D8BF90">
            <w:pPr>
              <w:spacing w:line="360" w:lineRule="auto"/>
              <w:rPr>
                <w:rFonts w:hint="eastAsia" w:ascii="宋体" w:hAnsi="宋体" w:eastAsia="宋体" w:cs="宋体"/>
                <w:color w:val="auto"/>
                <w:sz w:val="24"/>
                <w:szCs w:val="24"/>
                <w:highlight w:val="none"/>
              </w:rPr>
            </w:pPr>
          </w:p>
        </w:tc>
        <w:tc>
          <w:tcPr>
            <w:tcW w:w="1701" w:type="dxa"/>
            <w:noWrap w:val="0"/>
            <w:vAlign w:val="center"/>
          </w:tcPr>
          <w:p w14:paraId="6B3AFD0E">
            <w:pPr>
              <w:spacing w:line="360" w:lineRule="auto"/>
              <w:rPr>
                <w:rFonts w:hint="eastAsia" w:ascii="宋体" w:hAnsi="宋体" w:eastAsia="宋体" w:cs="宋体"/>
                <w:color w:val="auto"/>
                <w:sz w:val="24"/>
                <w:szCs w:val="24"/>
                <w:highlight w:val="none"/>
              </w:rPr>
            </w:pPr>
          </w:p>
        </w:tc>
        <w:tc>
          <w:tcPr>
            <w:tcW w:w="1134" w:type="dxa"/>
            <w:noWrap w:val="0"/>
            <w:vAlign w:val="center"/>
          </w:tcPr>
          <w:p w14:paraId="0B748745">
            <w:pPr>
              <w:spacing w:line="360" w:lineRule="auto"/>
              <w:rPr>
                <w:rFonts w:hint="eastAsia" w:ascii="宋体" w:hAnsi="宋体" w:eastAsia="宋体" w:cs="宋体"/>
                <w:color w:val="auto"/>
                <w:sz w:val="24"/>
                <w:szCs w:val="24"/>
                <w:highlight w:val="none"/>
              </w:rPr>
            </w:pPr>
          </w:p>
        </w:tc>
      </w:tr>
      <w:tr w14:paraId="512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4B43CBD">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3566999E">
            <w:pPr>
              <w:spacing w:line="360" w:lineRule="auto"/>
              <w:rPr>
                <w:rFonts w:hint="eastAsia" w:ascii="宋体" w:hAnsi="宋体" w:eastAsia="宋体" w:cs="宋体"/>
                <w:color w:val="auto"/>
                <w:sz w:val="24"/>
                <w:szCs w:val="24"/>
                <w:highlight w:val="none"/>
              </w:rPr>
            </w:pPr>
          </w:p>
        </w:tc>
        <w:tc>
          <w:tcPr>
            <w:tcW w:w="2410" w:type="dxa"/>
            <w:noWrap w:val="0"/>
            <w:vAlign w:val="center"/>
          </w:tcPr>
          <w:p w14:paraId="54FF6E4D">
            <w:pPr>
              <w:spacing w:line="360" w:lineRule="auto"/>
              <w:rPr>
                <w:rFonts w:hint="eastAsia" w:ascii="宋体" w:hAnsi="宋体" w:eastAsia="宋体" w:cs="宋体"/>
                <w:color w:val="auto"/>
                <w:sz w:val="24"/>
                <w:szCs w:val="24"/>
                <w:highlight w:val="none"/>
              </w:rPr>
            </w:pPr>
          </w:p>
        </w:tc>
        <w:tc>
          <w:tcPr>
            <w:tcW w:w="1559" w:type="dxa"/>
            <w:noWrap w:val="0"/>
            <w:vAlign w:val="center"/>
          </w:tcPr>
          <w:p w14:paraId="606109B6">
            <w:pPr>
              <w:spacing w:line="360" w:lineRule="auto"/>
              <w:rPr>
                <w:rFonts w:hint="eastAsia" w:ascii="宋体" w:hAnsi="宋体" w:eastAsia="宋体" w:cs="宋体"/>
                <w:color w:val="auto"/>
                <w:sz w:val="24"/>
                <w:szCs w:val="24"/>
                <w:highlight w:val="none"/>
              </w:rPr>
            </w:pPr>
          </w:p>
        </w:tc>
        <w:tc>
          <w:tcPr>
            <w:tcW w:w="1701" w:type="dxa"/>
            <w:noWrap w:val="0"/>
            <w:vAlign w:val="center"/>
          </w:tcPr>
          <w:p w14:paraId="1F441BA6">
            <w:pPr>
              <w:spacing w:line="360" w:lineRule="auto"/>
              <w:rPr>
                <w:rFonts w:hint="eastAsia" w:ascii="宋体" w:hAnsi="宋体" w:eastAsia="宋体" w:cs="宋体"/>
                <w:color w:val="auto"/>
                <w:sz w:val="24"/>
                <w:szCs w:val="24"/>
                <w:highlight w:val="none"/>
              </w:rPr>
            </w:pPr>
          </w:p>
        </w:tc>
        <w:tc>
          <w:tcPr>
            <w:tcW w:w="1134" w:type="dxa"/>
            <w:noWrap w:val="0"/>
            <w:vAlign w:val="center"/>
          </w:tcPr>
          <w:p w14:paraId="7850F075">
            <w:pPr>
              <w:spacing w:line="360" w:lineRule="auto"/>
              <w:rPr>
                <w:rFonts w:hint="eastAsia" w:ascii="宋体" w:hAnsi="宋体" w:eastAsia="宋体" w:cs="宋体"/>
                <w:color w:val="auto"/>
                <w:sz w:val="24"/>
                <w:szCs w:val="24"/>
                <w:highlight w:val="none"/>
              </w:rPr>
            </w:pPr>
          </w:p>
        </w:tc>
      </w:tr>
    </w:tbl>
    <w:p w14:paraId="1BCC95D7">
      <w:pPr>
        <w:spacing w:before="48" w:beforeLines="20" w:after="48" w:afterLines="20" w:line="360" w:lineRule="auto"/>
        <w:jc w:val="center"/>
        <w:rPr>
          <w:rFonts w:hint="eastAsia" w:ascii="宋体" w:hAnsi="宋体" w:eastAsia="宋体" w:cs="宋体"/>
          <w:color w:val="auto"/>
          <w:sz w:val="28"/>
          <w:highlight w:val="none"/>
        </w:rPr>
      </w:pPr>
    </w:p>
    <w:p w14:paraId="4951A0BB">
      <w:pPr>
        <w:spacing w:before="48" w:beforeLines="20" w:after="48" w:afterLines="20" w:line="360" w:lineRule="auto"/>
        <w:jc w:val="center"/>
        <w:rPr>
          <w:rFonts w:hint="eastAsia" w:ascii="宋体" w:hAnsi="宋体" w:eastAsia="宋体" w:cs="宋体"/>
          <w:color w:val="auto"/>
          <w:sz w:val="28"/>
          <w:highlight w:val="none"/>
        </w:rPr>
      </w:pPr>
    </w:p>
    <w:p w14:paraId="46F3ADB7">
      <w:pPr>
        <w:spacing w:before="48" w:beforeLines="20" w:after="48" w:afterLines="20" w:line="360" w:lineRule="auto"/>
        <w:jc w:val="center"/>
        <w:rPr>
          <w:rFonts w:hint="eastAsia" w:ascii="宋体" w:hAnsi="宋体" w:eastAsia="宋体" w:cs="宋体"/>
          <w:color w:val="auto"/>
          <w:sz w:val="28"/>
          <w:highlight w:val="none"/>
        </w:rPr>
      </w:pPr>
    </w:p>
    <w:p w14:paraId="6D645449">
      <w:pPr>
        <w:spacing w:before="48" w:beforeLines="20" w:after="48" w:afterLines="20"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（二）业绩证明材料</w:t>
      </w:r>
    </w:p>
    <w:p w14:paraId="15710E8D">
      <w:pPr>
        <w:spacing w:before="48" w:beforeLines="20" w:after="48" w:afterLines="2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（建议与上述“（一）业绩表”填写的业绩一一对应提供）</w:t>
      </w:r>
    </w:p>
    <w:p w14:paraId="4445FF7B">
      <w:pPr>
        <w:spacing w:before="48" w:beforeLines="20" w:after="48" w:afterLines="20" w:line="360" w:lineRule="auto"/>
        <w:jc w:val="center"/>
        <w:rPr>
          <w:rFonts w:hint="eastAsia" w:ascii="宋体" w:hAnsi="宋体" w:eastAsia="宋体" w:cs="宋体"/>
          <w:color w:val="auto"/>
          <w:sz w:val="24"/>
          <w:szCs w:val="24"/>
          <w:highlight w:val="none"/>
        </w:rPr>
      </w:pPr>
    </w:p>
    <w:p w14:paraId="76BAB11C">
      <w:pPr>
        <w:spacing w:before="48" w:beforeLines="20" w:after="48" w:afterLines="20" w:line="360" w:lineRule="auto"/>
        <w:jc w:val="center"/>
        <w:rPr>
          <w:rFonts w:hint="eastAsia" w:ascii="宋体" w:hAnsi="宋体" w:eastAsia="宋体" w:cs="宋体"/>
          <w:color w:val="auto"/>
          <w:sz w:val="24"/>
          <w:szCs w:val="24"/>
          <w:highlight w:val="none"/>
        </w:rPr>
      </w:pPr>
    </w:p>
    <w:p w14:paraId="232441D8">
      <w:pPr>
        <w:spacing w:before="48" w:beforeLines="20" w:after="48" w:afterLines="20" w:line="360" w:lineRule="auto"/>
        <w:jc w:val="center"/>
        <w:rPr>
          <w:rFonts w:hint="eastAsia" w:ascii="宋体" w:hAnsi="宋体" w:eastAsia="宋体" w:cs="宋体"/>
          <w:color w:val="auto"/>
          <w:sz w:val="24"/>
          <w:szCs w:val="24"/>
          <w:highlight w:val="none"/>
        </w:rPr>
      </w:pPr>
    </w:p>
    <w:p w14:paraId="7CB809B8">
      <w:pPr>
        <w:spacing w:before="48" w:beforeLines="20" w:after="48" w:afterLines="20" w:line="360" w:lineRule="auto"/>
        <w:jc w:val="center"/>
        <w:rPr>
          <w:rFonts w:hint="eastAsia" w:ascii="宋体" w:hAnsi="宋体" w:eastAsia="宋体" w:cs="宋体"/>
          <w:color w:val="auto"/>
          <w:sz w:val="24"/>
          <w:szCs w:val="24"/>
          <w:highlight w:val="none"/>
        </w:rPr>
      </w:pPr>
    </w:p>
    <w:p w14:paraId="04DF4E1C">
      <w:pPr>
        <w:spacing w:before="48" w:beforeLines="20" w:after="48" w:afterLines="20" w:line="360" w:lineRule="auto"/>
        <w:jc w:val="center"/>
        <w:rPr>
          <w:rFonts w:hint="eastAsia" w:ascii="宋体" w:hAnsi="宋体" w:eastAsia="宋体" w:cs="宋体"/>
          <w:color w:val="auto"/>
          <w:sz w:val="24"/>
          <w:szCs w:val="24"/>
          <w:highlight w:val="none"/>
        </w:rPr>
      </w:pPr>
    </w:p>
    <w:p w14:paraId="0B97A987">
      <w:pPr>
        <w:spacing w:before="48" w:beforeLines="20" w:after="48" w:afterLines="20" w:line="360" w:lineRule="auto"/>
        <w:jc w:val="center"/>
        <w:rPr>
          <w:rFonts w:hint="eastAsia" w:ascii="宋体" w:hAnsi="宋体" w:eastAsia="宋体" w:cs="宋体"/>
          <w:color w:val="auto"/>
          <w:sz w:val="24"/>
          <w:szCs w:val="24"/>
          <w:highlight w:val="none"/>
        </w:rPr>
      </w:pPr>
    </w:p>
    <w:p w14:paraId="5E86FFF0">
      <w:pPr>
        <w:spacing w:before="48" w:beforeLines="20" w:after="48" w:afterLines="20" w:line="360" w:lineRule="auto"/>
        <w:jc w:val="center"/>
        <w:rPr>
          <w:rFonts w:hint="eastAsia" w:ascii="宋体" w:hAnsi="宋体" w:eastAsia="宋体" w:cs="宋体"/>
          <w:color w:val="auto"/>
          <w:sz w:val="24"/>
          <w:szCs w:val="24"/>
          <w:highlight w:val="none"/>
        </w:rPr>
      </w:pPr>
    </w:p>
    <w:p w14:paraId="25FD87D4">
      <w:pPr>
        <w:spacing w:before="48" w:beforeLines="20" w:after="48" w:afterLines="20" w:line="360" w:lineRule="auto"/>
        <w:rPr>
          <w:rFonts w:hint="eastAsia" w:ascii="宋体" w:hAnsi="宋体" w:eastAsia="宋体" w:cs="宋体"/>
          <w:color w:val="auto"/>
          <w:sz w:val="28"/>
          <w:highlight w:val="none"/>
        </w:rPr>
      </w:pPr>
    </w:p>
    <w:p w14:paraId="0CB3CD44">
      <w:pPr>
        <w:adjustRightInd w:val="0"/>
        <w:snapToGrid w:val="0"/>
        <w:spacing w:line="360" w:lineRule="auto"/>
        <w:rPr>
          <w:rFonts w:hint="eastAsia" w:ascii="宋体" w:hAnsi="宋体" w:eastAsia="宋体" w:cs="宋体"/>
          <w:color w:val="auto"/>
          <w:sz w:val="28"/>
          <w:highlight w:val="none"/>
        </w:rPr>
      </w:pPr>
    </w:p>
    <w:p w14:paraId="4252688D">
      <w:pPr>
        <w:spacing w:line="360" w:lineRule="auto"/>
        <w:jc w:val="center"/>
        <w:rPr>
          <w:rFonts w:hint="eastAsia" w:ascii="宋体" w:hAnsi="宋体" w:eastAsia="宋体" w:cs="宋体"/>
          <w:color w:val="auto"/>
          <w:sz w:val="28"/>
          <w:highlight w:val="none"/>
          <w:lang w:eastAsia="zh-CN"/>
        </w:rPr>
      </w:pPr>
      <w:bookmarkStart w:id="139" w:name="_Toc496587832"/>
      <w:bookmarkStart w:id="140" w:name="_Toc22034"/>
      <w:bookmarkStart w:id="141" w:name="_Toc471675527"/>
    </w:p>
    <w:p w14:paraId="1CEAF433">
      <w:pPr>
        <w:spacing w:line="360" w:lineRule="auto"/>
        <w:jc w:val="center"/>
        <w:rPr>
          <w:rFonts w:hint="eastAsia" w:ascii="宋体" w:hAnsi="宋体" w:eastAsia="宋体" w:cs="宋体"/>
          <w:color w:val="auto"/>
          <w:sz w:val="28"/>
          <w:highlight w:val="none"/>
          <w:lang w:eastAsia="zh-CN"/>
        </w:rPr>
      </w:pPr>
    </w:p>
    <w:bookmarkEnd w:id="139"/>
    <w:bookmarkEnd w:id="140"/>
    <w:bookmarkEnd w:id="141"/>
    <w:p w14:paraId="620C559C">
      <w:pPr>
        <w:pStyle w:val="4"/>
        <w:rPr>
          <w:rFonts w:hint="eastAsia" w:ascii="宋体" w:hAnsi="宋体" w:eastAsia="宋体" w:cs="宋体"/>
          <w:color w:val="auto"/>
          <w:sz w:val="28"/>
          <w:szCs w:val="36"/>
          <w:highlight w:val="none"/>
          <w:lang w:val="en-US" w:eastAsia="zh-CN"/>
        </w:rPr>
      </w:pPr>
      <w:bookmarkStart w:id="142" w:name="_Toc6524"/>
      <w:bookmarkStart w:id="143" w:name="_Toc496587833"/>
      <w:bookmarkStart w:id="144" w:name="_Toc471675528"/>
      <w:bookmarkStart w:id="145" w:name="_Toc9108"/>
      <w:bookmarkStart w:id="146" w:name="_Toc27245"/>
      <w:r>
        <w:rPr>
          <w:rFonts w:hint="eastAsia" w:hAnsi="宋体" w:cs="宋体"/>
          <w:color w:val="auto"/>
          <w:sz w:val="28"/>
          <w:highlight w:val="none"/>
          <w:lang w:val="en-US" w:eastAsia="zh-CN"/>
        </w:rPr>
        <w:t>七</w:t>
      </w:r>
      <w:r>
        <w:rPr>
          <w:rFonts w:hint="eastAsia" w:ascii="宋体" w:hAnsi="宋体" w:eastAsia="宋体" w:cs="宋体"/>
          <w:color w:val="auto"/>
          <w:sz w:val="28"/>
          <w:highlight w:val="none"/>
        </w:rPr>
        <w:t>．</w:t>
      </w:r>
      <w:bookmarkEnd w:id="142"/>
      <w:bookmarkEnd w:id="143"/>
      <w:bookmarkEnd w:id="144"/>
      <w:r>
        <w:rPr>
          <w:rFonts w:hint="eastAsia" w:ascii="宋体" w:hAnsi="宋体" w:eastAsia="宋体" w:cs="宋体"/>
          <w:color w:val="auto"/>
          <w:sz w:val="28"/>
          <w:highlight w:val="none"/>
          <w:lang w:val="en-US" w:eastAsia="zh-CN"/>
        </w:rPr>
        <w:t>服务方案</w:t>
      </w:r>
      <w:bookmarkEnd w:id="145"/>
      <w:bookmarkEnd w:id="146"/>
    </w:p>
    <w:p w14:paraId="03F52FD5">
      <w:pPr>
        <w:spacing w:before="48" w:beforeLines="20" w:after="48" w:afterLines="20" w:line="360" w:lineRule="auto"/>
        <w:jc w:val="center"/>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color w:val="auto"/>
          <w:kern w:val="2"/>
          <w:sz w:val="28"/>
          <w:szCs w:val="32"/>
          <w:highlight w:val="none"/>
          <w:lang w:val="en-US" w:eastAsia="zh-CN" w:bidi="ar-SA"/>
        </w:rPr>
        <w:t>（</w:t>
      </w:r>
      <w:r>
        <w:rPr>
          <w:rFonts w:hint="eastAsia" w:ascii="宋体" w:hAnsi="宋体" w:cs="宋体"/>
          <w:b/>
          <w:bCs/>
          <w:color w:val="auto"/>
          <w:kern w:val="2"/>
          <w:sz w:val="28"/>
          <w:szCs w:val="32"/>
          <w:highlight w:val="none"/>
          <w:lang w:val="en-US" w:eastAsia="zh-CN" w:bidi="ar-SA"/>
        </w:rPr>
        <w:t>参审单位</w:t>
      </w:r>
      <w:r>
        <w:rPr>
          <w:rFonts w:hint="eastAsia" w:ascii="宋体" w:hAnsi="宋体" w:eastAsia="宋体" w:cs="宋体"/>
          <w:b/>
          <w:bCs/>
          <w:color w:val="auto"/>
          <w:kern w:val="2"/>
          <w:sz w:val="28"/>
          <w:szCs w:val="32"/>
          <w:highlight w:val="none"/>
          <w:lang w:val="en-US" w:eastAsia="zh-CN" w:bidi="ar-SA"/>
        </w:rPr>
        <w:t>可自行制作格式）</w:t>
      </w:r>
    </w:p>
    <w:p w14:paraId="3144D6C0">
      <w:pPr>
        <w:adjustRightInd w:val="0"/>
        <w:snapToGrid w:val="0"/>
        <w:spacing w:line="360" w:lineRule="auto"/>
        <w:rPr>
          <w:rFonts w:hint="eastAsia" w:ascii="宋体" w:hAnsi="宋体" w:eastAsia="宋体" w:cs="宋体"/>
          <w:strike/>
          <w:dstrike w:val="0"/>
          <w:color w:val="auto"/>
          <w:sz w:val="28"/>
          <w:highlight w:val="none"/>
        </w:rPr>
      </w:pPr>
    </w:p>
    <w:p w14:paraId="7FAEC15D">
      <w:pPr>
        <w:adjustRightInd w:val="0"/>
        <w:snapToGrid w:val="0"/>
        <w:spacing w:line="360" w:lineRule="auto"/>
        <w:rPr>
          <w:rFonts w:hint="eastAsia" w:ascii="宋体" w:hAnsi="宋体" w:eastAsia="宋体" w:cs="宋体"/>
          <w:color w:val="auto"/>
          <w:sz w:val="28"/>
          <w:highlight w:val="none"/>
        </w:rPr>
      </w:pPr>
    </w:p>
    <w:p w14:paraId="60BABC57">
      <w:pPr>
        <w:adjustRightInd w:val="0"/>
        <w:snapToGrid w:val="0"/>
        <w:spacing w:line="360" w:lineRule="auto"/>
        <w:rPr>
          <w:rFonts w:hint="eastAsia" w:ascii="宋体" w:hAnsi="宋体" w:eastAsia="宋体" w:cs="宋体"/>
          <w:color w:val="auto"/>
          <w:sz w:val="28"/>
          <w:highlight w:val="none"/>
        </w:rPr>
      </w:pPr>
    </w:p>
    <w:p w14:paraId="2BDBB32D">
      <w:pPr>
        <w:pStyle w:val="22"/>
        <w:rPr>
          <w:rFonts w:hint="eastAsia" w:ascii="宋体" w:hAnsi="宋体" w:eastAsia="宋体" w:cs="宋体"/>
          <w:color w:val="auto"/>
          <w:sz w:val="28"/>
          <w:highlight w:val="none"/>
        </w:rPr>
      </w:pPr>
    </w:p>
    <w:p w14:paraId="097FA764">
      <w:pPr>
        <w:pStyle w:val="22"/>
        <w:rPr>
          <w:rFonts w:hint="eastAsia" w:ascii="宋体" w:hAnsi="宋体" w:eastAsia="宋体" w:cs="宋体"/>
          <w:color w:val="auto"/>
          <w:sz w:val="28"/>
          <w:highlight w:val="none"/>
        </w:rPr>
      </w:pPr>
    </w:p>
    <w:p w14:paraId="3B9F8464">
      <w:pPr>
        <w:widowControl/>
        <w:ind w:firstLine="480"/>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sz w:val="28"/>
          <w:highlight w:val="none"/>
        </w:rPr>
        <w:br w:type="page"/>
      </w:r>
      <w:bookmarkStart w:id="147" w:name="_Toc26219"/>
      <w:bookmarkStart w:id="148" w:name="_Toc516969105"/>
      <w:bookmarkStart w:id="149" w:name="_Toc220232402"/>
      <w:bookmarkStart w:id="150" w:name="_Toc496587834"/>
      <w:r>
        <w:rPr>
          <w:rFonts w:hint="eastAsia" w:ascii="宋体" w:hAnsi="宋体" w:eastAsia="宋体" w:cs="宋体"/>
          <w:b/>
          <w:bCs/>
          <w:color w:val="auto"/>
          <w:kern w:val="2"/>
          <w:sz w:val="28"/>
          <w:szCs w:val="28"/>
          <w:highlight w:val="none"/>
          <w:lang w:val="en-US" w:eastAsia="zh-CN"/>
        </w:rPr>
        <w:t>八</w:t>
      </w:r>
      <w:r>
        <w:rPr>
          <w:rFonts w:hint="eastAsia" w:ascii="宋体" w:hAnsi="宋体" w:eastAsia="宋体" w:cs="宋体"/>
          <w:b/>
          <w:bCs/>
          <w:color w:val="auto"/>
          <w:kern w:val="2"/>
          <w:sz w:val="28"/>
          <w:szCs w:val="28"/>
          <w:highlight w:val="none"/>
        </w:rPr>
        <w:t>、</w:t>
      </w:r>
      <w:r>
        <w:rPr>
          <w:rFonts w:hint="eastAsia" w:ascii="宋体" w:hAnsi="宋体" w:cs="宋体"/>
          <w:b/>
          <w:bCs/>
          <w:color w:val="auto"/>
          <w:kern w:val="2"/>
          <w:sz w:val="28"/>
          <w:szCs w:val="28"/>
          <w:highlight w:val="none"/>
          <w:lang w:val="en-US" w:eastAsia="zh-CN"/>
        </w:rPr>
        <w:t>谈判</w:t>
      </w:r>
      <w:r>
        <w:rPr>
          <w:rFonts w:hint="eastAsia" w:ascii="宋体" w:hAnsi="宋体" w:eastAsia="宋体" w:cs="宋体"/>
          <w:b/>
          <w:bCs/>
          <w:color w:val="auto"/>
          <w:kern w:val="2"/>
          <w:sz w:val="28"/>
          <w:szCs w:val="28"/>
          <w:highlight w:val="none"/>
        </w:rPr>
        <w:t>保证金及电子交易服务费</w:t>
      </w:r>
    </w:p>
    <w:p w14:paraId="56C29D5F">
      <w:pPr>
        <w:pStyle w:val="10"/>
        <w:snapToGrid w:val="0"/>
        <w:ind w:firstLine="480"/>
        <w:jc w:val="center"/>
        <w:rPr>
          <w:rFonts w:hint="eastAsia" w:ascii="宋体" w:hAnsi="宋体" w:eastAsia="宋体" w:cs="宋体"/>
          <w:color w:val="auto"/>
          <w:sz w:val="28"/>
          <w:szCs w:val="28"/>
          <w:highlight w:val="none"/>
        </w:rPr>
      </w:pPr>
    </w:p>
    <w:p w14:paraId="5D7961E3">
      <w:pPr>
        <w:pStyle w:val="10"/>
        <w:snapToGrid w:val="0"/>
        <w:ind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应在此提供银行回单的扫描件。</w:t>
      </w:r>
    </w:p>
    <w:p w14:paraId="57C9AE4D">
      <w:pPr>
        <w:widowControl/>
        <w:ind w:firstLine="482"/>
        <w:jc w:val="center"/>
        <w:rPr>
          <w:rFonts w:hint="eastAsia" w:ascii="宋体" w:hAnsi="宋体" w:eastAsia="宋体" w:cs="宋体"/>
          <w:b/>
          <w:bCs/>
          <w:color w:val="auto"/>
          <w:kern w:val="2"/>
          <w:sz w:val="28"/>
          <w:szCs w:val="28"/>
          <w:highlight w:val="none"/>
        </w:rPr>
      </w:pPr>
    </w:p>
    <w:p w14:paraId="129F4EC5">
      <w:pPr>
        <w:widowControl/>
        <w:ind w:firstLine="482"/>
        <w:jc w:val="center"/>
        <w:rPr>
          <w:rFonts w:hint="eastAsia" w:ascii="宋体" w:hAnsi="宋体" w:eastAsia="宋体" w:cs="宋体"/>
          <w:b/>
          <w:bCs/>
          <w:color w:val="auto"/>
          <w:kern w:val="2"/>
          <w:sz w:val="28"/>
          <w:szCs w:val="28"/>
          <w:highlight w:val="none"/>
        </w:rPr>
      </w:pPr>
    </w:p>
    <w:p w14:paraId="3869C8B5">
      <w:pPr>
        <w:widowControl/>
        <w:ind w:firstLine="482"/>
        <w:jc w:val="center"/>
        <w:rPr>
          <w:rFonts w:hint="eastAsia" w:ascii="宋体" w:hAnsi="宋体" w:eastAsia="宋体" w:cs="宋体"/>
          <w:b/>
          <w:bCs/>
          <w:color w:val="auto"/>
          <w:kern w:val="2"/>
          <w:sz w:val="28"/>
          <w:szCs w:val="28"/>
          <w:highlight w:val="none"/>
        </w:rPr>
      </w:pPr>
    </w:p>
    <w:p w14:paraId="7E03D6A0">
      <w:pPr>
        <w:widowControl/>
        <w:ind w:firstLine="482"/>
        <w:jc w:val="center"/>
        <w:rPr>
          <w:rFonts w:hint="eastAsia" w:ascii="宋体" w:hAnsi="宋体" w:eastAsia="宋体" w:cs="宋体"/>
          <w:b/>
          <w:bCs/>
          <w:color w:val="auto"/>
          <w:kern w:val="2"/>
          <w:sz w:val="28"/>
          <w:szCs w:val="28"/>
          <w:highlight w:val="none"/>
        </w:rPr>
      </w:pPr>
    </w:p>
    <w:p w14:paraId="1F459851">
      <w:pPr>
        <w:widowControl/>
        <w:ind w:firstLine="482"/>
        <w:jc w:val="center"/>
        <w:rPr>
          <w:rFonts w:hint="eastAsia" w:ascii="宋体" w:hAnsi="宋体" w:eastAsia="宋体" w:cs="宋体"/>
          <w:b/>
          <w:bCs/>
          <w:color w:val="auto"/>
          <w:kern w:val="2"/>
          <w:sz w:val="28"/>
          <w:szCs w:val="28"/>
          <w:highlight w:val="none"/>
        </w:rPr>
      </w:pPr>
    </w:p>
    <w:p w14:paraId="1ABE786D">
      <w:pPr>
        <w:widowControl/>
        <w:ind w:firstLine="482"/>
        <w:jc w:val="center"/>
        <w:rPr>
          <w:rFonts w:hint="eastAsia" w:ascii="宋体" w:hAnsi="宋体" w:eastAsia="宋体" w:cs="宋体"/>
          <w:b/>
          <w:bCs/>
          <w:color w:val="auto"/>
          <w:kern w:val="2"/>
          <w:sz w:val="28"/>
          <w:szCs w:val="28"/>
          <w:highlight w:val="none"/>
        </w:rPr>
      </w:pPr>
    </w:p>
    <w:p w14:paraId="4460E531">
      <w:pPr>
        <w:widowControl/>
        <w:ind w:firstLine="482"/>
        <w:jc w:val="center"/>
        <w:rPr>
          <w:rFonts w:hint="eastAsia" w:ascii="宋体" w:hAnsi="宋体" w:eastAsia="宋体" w:cs="宋体"/>
          <w:b/>
          <w:bCs/>
          <w:color w:val="auto"/>
          <w:kern w:val="2"/>
          <w:sz w:val="28"/>
          <w:szCs w:val="28"/>
          <w:highlight w:val="none"/>
        </w:rPr>
      </w:pPr>
    </w:p>
    <w:p w14:paraId="7B395A67">
      <w:pPr>
        <w:widowControl/>
        <w:ind w:firstLine="482"/>
        <w:jc w:val="center"/>
        <w:rPr>
          <w:rFonts w:hint="eastAsia" w:ascii="宋体" w:hAnsi="宋体" w:eastAsia="宋体" w:cs="宋体"/>
          <w:b/>
          <w:bCs/>
          <w:color w:val="auto"/>
          <w:kern w:val="2"/>
          <w:sz w:val="28"/>
          <w:szCs w:val="28"/>
          <w:highlight w:val="none"/>
        </w:rPr>
      </w:pPr>
    </w:p>
    <w:p w14:paraId="4E8F713C">
      <w:pPr>
        <w:widowControl/>
        <w:ind w:firstLine="482"/>
        <w:jc w:val="center"/>
        <w:rPr>
          <w:rFonts w:hint="eastAsia" w:ascii="宋体" w:hAnsi="宋体" w:eastAsia="宋体" w:cs="宋体"/>
          <w:b/>
          <w:bCs/>
          <w:color w:val="auto"/>
          <w:kern w:val="2"/>
          <w:sz w:val="28"/>
          <w:szCs w:val="28"/>
          <w:highlight w:val="none"/>
        </w:rPr>
      </w:pPr>
    </w:p>
    <w:p w14:paraId="59CF0482">
      <w:pPr>
        <w:widowControl/>
        <w:ind w:firstLine="482"/>
        <w:jc w:val="center"/>
        <w:rPr>
          <w:rFonts w:hint="eastAsia" w:ascii="宋体" w:hAnsi="宋体" w:eastAsia="宋体" w:cs="宋体"/>
          <w:b/>
          <w:bCs/>
          <w:color w:val="auto"/>
          <w:kern w:val="2"/>
          <w:sz w:val="28"/>
          <w:szCs w:val="28"/>
          <w:highlight w:val="none"/>
        </w:rPr>
      </w:pPr>
    </w:p>
    <w:p w14:paraId="796C0C5C">
      <w:pPr>
        <w:widowControl/>
        <w:ind w:firstLine="482"/>
        <w:jc w:val="center"/>
        <w:rPr>
          <w:rFonts w:hint="eastAsia" w:ascii="宋体" w:hAnsi="宋体" w:eastAsia="宋体" w:cs="宋体"/>
          <w:b/>
          <w:bCs/>
          <w:color w:val="auto"/>
          <w:kern w:val="2"/>
          <w:sz w:val="28"/>
          <w:szCs w:val="28"/>
          <w:highlight w:val="none"/>
        </w:rPr>
      </w:pPr>
    </w:p>
    <w:p w14:paraId="2BB6F6C3">
      <w:pPr>
        <w:widowControl/>
        <w:ind w:firstLine="482"/>
        <w:jc w:val="center"/>
        <w:rPr>
          <w:rFonts w:hint="eastAsia" w:ascii="宋体" w:hAnsi="宋体" w:eastAsia="宋体" w:cs="宋体"/>
          <w:b/>
          <w:bCs/>
          <w:color w:val="auto"/>
          <w:kern w:val="2"/>
          <w:sz w:val="28"/>
          <w:szCs w:val="28"/>
          <w:highlight w:val="none"/>
        </w:rPr>
      </w:pPr>
    </w:p>
    <w:p w14:paraId="1224CE3E">
      <w:pPr>
        <w:widowControl/>
        <w:ind w:firstLine="482"/>
        <w:jc w:val="center"/>
        <w:rPr>
          <w:rFonts w:hint="eastAsia" w:ascii="宋体" w:hAnsi="宋体" w:eastAsia="宋体" w:cs="宋体"/>
          <w:b/>
          <w:bCs/>
          <w:color w:val="auto"/>
          <w:kern w:val="2"/>
          <w:sz w:val="28"/>
          <w:szCs w:val="28"/>
          <w:highlight w:val="none"/>
        </w:rPr>
      </w:pPr>
    </w:p>
    <w:p w14:paraId="469E1A97">
      <w:pPr>
        <w:pStyle w:val="8"/>
        <w:spacing w:line="480" w:lineRule="auto"/>
        <w:ind w:left="0" w:leftChars="0" w:firstLine="48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需开具电子交易服务费用发票请在本页附上开票信息，开票信息按照下列格式填写，发票开具后可在单位税务数字账户中查收，如未填写或填写不完整后期自行带转账回单至肥西县公共资源交易有限公司2楼大厅3212室开具(若未能查收，请致电咨询:王工,联系电话:0551-65318344)</w:t>
      </w:r>
    </w:p>
    <w:p w14:paraId="599236BF">
      <w:pPr>
        <w:pStyle w:val="8"/>
        <w:spacing w:line="480" w:lineRule="auto"/>
        <w:ind w:left="0" w:leftChars="0" w:firstLine="48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p>
    <w:p w14:paraId="7DCE79ED">
      <w:pPr>
        <w:pStyle w:val="13"/>
        <w:ind w:firstLine="482"/>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开票信息：</w:t>
      </w:r>
    </w:p>
    <w:p w14:paraId="719AB50E">
      <w:pPr>
        <w:pStyle w:val="8"/>
        <w:ind w:left="0" w:leftChars="0" w:firstLine="48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发票类型：</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（专票或普票）</w:t>
      </w:r>
    </w:p>
    <w:p w14:paraId="1D34D9E9">
      <w:pPr>
        <w:pStyle w:val="13"/>
        <w:ind w:firstLine="482"/>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公司名称：</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4EB91A8">
      <w:pPr>
        <w:widowControl/>
        <w:ind w:firstLine="482"/>
        <w:jc w:val="left"/>
        <w:rPr>
          <w:rFonts w:hint="eastAsia" w:ascii="宋体" w:hAnsi="宋体" w:eastAsia="宋体" w:cs="宋体"/>
          <w:b/>
          <w:color w:val="auto"/>
          <w:kern w:val="2"/>
          <w:sz w:val="28"/>
          <w:szCs w:val="28"/>
          <w:highlight w:val="none"/>
          <w:u w:val="single"/>
        </w:rPr>
      </w:pPr>
      <w:r>
        <w:rPr>
          <w:rFonts w:hint="eastAsia" w:ascii="宋体" w:hAnsi="宋体" w:eastAsia="宋体" w:cs="宋体"/>
          <w:b/>
          <w:color w:val="auto"/>
          <w:kern w:val="2"/>
          <w:sz w:val="28"/>
          <w:szCs w:val="28"/>
          <w:highlight w:val="none"/>
        </w:rPr>
        <w:t>纳税识别号：</w:t>
      </w:r>
      <w:r>
        <w:rPr>
          <w:rFonts w:hint="eastAsia" w:ascii="宋体" w:hAnsi="宋体" w:eastAsia="宋体" w:cs="宋体"/>
          <w:b/>
          <w:color w:val="auto"/>
          <w:kern w:val="2"/>
          <w:sz w:val="28"/>
          <w:szCs w:val="28"/>
          <w:highlight w:val="none"/>
          <w:u w:val="single"/>
        </w:rPr>
        <w:t xml:space="preserve">                          </w:t>
      </w:r>
    </w:p>
    <w:p w14:paraId="0280DA51">
      <w:pPr>
        <w:widowControl/>
        <w:ind w:firstLine="482"/>
        <w:jc w:val="left"/>
        <w:rPr>
          <w:rFonts w:hint="eastAsia" w:ascii="宋体" w:hAnsi="宋体" w:eastAsia="宋体" w:cs="宋体"/>
          <w:b/>
          <w:color w:val="auto"/>
          <w:kern w:val="2"/>
          <w:sz w:val="28"/>
          <w:szCs w:val="28"/>
          <w:highlight w:val="none"/>
          <w:u w:val="single"/>
        </w:rPr>
      </w:pPr>
      <w:r>
        <w:rPr>
          <w:rFonts w:hint="eastAsia" w:ascii="宋体" w:hAnsi="宋体" w:eastAsia="宋体" w:cs="宋体"/>
          <w:b/>
          <w:color w:val="auto"/>
          <w:kern w:val="2"/>
          <w:sz w:val="28"/>
          <w:szCs w:val="28"/>
          <w:highlight w:val="none"/>
        </w:rPr>
        <w:t>开户行名称：</w:t>
      </w:r>
      <w:r>
        <w:rPr>
          <w:rFonts w:hint="eastAsia" w:ascii="宋体" w:hAnsi="宋体" w:eastAsia="宋体" w:cs="宋体"/>
          <w:b/>
          <w:color w:val="auto"/>
          <w:kern w:val="2"/>
          <w:sz w:val="28"/>
          <w:szCs w:val="28"/>
          <w:highlight w:val="none"/>
          <w:u w:val="single"/>
        </w:rPr>
        <w:t xml:space="preserve">                          </w:t>
      </w:r>
    </w:p>
    <w:p w14:paraId="2A614BFE">
      <w:pPr>
        <w:widowControl/>
        <w:ind w:firstLine="482"/>
        <w:jc w:val="left"/>
        <w:rPr>
          <w:rFonts w:hint="eastAsia" w:ascii="宋体" w:hAnsi="宋体" w:eastAsia="宋体" w:cs="宋体"/>
          <w:b/>
          <w:bCs/>
          <w:color w:val="auto"/>
          <w:kern w:val="2"/>
          <w:sz w:val="28"/>
          <w:szCs w:val="28"/>
          <w:highlight w:val="none"/>
        </w:rPr>
      </w:pPr>
      <w:r>
        <w:rPr>
          <w:rFonts w:hint="eastAsia" w:ascii="宋体" w:hAnsi="宋体" w:eastAsia="宋体" w:cs="宋体"/>
          <w:b/>
          <w:color w:val="auto"/>
          <w:kern w:val="2"/>
          <w:sz w:val="28"/>
          <w:szCs w:val="28"/>
          <w:highlight w:val="none"/>
        </w:rPr>
        <w:t>开户行账号：</w:t>
      </w:r>
      <w:r>
        <w:rPr>
          <w:rFonts w:hint="eastAsia" w:ascii="宋体" w:hAnsi="宋体" w:eastAsia="宋体" w:cs="宋体"/>
          <w:b/>
          <w:color w:val="auto"/>
          <w:kern w:val="2"/>
          <w:sz w:val="28"/>
          <w:szCs w:val="28"/>
          <w:highlight w:val="none"/>
          <w:u w:val="single"/>
        </w:rPr>
        <w:t xml:space="preserve">                          </w:t>
      </w:r>
    </w:p>
    <w:p w14:paraId="5113E1E4">
      <w:pPr>
        <w:pStyle w:val="4"/>
        <w:numPr>
          <w:ilvl w:val="0"/>
          <w:numId w:val="0"/>
        </w:numPr>
        <w:spacing w:before="0" w:after="0" w:line="360" w:lineRule="auto"/>
        <w:jc w:val="center"/>
        <w:rPr>
          <w:rFonts w:hint="eastAsia" w:hAnsi="宋体" w:cs="宋体"/>
          <w:b/>
          <w:bCs/>
          <w:color w:val="auto"/>
          <w:sz w:val="28"/>
          <w:highlight w:val="none"/>
          <w:lang w:val="en-US" w:eastAsia="zh-CN"/>
        </w:rPr>
      </w:pPr>
    </w:p>
    <w:p w14:paraId="0408517E">
      <w:pPr>
        <w:pStyle w:val="4"/>
        <w:numPr>
          <w:ilvl w:val="0"/>
          <w:numId w:val="0"/>
        </w:numPr>
        <w:spacing w:before="0" w:after="0" w:line="360" w:lineRule="auto"/>
        <w:jc w:val="center"/>
        <w:rPr>
          <w:rFonts w:hint="eastAsia" w:hAnsi="宋体" w:cs="宋体"/>
          <w:b/>
          <w:bCs/>
          <w:color w:val="auto"/>
          <w:sz w:val="28"/>
          <w:highlight w:val="none"/>
          <w:lang w:val="en-US" w:eastAsia="zh-CN"/>
        </w:rPr>
      </w:pPr>
    </w:p>
    <w:p w14:paraId="4959DFCF">
      <w:pPr>
        <w:pStyle w:val="4"/>
        <w:numPr>
          <w:ilvl w:val="0"/>
          <w:numId w:val="0"/>
        </w:numPr>
        <w:spacing w:before="0" w:after="0" w:line="360" w:lineRule="auto"/>
        <w:jc w:val="both"/>
        <w:rPr>
          <w:rFonts w:hint="eastAsia" w:hAnsi="宋体" w:cs="宋体"/>
          <w:b/>
          <w:bCs/>
          <w:color w:val="auto"/>
          <w:sz w:val="28"/>
          <w:highlight w:val="none"/>
          <w:lang w:val="en-US" w:eastAsia="zh-CN"/>
        </w:rPr>
      </w:pPr>
    </w:p>
    <w:p w14:paraId="10A463EB">
      <w:pPr>
        <w:rPr>
          <w:rFonts w:hint="eastAsia" w:hAnsi="宋体" w:cs="宋体"/>
          <w:b/>
          <w:bCs/>
          <w:color w:val="auto"/>
          <w:sz w:val="28"/>
          <w:highlight w:val="none"/>
          <w:lang w:val="en-US" w:eastAsia="zh-CN"/>
        </w:rPr>
      </w:pPr>
    </w:p>
    <w:p w14:paraId="1FE04075">
      <w:pPr>
        <w:pStyle w:val="4"/>
        <w:numPr>
          <w:ilvl w:val="0"/>
          <w:numId w:val="0"/>
        </w:numPr>
        <w:spacing w:before="0" w:after="0" w:line="360" w:lineRule="auto"/>
        <w:jc w:val="center"/>
        <w:rPr>
          <w:rFonts w:hint="eastAsia" w:ascii="宋体" w:hAnsi="宋体" w:eastAsia="宋体" w:cs="宋体"/>
          <w:color w:val="auto"/>
          <w:sz w:val="28"/>
          <w:szCs w:val="36"/>
          <w:highlight w:val="none"/>
        </w:rPr>
      </w:pPr>
      <w:bookmarkStart w:id="151" w:name="_Toc4919"/>
      <w:bookmarkStart w:id="152" w:name="_Toc155"/>
      <w:r>
        <w:rPr>
          <w:rFonts w:hint="eastAsia" w:hAnsi="宋体" w:cs="宋体"/>
          <w:b/>
          <w:bCs/>
          <w:color w:val="auto"/>
          <w:sz w:val="28"/>
          <w:highlight w:val="none"/>
          <w:lang w:val="en-US" w:eastAsia="zh-CN"/>
        </w:rPr>
        <w:t>九</w:t>
      </w:r>
      <w:r>
        <w:rPr>
          <w:rFonts w:hint="eastAsia" w:ascii="宋体" w:hAnsi="宋体" w:eastAsia="宋体" w:cs="宋体"/>
          <w:color w:val="auto"/>
          <w:sz w:val="28"/>
          <w:highlight w:val="none"/>
        </w:rPr>
        <w:t>．有关证明文件</w:t>
      </w:r>
      <w:bookmarkEnd w:id="147"/>
      <w:bookmarkEnd w:id="148"/>
      <w:bookmarkEnd w:id="149"/>
      <w:bookmarkEnd w:id="150"/>
      <w:bookmarkEnd w:id="151"/>
      <w:bookmarkEnd w:id="152"/>
    </w:p>
    <w:p w14:paraId="0ED4BC7A">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邀请（</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公告）、</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需求及</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与评审办法规定的相关证明文件（制作成扫描件上传）。</w:t>
      </w:r>
    </w:p>
    <w:p w14:paraId="4B6780CF">
      <w:pPr>
        <w:pStyle w:val="10"/>
        <w:snapToGrid w:val="0"/>
        <w:spacing w:before="120" w:after="120"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建议列表说明，并按列表顺序依次附证明材料扫描件；若证明文件过多，可在其他响应文件组成节点里上传提供；已在其他响应文件组成节点里上传提供的资料，无需重复提供，但建议在下表的备注栏注明上传文件的具体响应文件组成节点的名称，以便于评审）</w:t>
      </w:r>
    </w:p>
    <w:tbl>
      <w:tblPr>
        <w:tblStyle w:val="24"/>
        <w:tblW w:w="9872" w:type="dxa"/>
        <w:tblInd w:w="88" w:type="dxa"/>
        <w:tblLayout w:type="autofit"/>
        <w:tblCellMar>
          <w:top w:w="0" w:type="dxa"/>
          <w:left w:w="108" w:type="dxa"/>
          <w:bottom w:w="0" w:type="dxa"/>
          <w:right w:w="108" w:type="dxa"/>
        </w:tblCellMar>
      </w:tblPr>
      <w:tblGrid>
        <w:gridCol w:w="1090"/>
        <w:gridCol w:w="3380"/>
        <w:gridCol w:w="2754"/>
        <w:gridCol w:w="2648"/>
      </w:tblGrid>
      <w:tr w14:paraId="42DBFE28">
        <w:tblPrEx>
          <w:tblCellMar>
            <w:top w:w="0" w:type="dxa"/>
            <w:left w:w="108" w:type="dxa"/>
            <w:bottom w:w="0" w:type="dxa"/>
            <w:right w:w="108" w:type="dxa"/>
          </w:tblCellMar>
        </w:tblPrEx>
        <w:trPr>
          <w:trHeight w:val="578" w:hRule="atLeast"/>
        </w:trPr>
        <w:tc>
          <w:tcPr>
            <w:tcW w:w="9872" w:type="dxa"/>
            <w:gridSpan w:val="4"/>
            <w:tcBorders>
              <w:top w:val="single" w:color="auto" w:sz="4" w:space="0"/>
              <w:left w:val="single" w:color="auto" w:sz="4" w:space="0"/>
              <w:bottom w:val="single" w:color="auto" w:sz="4" w:space="0"/>
              <w:right w:val="single" w:color="auto" w:sz="4" w:space="0"/>
            </w:tcBorders>
            <w:noWrap/>
            <w:vAlign w:val="center"/>
          </w:tcPr>
          <w:p w14:paraId="7AD57813">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有关证明资料表</w:t>
            </w:r>
          </w:p>
        </w:tc>
      </w:tr>
      <w:tr w14:paraId="1106D492">
        <w:tblPrEx>
          <w:tblCellMar>
            <w:top w:w="0" w:type="dxa"/>
            <w:left w:w="108" w:type="dxa"/>
            <w:bottom w:w="0" w:type="dxa"/>
            <w:right w:w="108" w:type="dxa"/>
          </w:tblCellMar>
        </w:tblPrEx>
        <w:trPr>
          <w:trHeight w:val="578" w:hRule="atLeast"/>
        </w:trPr>
        <w:tc>
          <w:tcPr>
            <w:tcW w:w="1090" w:type="dxa"/>
            <w:tcBorders>
              <w:top w:val="single" w:color="auto" w:sz="4" w:space="0"/>
              <w:left w:val="single" w:color="auto" w:sz="4" w:space="0"/>
              <w:bottom w:val="single" w:color="auto" w:sz="4" w:space="0"/>
              <w:right w:val="single" w:color="auto" w:sz="4" w:space="0"/>
            </w:tcBorders>
            <w:noWrap/>
            <w:vAlign w:val="center"/>
          </w:tcPr>
          <w:p w14:paraId="186268B6">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380" w:type="dxa"/>
            <w:tcBorders>
              <w:top w:val="single" w:color="auto" w:sz="4" w:space="0"/>
              <w:left w:val="nil"/>
              <w:bottom w:val="single" w:color="auto" w:sz="4" w:space="0"/>
              <w:right w:val="single" w:color="auto" w:sz="4" w:space="0"/>
            </w:tcBorders>
            <w:noWrap/>
            <w:vAlign w:val="center"/>
          </w:tcPr>
          <w:p w14:paraId="72799EE6">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文件“</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与评审办法”评审对应指标</w:t>
            </w:r>
          </w:p>
        </w:tc>
        <w:tc>
          <w:tcPr>
            <w:tcW w:w="2754" w:type="dxa"/>
            <w:tcBorders>
              <w:top w:val="single" w:color="auto" w:sz="4" w:space="0"/>
              <w:left w:val="nil"/>
              <w:bottom w:val="single" w:color="auto" w:sz="4" w:space="0"/>
              <w:right w:val="single" w:color="auto" w:sz="4" w:space="0"/>
            </w:tcBorders>
            <w:noWrap w:val="0"/>
            <w:vAlign w:val="center"/>
          </w:tcPr>
          <w:p w14:paraId="2D06F4F8">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陈述、说明、方案或</w:t>
            </w:r>
          </w:p>
          <w:p w14:paraId="1FF501A4">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证明资料名称</w:t>
            </w:r>
          </w:p>
        </w:tc>
        <w:tc>
          <w:tcPr>
            <w:tcW w:w="2648" w:type="dxa"/>
            <w:tcBorders>
              <w:top w:val="single" w:color="auto" w:sz="4" w:space="0"/>
              <w:left w:val="nil"/>
              <w:bottom w:val="single" w:color="auto" w:sz="4" w:space="0"/>
              <w:right w:val="single" w:color="auto" w:sz="4" w:space="0"/>
            </w:tcBorders>
            <w:noWrap/>
            <w:vAlign w:val="center"/>
          </w:tcPr>
          <w:p w14:paraId="285CFBF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6CC1E034">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（可备注资料对应页码，或上传资料的其他响应文件组成节点名称）</w:t>
            </w:r>
          </w:p>
        </w:tc>
      </w:tr>
      <w:tr w14:paraId="44FFD880">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468ABC1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p>
        </w:tc>
        <w:tc>
          <w:tcPr>
            <w:tcW w:w="3380" w:type="dxa"/>
            <w:tcBorders>
              <w:top w:val="nil"/>
              <w:left w:val="nil"/>
              <w:bottom w:val="single" w:color="auto" w:sz="4" w:space="0"/>
              <w:right w:val="single" w:color="auto" w:sz="4" w:space="0"/>
            </w:tcBorders>
            <w:noWrap/>
            <w:vAlign w:val="center"/>
          </w:tcPr>
          <w:p w14:paraId="41A8540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初审指标</w:t>
            </w:r>
          </w:p>
        </w:tc>
        <w:tc>
          <w:tcPr>
            <w:tcW w:w="2754" w:type="dxa"/>
            <w:tcBorders>
              <w:top w:val="nil"/>
              <w:left w:val="nil"/>
              <w:bottom w:val="single" w:color="auto" w:sz="4" w:space="0"/>
              <w:right w:val="single" w:color="auto" w:sz="4" w:space="0"/>
            </w:tcBorders>
            <w:noWrap/>
            <w:vAlign w:val="center"/>
          </w:tcPr>
          <w:p w14:paraId="4FC3E7E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5DFAAC7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524CF42">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055E1E6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380" w:type="dxa"/>
            <w:tcBorders>
              <w:top w:val="nil"/>
              <w:left w:val="nil"/>
              <w:bottom w:val="single" w:color="auto" w:sz="4" w:space="0"/>
              <w:right w:val="single" w:color="auto" w:sz="4" w:space="0"/>
            </w:tcBorders>
            <w:noWrap/>
            <w:vAlign w:val="center"/>
          </w:tcPr>
          <w:p w14:paraId="5814A73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54" w:type="dxa"/>
            <w:tcBorders>
              <w:top w:val="nil"/>
              <w:left w:val="nil"/>
              <w:bottom w:val="single" w:color="auto" w:sz="4" w:space="0"/>
              <w:right w:val="single" w:color="auto" w:sz="4" w:space="0"/>
            </w:tcBorders>
            <w:noWrap/>
            <w:vAlign w:val="center"/>
          </w:tcPr>
          <w:p w14:paraId="53ABFAA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6A3EA80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7C49F0F">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58109C5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380" w:type="dxa"/>
            <w:tcBorders>
              <w:top w:val="nil"/>
              <w:left w:val="nil"/>
              <w:bottom w:val="single" w:color="auto" w:sz="4" w:space="0"/>
              <w:right w:val="single" w:color="auto" w:sz="4" w:space="0"/>
            </w:tcBorders>
            <w:noWrap/>
            <w:vAlign w:val="center"/>
          </w:tcPr>
          <w:p w14:paraId="3326D33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54" w:type="dxa"/>
            <w:tcBorders>
              <w:top w:val="nil"/>
              <w:left w:val="nil"/>
              <w:bottom w:val="single" w:color="auto" w:sz="4" w:space="0"/>
              <w:right w:val="single" w:color="auto" w:sz="4" w:space="0"/>
            </w:tcBorders>
            <w:noWrap/>
            <w:vAlign w:val="center"/>
          </w:tcPr>
          <w:p w14:paraId="337693C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7901244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6CFB175">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603875C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3380" w:type="dxa"/>
            <w:tcBorders>
              <w:top w:val="nil"/>
              <w:left w:val="nil"/>
              <w:bottom w:val="single" w:color="auto" w:sz="4" w:space="0"/>
              <w:right w:val="single" w:color="auto" w:sz="4" w:space="0"/>
            </w:tcBorders>
            <w:noWrap/>
            <w:vAlign w:val="center"/>
          </w:tcPr>
          <w:p w14:paraId="2FD0FE1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54" w:type="dxa"/>
            <w:tcBorders>
              <w:top w:val="nil"/>
              <w:left w:val="nil"/>
              <w:bottom w:val="single" w:color="auto" w:sz="4" w:space="0"/>
              <w:right w:val="single" w:color="auto" w:sz="4" w:space="0"/>
            </w:tcBorders>
            <w:noWrap/>
            <w:vAlign w:val="center"/>
          </w:tcPr>
          <w:p w14:paraId="4934303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6CF34A7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02EB671">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11AEA19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p>
        </w:tc>
        <w:tc>
          <w:tcPr>
            <w:tcW w:w="3380" w:type="dxa"/>
            <w:tcBorders>
              <w:top w:val="nil"/>
              <w:left w:val="nil"/>
              <w:bottom w:val="single" w:color="auto" w:sz="4" w:space="0"/>
              <w:right w:val="single" w:color="auto" w:sz="4" w:space="0"/>
            </w:tcBorders>
            <w:noWrap/>
            <w:vAlign w:val="center"/>
          </w:tcPr>
          <w:p w14:paraId="1EAB4405">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评审指标</w:t>
            </w:r>
          </w:p>
        </w:tc>
        <w:tc>
          <w:tcPr>
            <w:tcW w:w="2754" w:type="dxa"/>
            <w:tcBorders>
              <w:top w:val="nil"/>
              <w:left w:val="nil"/>
              <w:bottom w:val="single" w:color="auto" w:sz="4" w:space="0"/>
              <w:right w:val="single" w:color="auto" w:sz="4" w:space="0"/>
            </w:tcBorders>
            <w:noWrap/>
            <w:vAlign w:val="center"/>
          </w:tcPr>
          <w:p w14:paraId="2AE65FB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1B3AF9F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B9A0F73">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7DE3BEA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380" w:type="dxa"/>
            <w:tcBorders>
              <w:top w:val="nil"/>
              <w:left w:val="nil"/>
              <w:bottom w:val="single" w:color="auto" w:sz="4" w:space="0"/>
              <w:right w:val="single" w:color="auto" w:sz="4" w:space="0"/>
            </w:tcBorders>
            <w:noWrap/>
            <w:vAlign w:val="center"/>
          </w:tcPr>
          <w:p w14:paraId="05197F9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54" w:type="dxa"/>
            <w:tcBorders>
              <w:top w:val="nil"/>
              <w:left w:val="nil"/>
              <w:bottom w:val="single" w:color="auto" w:sz="4" w:space="0"/>
              <w:right w:val="single" w:color="auto" w:sz="4" w:space="0"/>
            </w:tcBorders>
            <w:noWrap/>
            <w:vAlign w:val="center"/>
          </w:tcPr>
          <w:p w14:paraId="39C3F58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469E2D4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C76ECEB">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29A8C6F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380" w:type="dxa"/>
            <w:tcBorders>
              <w:top w:val="nil"/>
              <w:left w:val="nil"/>
              <w:bottom w:val="single" w:color="auto" w:sz="4" w:space="0"/>
              <w:right w:val="single" w:color="auto" w:sz="4" w:space="0"/>
            </w:tcBorders>
            <w:noWrap/>
            <w:vAlign w:val="center"/>
          </w:tcPr>
          <w:p w14:paraId="7370556C">
            <w:pPr>
              <w:widowControl/>
              <w:jc w:val="left"/>
              <w:rPr>
                <w:rFonts w:hint="eastAsia" w:ascii="宋体" w:hAnsi="宋体" w:eastAsia="宋体" w:cs="宋体"/>
                <w:color w:val="auto"/>
                <w:kern w:val="0"/>
                <w:sz w:val="24"/>
                <w:szCs w:val="24"/>
                <w:highlight w:val="none"/>
              </w:rPr>
            </w:pPr>
          </w:p>
        </w:tc>
        <w:tc>
          <w:tcPr>
            <w:tcW w:w="2754" w:type="dxa"/>
            <w:tcBorders>
              <w:top w:val="nil"/>
              <w:left w:val="nil"/>
              <w:bottom w:val="single" w:color="auto" w:sz="4" w:space="0"/>
              <w:right w:val="single" w:color="auto" w:sz="4" w:space="0"/>
            </w:tcBorders>
            <w:noWrap/>
            <w:vAlign w:val="center"/>
          </w:tcPr>
          <w:p w14:paraId="2A1D992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3C50800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DC3A908">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0422173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3380" w:type="dxa"/>
            <w:tcBorders>
              <w:top w:val="nil"/>
              <w:left w:val="nil"/>
              <w:bottom w:val="single" w:color="auto" w:sz="4" w:space="0"/>
              <w:right w:val="single" w:color="auto" w:sz="4" w:space="0"/>
            </w:tcBorders>
            <w:noWrap/>
            <w:vAlign w:val="center"/>
          </w:tcPr>
          <w:p w14:paraId="7C7E837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54" w:type="dxa"/>
            <w:tcBorders>
              <w:top w:val="nil"/>
              <w:left w:val="nil"/>
              <w:bottom w:val="single" w:color="auto" w:sz="4" w:space="0"/>
              <w:right w:val="single" w:color="auto" w:sz="4" w:space="0"/>
            </w:tcBorders>
            <w:noWrap/>
            <w:vAlign w:val="center"/>
          </w:tcPr>
          <w:p w14:paraId="1FCF0F4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3D06E6A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ED0C8FE">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613BE6B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w:t>
            </w:r>
          </w:p>
        </w:tc>
        <w:tc>
          <w:tcPr>
            <w:tcW w:w="3380" w:type="dxa"/>
            <w:tcBorders>
              <w:top w:val="nil"/>
              <w:left w:val="nil"/>
              <w:bottom w:val="single" w:color="auto" w:sz="4" w:space="0"/>
              <w:right w:val="single" w:color="auto" w:sz="4" w:space="0"/>
            </w:tcBorders>
            <w:noWrap/>
            <w:vAlign w:val="center"/>
          </w:tcPr>
          <w:p w14:paraId="6E9FDC6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　</w:t>
            </w:r>
          </w:p>
        </w:tc>
        <w:tc>
          <w:tcPr>
            <w:tcW w:w="2754" w:type="dxa"/>
            <w:tcBorders>
              <w:top w:val="nil"/>
              <w:left w:val="nil"/>
              <w:bottom w:val="single" w:color="auto" w:sz="4" w:space="0"/>
              <w:right w:val="single" w:color="auto" w:sz="4" w:space="0"/>
            </w:tcBorders>
            <w:noWrap/>
            <w:vAlign w:val="center"/>
          </w:tcPr>
          <w:p w14:paraId="75FDE00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7AF7CFF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BCE7878">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5A15A395">
            <w:pPr>
              <w:widowControl/>
              <w:jc w:val="center"/>
              <w:rPr>
                <w:rFonts w:hint="eastAsia" w:ascii="宋体" w:hAnsi="宋体" w:eastAsia="宋体" w:cs="宋体"/>
                <w:color w:val="auto"/>
                <w:kern w:val="0"/>
                <w:sz w:val="24"/>
                <w:szCs w:val="24"/>
                <w:highlight w:val="none"/>
              </w:rPr>
            </w:pPr>
          </w:p>
        </w:tc>
        <w:tc>
          <w:tcPr>
            <w:tcW w:w="3380" w:type="dxa"/>
            <w:tcBorders>
              <w:top w:val="nil"/>
              <w:left w:val="nil"/>
              <w:bottom w:val="single" w:color="auto" w:sz="4" w:space="0"/>
              <w:right w:val="single" w:color="auto" w:sz="4" w:space="0"/>
            </w:tcBorders>
            <w:noWrap/>
            <w:vAlign w:val="center"/>
          </w:tcPr>
          <w:p w14:paraId="7C8E606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54" w:type="dxa"/>
            <w:tcBorders>
              <w:top w:val="nil"/>
              <w:left w:val="nil"/>
              <w:bottom w:val="single" w:color="auto" w:sz="4" w:space="0"/>
              <w:right w:val="single" w:color="auto" w:sz="4" w:space="0"/>
            </w:tcBorders>
            <w:noWrap/>
            <w:vAlign w:val="center"/>
          </w:tcPr>
          <w:p w14:paraId="15DFAE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4B9646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C43AC71">
        <w:tblPrEx>
          <w:tblCellMar>
            <w:top w:w="0" w:type="dxa"/>
            <w:left w:w="108" w:type="dxa"/>
            <w:bottom w:w="0" w:type="dxa"/>
            <w:right w:w="108" w:type="dxa"/>
          </w:tblCellMar>
        </w:tblPrEx>
        <w:trPr>
          <w:trHeight w:val="578" w:hRule="atLeast"/>
        </w:trPr>
        <w:tc>
          <w:tcPr>
            <w:tcW w:w="1090" w:type="dxa"/>
            <w:tcBorders>
              <w:top w:val="nil"/>
              <w:left w:val="single" w:color="auto" w:sz="4" w:space="0"/>
              <w:bottom w:val="single" w:color="auto" w:sz="4" w:space="0"/>
              <w:right w:val="single" w:color="auto" w:sz="4" w:space="0"/>
            </w:tcBorders>
            <w:noWrap/>
            <w:vAlign w:val="center"/>
          </w:tcPr>
          <w:p w14:paraId="4D9961B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380" w:type="dxa"/>
            <w:tcBorders>
              <w:top w:val="nil"/>
              <w:left w:val="nil"/>
              <w:bottom w:val="single" w:color="auto" w:sz="4" w:space="0"/>
              <w:right w:val="single" w:color="auto" w:sz="4" w:space="0"/>
            </w:tcBorders>
            <w:noWrap/>
            <w:vAlign w:val="center"/>
          </w:tcPr>
          <w:p w14:paraId="0DCDB4B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54" w:type="dxa"/>
            <w:tcBorders>
              <w:top w:val="nil"/>
              <w:left w:val="nil"/>
              <w:bottom w:val="single" w:color="auto" w:sz="4" w:space="0"/>
              <w:right w:val="single" w:color="auto" w:sz="4" w:space="0"/>
            </w:tcBorders>
            <w:noWrap/>
            <w:vAlign w:val="center"/>
          </w:tcPr>
          <w:p w14:paraId="0F8EE5A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48" w:type="dxa"/>
            <w:tcBorders>
              <w:top w:val="nil"/>
              <w:left w:val="nil"/>
              <w:bottom w:val="single" w:color="auto" w:sz="4" w:space="0"/>
              <w:right w:val="single" w:color="auto" w:sz="4" w:space="0"/>
            </w:tcBorders>
            <w:noWrap/>
            <w:vAlign w:val="center"/>
          </w:tcPr>
          <w:p w14:paraId="79F01B8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62B2291C">
      <w:pPr>
        <w:pStyle w:val="4"/>
        <w:numPr>
          <w:ilvl w:val="0"/>
          <w:numId w:val="0"/>
        </w:numPr>
        <w:spacing w:before="0" w:after="0" w:line="360" w:lineRule="auto"/>
        <w:jc w:val="center"/>
        <w:rPr>
          <w:rFonts w:hint="eastAsia" w:ascii="宋体" w:hAnsi="宋体" w:eastAsia="宋体" w:cs="宋体"/>
          <w:color w:val="auto"/>
          <w:sz w:val="28"/>
          <w:highlight w:val="none"/>
          <w:lang w:eastAsia="zh-CN"/>
        </w:rPr>
      </w:pPr>
      <w:r>
        <w:rPr>
          <w:rFonts w:hint="eastAsia" w:ascii="宋体" w:hAnsi="宋体" w:eastAsia="宋体" w:cs="宋体"/>
          <w:color w:val="auto"/>
          <w:sz w:val="24"/>
          <w:highlight w:val="none"/>
        </w:rPr>
        <w:br w:type="page"/>
      </w:r>
      <w:bookmarkStart w:id="153" w:name="_Toc10434"/>
      <w:bookmarkStart w:id="154" w:name="_Toc14470"/>
      <w:bookmarkStart w:id="155" w:name="_Toc496587835"/>
      <w:bookmarkStart w:id="156" w:name="_Toc23205"/>
      <w:r>
        <w:rPr>
          <w:rFonts w:hint="eastAsia" w:ascii="宋体" w:hAnsi="宋体" w:eastAsia="宋体" w:cs="宋体"/>
          <w:color w:val="auto"/>
          <w:sz w:val="28"/>
          <w:highlight w:val="none"/>
          <w:lang w:val="en-US" w:eastAsia="zh-CN"/>
        </w:rPr>
        <w:t>十</w:t>
      </w:r>
      <w:r>
        <w:rPr>
          <w:rFonts w:hint="eastAsia" w:ascii="宋体" w:hAnsi="宋体" w:eastAsia="宋体" w:cs="宋体"/>
          <w:color w:val="auto"/>
          <w:sz w:val="28"/>
          <w:highlight w:val="none"/>
          <w:lang w:eastAsia="zh-CN"/>
        </w:rPr>
        <w:t>．</w:t>
      </w:r>
      <w:bookmarkStart w:id="157" w:name="_Hlk91864794"/>
      <w:r>
        <w:rPr>
          <w:rFonts w:hint="eastAsia" w:ascii="宋体" w:hAnsi="宋体" w:eastAsia="宋体" w:cs="宋体"/>
          <w:color w:val="auto"/>
          <w:sz w:val="28"/>
          <w:highlight w:val="none"/>
          <w:lang w:eastAsia="zh-CN"/>
        </w:rPr>
        <w:t>授权书</w:t>
      </w:r>
      <w:bookmarkEnd w:id="153"/>
      <w:bookmarkEnd w:id="154"/>
      <w:bookmarkEnd w:id="155"/>
      <w:bookmarkEnd w:id="156"/>
    </w:p>
    <w:p w14:paraId="584F0C6D">
      <w:pPr>
        <w:pStyle w:val="10"/>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公司（工厂）授权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r>
        <w:rPr>
          <w:rFonts w:hint="eastAsia" w:hAnsi="宋体" w:cs="宋体"/>
          <w:color w:val="auto"/>
          <w:sz w:val="24"/>
          <w:szCs w:val="28"/>
          <w:highlight w:val="none"/>
          <w:lang w:eastAsia="zh-CN"/>
        </w:rPr>
        <w:t>参审单位</w:t>
      </w:r>
      <w:r>
        <w:rPr>
          <w:rFonts w:hint="eastAsia" w:ascii="宋体" w:hAnsi="宋体" w:eastAsia="宋体" w:cs="宋体"/>
          <w:color w:val="auto"/>
          <w:sz w:val="24"/>
          <w:szCs w:val="28"/>
          <w:highlight w:val="none"/>
        </w:rPr>
        <w:t>授权代表姓名，手机号码）代表本公司（工厂）参加</w:t>
      </w:r>
      <w:r>
        <w:rPr>
          <w:rFonts w:hint="eastAsia" w:hAnsi="宋体" w:cs="宋体"/>
          <w:color w:val="auto"/>
          <w:sz w:val="24"/>
          <w:szCs w:val="28"/>
          <w:highlight w:val="none"/>
          <w:lang w:eastAsia="zh-CN"/>
        </w:rPr>
        <w:t>肥西县公共资源交易有限责任公司</w:t>
      </w:r>
      <w:r>
        <w:rPr>
          <w:rFonts w:hint="eastAsia" w:hAnsi="宋体" w:cs="宋体"/>
          <w:b/>
          <w:color w:val="auto"/>
          <w:sz w:val="24"/>
          <w:szCs w:val="28"/>
          <w:highlight w:val="none"/>
          <w:u w:val="single"/>
          <w:lang w:eastAsia="zh-CN"/>
        </w:rPr>
        <w:t>紫云湖小学扩建项目第三方检测</w:t>
      </w:r>
      <w:r>
        <w:rPr>
          <w:rFonts w:hint="eastAsia" w:ascii="宋体" w:hAnsi="宋体" w:eastAsia="宋体" w:cs="宋体"/>
          <w:bCs/>
          <w:color w:val="auto"/>
          <w:sz w:val="24"/>
          <w:szCs w:val="28"/>
          <w:highlight w:val="none"/>
          <w:lang w:eastAsia="zh-CN"/>
        </w:rPr>
        <w:t>谈判</w:t>
      </w:r>
      <w:r>
        <w:rPr>
          <w:rFonts w:hint="eastAsia" w:ascii="宋体" w:hAnsi="宋体" w:eastAsia="宋体" w:cs="宋体"/>
          <w:bCs/>
          <w:color w:val="auto"/>
          <w:sz w:val="24"/>
          <w:szCs w:val="28"/>
          <w:highlight w:val="none"/>
        </w:rPr>
        <w:t>活动（项目编号：</w:t>
      </w:r>
      <w:r>
        <w:rPr>
          <w:rFonts w:hint="eastAsia" w:hAnsi="宋体" w:cs="宋体"/>
          <w:b/>
          <w:color w:val="auto"/>
          <w:sz w:val="24"/>
          <w:szCs w:val="28"/>
          <w:highlight w:val="none"/>
          <w:lang w:eastAsia="zh-CN"/>
        </w:rPr>
        <w:t>2026PHBJ211</w:t>
      </w:r>
      <w:r>
        <w:rPr>
          <w:rFonts w:hint="eastAsia" w:ascii="宋体" w:hAnsi="宋体" w:eastAsia="宋体" w:cs="宋体"/>
          <w:bCs/>
          <w:color w:val="auto"/>
          <w:sz w:val="24"/>
          <w:szCs w:val="28"/>
          <w:highlight w:val="none"/>
        </w:rPr>
        <w:t>）</w:t>
      </w:r>
      <w:r>
        <w:rPr>
          <w:rFonts w:hint="eastAsia" w:ascii="宋体" w:hAnsi="宋体" w:eastAsia="宋体" w:cs="宋体"/>
          <w:color w:val="auto"/>
          <w:sz w:val="24"/>
          <w:szCs w:val="28"/>
          <w:highlight w:val="none"/>
        </w:rPr>
        <w:t>，全权代表本公司处理</w:t>
      </w:r>
      <w:r>
        <w:rPr>
          <w:rFonts w:hint="eastAsia" w:hAnsi="宋体" w:cs="宋体"/>
          <w:color w:val="auto"/>
          <w:sz w:val="24"/>
          <w:szCs w:val="28"/>
          <w:highlight w:val="none"/>
          <w:lang w:val="en-US" w:eastAsia="zh-CN"/>
        </w:rPr>
        <w:t>谈判</w:t>
      </w:r>
      <w:r>
        <w:rPr>
          <w:rFonts w:hint="eastAsia" w:ascii="宋体" w:hAnsi="宋体" w:eastAsia="宋体" w:cs="宋体"/>
          <w:color w:val="auto"/>
          <w:sz w:val="24"/>
          <w:szCs w:val="28"/>
          <w:highlight w:val="none"/>
        </w:rPr>
        <w:t>过程的一切事宜，包括但不限于：</w:t>
      </w:r>
      <w:r>
        <w:rPr>
          <w:rFonts w:hint="eastAsia" w:hAnsi="宋体" w:cs="宋体"/>
          <w:color w:val="auto"/>
          <w:sz w:val="24"/>
          <w:szCs w:val="28"/>
          <w:highlight w:val="none"/>
          <w:lang w:val="en-US" w:eastAsia="zh-CN"/>
        </w:rPr>
        <w:t>投递响应文件</w:t>
      </w:r>
      <w:r>
        <w:rPr>
          <w:rFonts w:hint="eastAsia" w:ascii="宋体" w:hAnsi="宋体" w:eastAsia="宋体" w:cs="宋体"/>
          <w:color w:val="auto"/>
          <w:sz w:val="24"/>
          <w:szCs w:val="28"/>
          <w:highlight w:val="none"/>
        </w:rPr>
        <w:t>、参与</w:t>
      </w:r>
      <w:r>
        <w:rPr>
          <w:rFonts w:hint="eastAsia" w:ascii="宋体" w:hAnsi="宋体" w:eastAsia="宋体" w:cs="宋体"/>
          <w:color w:val="auto"/>
          <w:sz w:val="24"/>
          <w:szCs w:val="28"/>
          <w:highlight w:val="none"/>
          <w:lang w:eastAsia="zh-CN"/>
        </w:rPr>
        <w:t>谈判</w:t>
      </w:r>
      <w:r>
        <w:rPr>
          <w:rFonts w:hint="eastAsia" w:ascii="宋体" w:hAnsi="宋体" w:eastAsia="宋体" w:cs="宋体"/>
          <w:color w:val="auto"/>
          <w:sz w:val="24"/>
          <w:szCs w:val="28"/>
          <w:highlight w:val="none"/>
        </w:rPr>
        <w:t>、谈判、签约等。</w:t>
      </w:r>
      <w:r>
        <w:rPr>
          <w:rFonts w:hint="eastAsia" w:hAnsi="宋体" w:cs="宋体"/>
          <w:color w:val="auto"/>
          <w:sz w:val="24"/>
          <w:szCs w:val="28"/>
          <w:highlight w:val="none"/>
          <w:lang w:eastAsia="zh-CN"/>
        </w:rPr>
        <w:t>参审单位</w:t>
      </w:r>
      <w:r>
        <w:rPr>
          <w:rFonts w:hint="eastAsia" w:ascii="宋体" w:hAnsi="宋体" w:eastAsia="宋体" w:cs="宋体"/>
          <w:color w:val="auto"/>
          <w:sz w:val="24"/>
          <w:szCs w:val="28"/>
          <w:highlight w:val="none"/>
        </w:rPr>
        <w:t>授权代表在</w:t>
      </w:r>
      <w:r>
        <w:rPr>
          <w:rFonts w:hint="eastAsia" w:hAnsi="宋体" w:cs="宋体"/>
          <w:color w:val="auto"/>
          <w:sz w:val="24"/>
          <w:szCs w:val="28"/>
          <w:highlight w:val="none"/>
          <w:lang w:val="en-US" w:eastAsia="zh-CN"/>
        </w:rPr>
        <w:t>谈判</w:t>
      </w:r>
      <w:r>
        <w:rPr>
          <w:rFonts w:hint="eastAsia" w:ascii="宋体" w:hAnsi="宋体" w:eastAsia="宋体" w:cs="宋体"/>
          <w:color w:val="auto"/>
          <w:sz w:val="24"/>
          <w:szCs w:val="28"/>
          <w:highlight w:val="none"/>
        </w:rPr>
        <w:t>过程中所签署的一切文件和处理与之有关的一切事务，本公司均予以认可并对此承担责任。</w:t>
      </w:r>
      <w:r>
        <w:rPr>
          <w:rFonts w:hint="eastAsia" w:hAnsi="宋体" w:cs="宋体"/>
          <w:color w:val="auto"/>
          <w:sz w:val="24"/>
          <w:szCs w:val="28"/>
          <w:highlight w:val="none"/>
          <w:lang w:eastAsia="zh-CN"/>
        </w:rPr>
        <w:t>参审单位</w:t>
      </w:r>
      <w:r>
        <w:rPr>
          <w:rFonts w:hint="eastAsia" w:ascii="宋体" w:hAnsi="宋体" w:eastAsia="宋体" w:cs="宋体"/>
          <w:color w:val="auto"/>
          <w:sz w:val="24"/>
          <w:szCs w:val="28"/>
          <w:highlight w:val="none"/>
        </w:rPr>
        <w:t>授权代表无转委托权。特此授权。</w:t>
      </w:r>
    </w:p>
    <w:p w14:paraId="0E96F44F">
      <w:pPr>
        <w:pStyle w:val="10"/>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1DCB4F17">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mc:AlternateContent>
          <mc:Choice Requires="wpg">
            <w:drawing>
              <wp:anchor distT="0" distB="0" distL="114300" distR="114300" simplePos="0" relativeHeight="251660288" behindDoc="0" locked="0" layoutInCell="1" allowOverlap="1">
                <wp:simplePos x="0" y="0"/>
                <wp:positionH relativeFrom="column">
                  <wp:posOffset>1236980</wp:posOffset>
                </wp:positionH>
                <wp:positionV relativeFrom="paragraph">
                  <wp:posOffset>184785</wp:posOffset>
                </wp:positionV>
                <wp:extent cx="3860165" cy="727710"/>
                <wp:effectExtent l="4445" t="4445" r="21590" b="10795"/>
                <wp:wrapNone/>
                <wp:docPr id="3"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4" name="圆角矩形 2"/>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1FE1C43">
                              <w:pPr>
                                <w:rPr>
                                  <w:rFonts w:hint="eastAsia"/>
                                  <w:color w:val="FF0000"/>
                                </w:rPr>
                              </w:pPr>
                            </w:p>
                            <w:p w14:paraId="22019C8C">
                              <w:pPr>
                                <w:jc w:val="center"/>
                                <w:rPr>
                                  <w:rFonts w:hint="eastAsia"/>
                                </w:rPr>
                              </w:pPr>
                              <w:r>
                                <w:rPr>
                                  <w:rFonts w:hint="eastAsia"/>
                                </w:rPr>
                                <w:t>授权代表身份证</w:t>
                              </w:r>
                            </w:p>
                            <w:p w14:paraId="63BB6E3E">
                              <w:pPr>
                                <w:jc w:val="center"/>
                                <w:rPr>
                                  <w:szCs w:val="21"/>
                                </w:rPr>
                              </w:pPr>
                              <w:r>
                                <w:rPr>
                                  <w:rFonts w:hint="eastAsia"/>
                                </w:rPr>
                                <w:t>扫描件</w:t>
                              </w:r>
                            </w:p>
                          </w:txbxContent>
                        </wps:txbx>
                        <wps:bodyPr upright="1"/>
                      </wps:wsp>
                      <wps:wsp>
                        <wps:cNvPr id="5" name="圆角矩形 3"/>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5198D22">
                              <w:pPr>
                                <w:rPr>
                                  <w:rFonts w:hint="eastAsia"/>
                                  <w:color w:val="FF0000"/>
                                </w:rPr>
                              </w:pPr>
                            </w:p>
                            <w:p w14:paraId="1C0CB56E">
                              <w:pPr>
                                <w:jc w:val="center"/>
                                <w:rPr>
                                  <w:rFonts w:hint="eastAsia"/>
                                </w:rPr>
                              </w:pPr>
                              <w:r>
                                <w:rPr>
                                  <w:rFonts w:hint="eastAsia"/>
                                </w:rPr>
                                <w:t>授权代表身份证</w:t>
                              </w:r>
                            </w:p>
                            <w:p w14:paraId="7CCDBD0D">
                              <w:pPr>
                                <w:jc w:val="center"/>
                                <w:rPr>
                                  <w:szCs w:val="21"/>
                                </w:rPr>
                              </w:pPr>
                              <w:r>
                                <w:rPr>
                                  <w:rFonts w:hint="eastAsia"/>
                                </w:rPr>
                                <w:t>扫描件</w:t>
                              </w:r>
                            </w:p>
                          </w:txbxContent>
                        </wps:txbx>
                        <wps:bodyPr upright="1"/>
                      </wps:wsp>
                    </wpg:wgp>
                  </a:graphicData>
                </a:graphic>
              </wp:anchor>
            </w:drawing>
          </mc:Choice>
          <mc:Fallback>
            <w:pict>
              <v:group id="_x0000_s1026" o:spid="_x0000_s1026" o:spt="203" style="position:absolute;left:0pt;margin-left:97.4pt;margin-top:14.55pt;height:57.3pt;width:303.95pt;z-index:251660288;mso-width-relative:page;mso-height-relative:page;" coordorigin="3270,5789" coordsize="6079,1525" o:gfxdata="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K4yVM3aAAAACgEAAA8AAAAA&#10;AAAAAQAgAAAAIgAAAGRycy9kb3ducmV2LnhtbFBLAQIUABQAAAAIAIdO4kAra66pvQIAACoIAAAO&#10;AAAAAAAAAAEAIAAAACkBAABkcnMvZTJvRG9jLnhtbFBLBQYAAAAABgAGAFkBAABYBgAAAAA=&#10;">
                <o:lock v:ext="edit" aspectratio="f"/>
                <v:roundrect id="圆角矩形 2" o:spid="_x0000_s1026" o:spt="2" style="position:absolute;left:3270;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1FE1C43">
                        <w:pPr>
                          <w:rPr>
                            <w:rFonts w:hint="eastAsia"/>
                            <w:color w:val="FF0000"/>
                          </w:rPr>
                        </w:pPr>
                      </w:p>
                      <w:p w14:paraId="22019C8C">
                        <w:pPr>
                          <w:jc w:val="center"/>
                          <w:rPr>
                            <w:rFonts w:hint="eastAsia"/>
                          </w:rPr>
                        </w:pPr>
                        <w:r>
                          <w:rPr>
                            <w:rFonts w:hint="eastAsia"/>
                          </w:rPr>
                          <w:t>授权代表身份证</w:t>
                        </w:r>
                      </w:p>
                      <w:p w14:paraId="63BB6E3E">
                        <w:pPr>
                          <w:jc w:val="center"/>
                          <w:rPr>
                            <w:szCs w:val="21"/>
                          </w:rPr>
                        </w:pPr>
                        <w:r>
                          <w:rPr>
                            <w:rFonts w:hint="eastAsia"/>
                          </w:rPr>
                          <w:t>扫描件</w:t>
                        </w:r>
                      </w:p>
                    </w:txbxContent>
                  </v:textbox>
                </v:roundrect>
                <v:roundrect id="圆角矩形 3"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5198D22">
                        <w:pPr>
                          <w:rPr>
                            <w:rFonts w:hint="eastAsia"/>
                            <w:color w:val="FF0000"/>
                          </w:rPr>
                        </w:pPr>
                      </w:p>
                      <w:p w14:paraId="1C0CB56E">
                        <w:pPr>
                          <w:jc w:val="center"/>
                          <w:rPr>
                            <w:rFonts w:hint="eastAsia"/>
                          </w:rPr>
                        </w:pPr>
                        <w:r>
                          <w:rPr>
                            <w:rFonts w:hint="eastAsia"/>
                          </w:rPr>
                          <w:t>授权代表身份证</w:t>
                        </w:r>
                      </w:p>
                      <w:p w14:paraId="7CCDBD0D">
                        <w:pPr>
                          <w:jc w:val="center"/>
                          <w:rPr>
                            <w:szCs w:val="21"/>
                          </w:rPr>
                        </w:pPr>
                        <w:r>
                          <w:rPr>
                            <w:rFonts w:hint="eastAsia"/>
                          </w:rPr>
                          <w:t>扫描件</w:t>
                        </w:r>
                      </w:p>
                    </w:txbxContent>
                  </v:textbox>
                </v:roundrect>
              </v:group>
            </w:pict>
          </mc:Fallback>
        </mc:AlternateContent>
      </w:r>
    </w:p>
    <w:p w14:paraId="39495AC2">
      <w:pPr>
        <w:spacing w:line="360" w:lineRule="auto"/>
        <w:ind w:firstLine="64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6AB555">
      <w:pPr>
        <w:spacing w:line="360" w:lineRule="auto"/>
        <w:rPr>
          <w:rFonts w:hint="eastAsia" w:ascii="宋体" w:hAnsi="宋体" w:eastAsia="宋体" w:cs="宋体"/>
          <w:color w:val="auto"/>
          <w:sz w:val="24"/>
          <w:szCs w:val="28"/>
          <w:highlight w:val="none"/>
        </w:rPr>
      </w:pPr>
    </w:p>
    <w:p w14:paraId="30783FD4">
      <w:pPr>
        <w:spacing w:line="360" w:lineRule="auto"/>
        <w:rPr>
          <w:rFonts w:hint="eastAsia" w:ascii="宋体" w:hAnsi="宋体" w:eastAsia="宋体" w:cs="宋体"/>
          <w:color w:val="auto"/>
          <w:sz w:val="24"/>
          <w:szCs w:val="28"/>
          <w:highlight w:val="none"/>
        </w:rPr>
      </w:pPr>
    </w:p>
    <w:p w14:paraId="42E69574">
      <w:pPr>
        <w:spacing w:line="360" w:lineRule="auto"/>
        <w:rPr>
          <w:rFonts w:hint="eastAsia" w:ascii="宋体" w:hAnsi="宋体" w:eastAsia="宋体" w:cs="宋体"/>
          <w:b/>
          <w:bCs/>
          <w:color w:val="auto"/>
          <w:sz w:val="24"/>
          <w:szCs w:val="28"/>
          <w:highlight w:val="none"/>
        </w:rPr>
      </w:pPr>
      <w:r>
        <w:rPr>
          <w:rFonts w:hint="eastAsia" w:ascii="宋体" w:hAnsi="宋体" w:cs="宋体"/>
          <w:b/>
          <w:bCs/>
          <w:color w:val="auto"/>
          <w:sz w:val="24"/>
          <w:szCs w:val="28"/>
          <w:highlight w:val="none"/>
          <w:lang w:eastAsia="zh-CN"/>
        </w:rPr>
        <w:t>参审单位</w:t>
      </w:r>
      <w:r>
        <w:rPr>
          <w:rFonts w:hint="eastAsia" w:ascii="宋体" w:hAnsi="宋体" w:eastAsia="宋体" w:cs="宋体"/>
          <w:b/>
          <w:bCs/>
          <w:color w:val="auto"/>
          <w:sz w:val="24"/>
          <w:szCs w:val="28"/>
          <w:highlight w:val="none"/>
          <w:lang w:eastAsia="zh-CN"/>
        </w:rPr>
        <w:t>公章</w:t>
      </w:r>
      <w:r>
        <w:rPr>
          <w:rFonts w:hint="eastAsia" w:ascii="宋体" w:hAnsi="宋体" w:eastAsia="宋体" w:cs="宋体"/>
          <w:b/>
          <w:bCs/>
          <w:color w:val="auto"/>
          <w:sz w:val="24"/>
          <w:szCs w:val="28"/>
          <w:highlight w:val="none"/>
        </w:rPr>
        <w:t>：</w:t>
      </w:r>
      <w:r>
        <w:rPr>
          <w:rFonts w:hint="eastAsia" w:ascii="宋体" w:hAnsi="宋体" w:eastAsia="宋体" w:cs="宋体"/>
          <w:b/>
          <w:bCs/>
          <w:color w:val="auto"/>
          <w:sz w:val="24"/>
          <w:szCs w:val="28"/>
          <w:highlight w:val="none"/>
          <w:u w:val="single"/>
        </w:rPr>
        <w:t xml:space="preserve">                    </w:t>
      </w:r>
    </w:p>
    <w:p w14:paraId="54BE84E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7BD14F89">
      <w:pPr>
        <w:rPr>
          <w:rFonts w:hint="eastAsia" w:ascii="宋体" w:hAnsi="宋体" w:eastAsia="宋体" w:cs="宋体"/>
          <w:color w:val="auto"/>
          <w:sz w:val="28"/>
          <w:szCs w:val="28"/>
          <w:highlight w:val="none"/>
        </w:rPr>
      </w:pPr>
    </w:p>
    <w:p w14:paraId="5C0BB075">
      <w:pPr>
        <w:pStyle w:val="10"/>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p>
    <w:p w14:paraId="6A607A80">
      <w:pPr>
        <w:pStyle w:val="10"/>
        <w:snapToGrid w:val="0"/>
        <w:spacing w:line="360" w:lineRule="auto"/>
        <w:jc w:val="left"/>
        <w:rPr>
          <w:rFonts w:hint="eastAsia" w:ascii="宋体" w:hAnsi="宋体" w:eastAsia="宋体" w:cs="宋体"/>
          <w:color w:val="auto"/>
          <w:sz w:val="24"/>
          <w:highlight w:val="none"/>
        </w:rPr>
      </w:pPr>
      <w:bookmarkStart w:id="158" w:name="_Toc220232403"/>
      <w:r>
        <w:rPr>
          <w:rFonts w:hint="eastAsia" w:ascii="宋体" w:hAnsi="宋体" w:eastAsia="宋体" w:cs="宋体"/>
          <w:color w:val="auto"/>
          <w:sz w:val="24"/>
          <w:highlight w:val="none"/>
        </w:rPr>
        <w:t>1.本项目只允许有唯一的</w:t>
      </w:r>
      <w:r>
        <w:rPr>
          <w:rFonts w:hint="eastAsia" w:hAnsi="宋体" w:cs="宋体"/>
          <w:color w:val="auto"/>
          <w:sz w:val="24"/>
          <w:highlight w:val="none"/>
          <w:lang w:eastAsia="zh-CN"/>
        </w:rPr>
        <w:t>参审单位</w:t>
      </w:r>
      <w:r>
        <w:rPr>
          <w:rFonts w:hint="eastAsia" w:ascii="宋体" w:hAnsi="宋体" w:eastAsia="宋体" w:cs="宋体"/>
          <w:color w:val="auto"/>
          <w:sz w:val="24"/>
          <w:highlight w:val="none"/>
        </w:rPr>
        <w:t>授权代表，响应文件中提供授权代表身份证扫描件。</w:t>
      </w:r>
    </w:p>
    <w:p w14:paraId="19042B3E">
      <w:pPr>
        <w:pStyle w:val="1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2.法定代表人参加</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的无需此件，但响应文件中须提供身份证扫描件。</w:t>
      </w:r>
    </w:p>
    <w:p w14:paraId="30A57144">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9AD789">
      <w:pPr>
        <w:pStyle w:val="10"/>
        <w:snapToGrid w:val="0"/>
        <w:spacing w:line="360" w:lineRule="auto"/>
        <w:jc w:val="left"/>
        <w:rPr>
          <w:rFonts w:hint="eastAsia" w:ascii="宋体" w:hAnsi="宋体" w:eastAsia="宋体" w:cs="宋体"/>
          <w:color w:val="auto"/>
          <w:sz w:val="24"/>
          <w:highlight w:val="none"/>
        </w:rPr>
      </w:pPr>
    </w:p>
    <w:p w14:paraId="0B24C78A">
      <w:pPr>
        <w:widowControl/>
        <w:jc w:val="center"/>
        <w:rPr>
          <w:rFonts w:hint="eastAsia"/>
          <w:color w:val="auto"/>
          <w:sz w:val="24"/>
          <w:szCs w:val="24"/>
          <w:highlight w:val="none"/>
        </w:rPr>
      </w:pPr>
      <w:bookmarkStart w:id="159" w:name="_Toc520983592"/>
      <w:r>
        <w:rPr>
          <w:rFonts w:hint="eastAsia"/>
          <w:b/>
          <w:color w:val="auto"/>
          <w:sz w:val="24"/>
          <w:highlight w:val="none"/>
          <w:lang w:val="en-US" w:eastAsia="zh-CN"/>
        </w:rPr>
        <w:t>十一</w:t>
      </w:r>
      <w:r>
        <w:rPr>
          <w:rFonts w:hint="eastAsia"/>
          <w:b/>
          <w:color w:val="auto"/>
          <w:sz w:val="24"/>
          <w:highlight w:val="none"/>
        </w:rPr>
        <w:t>、无不良信用记录声明函</w:t>
      </w:r>
      <w:bookmarkEnd w:id="159"/>
    </w:p>
    <w:p w14:paraId="09D97680">
      <w:pPr>
        <w:spacing w:line="360" w:lineRule="auto"/>
        <w:jc w:val="center"/>
        <w:rPr>
          <w:rFonts w:hint="eastAsia"/>
          <w:i/>
          <w:color w:val="auto"/>
          <w:sz w:val="24"/>
          <w:highlight w:val="none"/>
        </w:rPr>
      </w:pPr>
      <w:r>
        <w:rPr>
          <w:rFonts w:hint="eastAsia"/>
          <w:i/>
          <w:color w:val="auto"/>
          <w:sz w:val="24"/>
          <w:highlight w:val="none"/>
        </w:rPr>
        <w:t>（联合体参加</w:t>
      </w:r>
      <w:r>
        <w:rPr>
          <w:rFonts w:hint="eastAsia"/>
          <w:i/>
          <w:color w:val="auto"/>
          <w:sz w:val="24"/>
          <w:highlight w:val="none"/>
          <w:lang w:eastAsia="zh-CN"/>
        </w:rPr>
        <w:t>谈判</w:t>
      </w:r>
      <w:r>
        <w:rPr>
          <w:rFonts w:hint="eastAsia"/>
          <w:i/>
          <w:color w:val="auto"/>
          <w:sz w:val="24"/>
          <w:highlight w:val="none"/>
        </w:rPr>
        <w:t>的，联合体双方均须提供）</w:t>
      </w:r>
    </w:p>
    <w:p w14:paraId="4455352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1、本单位郑重声明，我单位无以下不良信用记录情形：</w:t>
      </w:r>
    </w:p>
    <w:p w14:paraId="647406A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（1）在</w:t>
      </w:r>
      <w:r>
        <w:rPr>
          <w:rFonts w:hint="eastAsia" w:cs="宋体"/>
          <w:b/>
          <w:bCs/>
          <w:color w:val="auto"/>
          <w:sz w:val="24"/>
          <w:szCs w:val="24"/>
          <w:highlight w:val="none"/>
        </w:rPr>
        <w:t>国家企业信用信息公示系统</w:t>
      </w:r>
      <w:r>
        <w:rPr>
          <w:rFonts w:hint="eastAsia" w:cs="宋体"/>
          <w:color w:val="auto"/>
          <w:sz w:val="24"/>
          <w:szCs w:val="24"/>
          <w:highlight w:val="none"/>
        </w:rPr>
        <w:t>（http://www.gsxt.gov.cn/）中被列入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76D83905">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4CED91F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1C8435F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1E401656">
      <w:pPr>
        <w:spacing w:line="360" w:lineRule="auto"/>
        <w:jc w:val="center"/>
        <w:rPr>
          <w:rFonts w:hint="eastAsia" w:cs="宋体"/>
          <w:color w:val="auto"/>
          <w:sz w:val="24"/>
          <w:szCs w:val="24"/>
          <w:highlight w:val="none"/>
        </w:rPr>
      </w:pPr>
    </w:p>
    <w:p w14:paraId="38C6EB64">
      <w:pPr>
        <w:spacing w:line="360" w:lineRule="auto"/>
        <w:jc w:val="center"/>
        <w:rPr>
          <w:rFonts w:hint="eastAsia" w:cs="宋体"/>
          <w:color w:val="auto"/>
          <w:sz w:val="24"/>
          <w:szCs w:val="24"/>
          <w:highlight w:val="none"/>
        </w:rPr>
      </w:pPr>
    </w:p>
    <w:p w14:paraId="3412598D">
      <w:pPr>
        <w:spacing w:line="360" w:lineRule="auto"/>
        <w:jc w:val="center"/>
        <w:rPr>
          <w:rFonts w:hint="eastAsia" w:cs="宋体"/>
          <w:color w:val="auto"/>
          <w:sz w:val="24"/>
          <w:szCs w:val="24"/>
          <w:highlight w:val="none"/>
        </w:rPr>
      </w:pPr>
    </w:p>
    <w:p w14:paraId="1191966E">
      <w:pPr>
        <w:spacing w:line="360" w:lineRule="auto"/>
        <w:ind w:firstLine="3840" w:firstLineChars="1600"/>
        <w:rPr>
          <w:rFonts w:hint="eastAsia" w:cs="宋体"/>
          <w:color w:val="auto"/>
          <w:sz w:val="24"/>
          <w:szCs w:val="24"/>
          <w:highlight w:val="none"/>
        </w:rPr>
      </w:pPr>
      <w:r>
        <w:rPr>
          <w:rFonts w:hint="eastAsia" w:ascii="宋体" w:hAnsi="宋体" w:cs="宋体"/>
          <w:b w:val="0"/>
          <w:bCs w:val="0"/>
          <w:color w:val="auto"/>
          <w:sz w:val="24"/>
          <w:szCs w:val="28"/>
          <w:highlight w:val="none"/>
          <w:lang w:eastAsia="zh-CN"/>
        </w:rPr>
        <w:t>参审单位</w:t>
      </w:r>
      <w:r>
        <w:rPr>
          <w:rFonts w:hint="eastAsia" w:cs="宋体"/>
          <w:b w:val="0"/>
          <w:bCs w:val="0"/>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60D44E4F">
      <w:pPr>
        <w:keepNext/>
        <w:keepLines/>
        <w:numPr>
          <w:ilvl w:val="0"/>
          <w:numId w:val="0"/>
        </w:numPr>
        <w:spacing w:before="260" w:after="260" w:line="416" w:lineRule="auto"/>
        <w:jc w:val="center"/>
        <w:outlineLvl w:val="2"/>
        <w:rPr>
          <w:rFonts w:cs="宋体"/>
          <w:color w:val="auto"/>
          <w:sz w:val="24"/>
          <w:szCs w:val="24"/>
          <w:highlight w:val="none"/>
          <w:u w:val="singl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1BFCAF01">
      <w:pPr>
        <w:pStyle w:val="10"/>
        <w:snapToGrid w:val="0"/>
        <w:spacing w:line="360" w:lineRule="auto"/>
        <w:jc w:val="left"/>
        <w:rPr>
          <w:rFonts w:hint="eastAsia" w:ascii="宋体" w:hAnsi="宋体" w:eastAsia="宋体" w:cs="宋体"/>
          <w:color w:val="auto"/>
          <w:sz w:val="24"/>
          <w:highlight w:val="none"/>
        </w:rPr>
      </w:pPr>
    </w:p>
    <w:bookmarkEnd w:id="157"/>
    <w:p w14:paraId="5A9135AE">
      <w:pPr>
        <w:pStyle w:val="10"/>
        <w:snapToGrid w:val="0"/>
        <w:spacing w:line="360" w:lineRule="auto"/>
        <w:jc w:val="left"/>
        <w:rPr>
          <w:rFonts w:hint="eastAsia" w:ascii="宋体" w:hAnsi="宋体" w:eastAsia="宋体" w:cs="宋体"/>
          <w:color w:val="auto"/>
          <w:sz w:val="24"/>
          <w:highlight w:val="none"/>
        </w:rPr>
      </w:pPr>
    </w:p>
    <w:p w14:paraId="4994B547">
      <w:pPr>
        <w:pStyle w:val="10"/>
        <w:snapToGrid w:val="0"/>
        <w:spacing w:line="360" w:lineRule="auto"/>
        <w:jc w:val="left"/>
        <w:rPr>
          <w:rFonts w:hint="eastAsia" w:ascii="宋体" w:hAnsi="宋体" w:eastAsia="宋体" w:cs="宋体"/>
          <w:color w:val="auto"/>
          <w:sz w:val="24"/>
          <w:highlight w:val="none"/>
        </w:rPr>
      </w:pPr>
    </w:p>
    <w:p w14:paraId="26E1F2B1">
      <w:pPr>
        <w:pStyle w:val="10"/>
        <w:snapToGrid w:val="0"/>
        <w:spacing w:line="360" w:lineRule="auto"/>
        <w:jc w:val="left"/>
        <w:rPr>
          <w:rFonts w:hint="eastAsia" w:ascii="宋体" w:hAnsi="宋体" w:eastAsia="宋体" w:cs="宋体"/>
          <w:color w:val="auto"/>
          <w:sz w:val="24"/>
          <w:highlight w:val="none"/>
        </w:rPr>
      </w:pPr>
    </w:p>
    <w:p w14:paraId="5C0B3921">
      <w:pPr>
        <w:pStyle w:val="10"/>
        <w:snapToGrid w:val="0"/>
        <w:spacing w:line="360" w:lineRule="auto"/>
        <w:jc w:val="left"/>
        <w:rPr>
          <w:rFonts w:hint="eastAsia" w:ascii="宋体" w:hAnsi="宋体" w:eastAsia="宋体" w:cs="宋体"/>
          <w:color w:val="auto"/>
          <w:sz w:val="24"/>
          <w:highlight w:val="none"/>
        </w:rPr>
      </w:pPr>
    </w:p>
    <w:p w14:paraId="7A70F9A8">
      <w:pPr>
        <w:pStyle w:val="10"/>
        <w:snapToGrid w:val="0"/>
        <w:spacing w:line="360" w:lineRule="auto"/>
        <w:jc w:val="left"/>
        <w:rPr>
          <w:rFonts w:hint="eastAsia" w:ascii="宋体" w:hAnsi="宋体" w:eastAsia="宋体" w:cs="宋体"/>
          <w:color w:val="auto"/>
          <w:sz w:val="24"/>
          <w:highlight w:val="none"/>
        </w:rPr>
      </w:pPr>
    </w:p>
    <w:p w14:paraId="3E295DE6">
      <w:pPr>
        <w:pStyle w:val="10"/>
        <w:snapToGrid w:val="0"/>
        <w:spacing w:line="360" w:lineRule="auto"/>
        <w:jc w:val="left"/>
        <w:rPr>
          <w:rFonts w:hint="eastAsia" w:ascii="宋体" w:hAnsi="宋体" w:eastAsia="宋体" w:cs="宋体"/>
          <w:color w:val="auto"/>
          <w:sz w:val="24"/>
          <w:highlight w:val="none"/>
        </w:rPr>
      </w:pPr>
    </w:p>
    <w:p w14:paraId="5504B8F9">
      <w:pPr>
        <w:pStyle w:val="10"/>
        <w:snapToGrid w:val="0"/>
        <w:spacing w:line="360" w:lineRule="auto"/>
        <w:jc w:val="left"/>
        <w:rPr>
          <w:rFonts w:hint="eastAsia" w:ascii="宋体" w:hAnsi="宋体" w:eastAsia="宋体" w:cs="宋体"/>
          <w:color w:val="auto"/>
          <w:sz w:val="24"/>
          <w:highlight w:val="none"/>
        </w:rPr>
      </w:pPr>
    </w:p>
    <w:p w14:paraId="4AB8A77D">
      <w:pPr>
        <w:pStyle w:val="10"/>
        <w:snapToGrid w:val="0"/>
        <w:spacing w:line="360" w:lineRule="auto"/>
        <w:jc w:val="left"/>
        <w:rPr>
          <w:rFonts w:hint="eastAsia" w:ascii="宋体" w:hAnsi="宋体" w:eastAsia="宋体" w:cs="宋体"/>
          <w:color w:val="auto"/>
          <w:sz w:val="24"/>
          <w:szCs w:val="24"/>
          <w:highlight w:val="none"/>
        </w:rPr>
      </w:pPr>
    </w:p>
    <w:p w14:paraId="1FCF10EA">
      <w:pPr>
        <w:rPr>
          <w:rFonts w:hint="eastAsia" w:ascii="宋体" w:hAnsi="宋体" w:eastAsia="宋体" w:cs="宋体"/>
          <w:color w:val="auto"/>
          <w:sz w:val="28"/>
          <w:highlight w:val="none"/>
        </w:rPr>
      </w:pPr>
      <w:bookmarkStart w:id="160" w:name="_Toc451019075"/>
      <w:bookmarkStart w:id="161" w:name="_Toc300210382"/>
      <w:bookmarkStart w:id="162" w:name="_Toc496587826"/>
      <w:bookmarkStart w:id="163" w:name="_Toc496587836"/>
      <w:bookmarkStart w:id="164" w:name="_Toc30343"/>
      <w:bookmarkStart w:id="165" w:name="_Toc8740"/>
      <w:bookmarkStart w:id="166" w:name="_Toc11449"/>
      <w:r>
        <w:rPr>
          <w:rFonts w:hint="eastAsia" w:ascii="宋体" w:hAnsi="宋体" w:eastAsia="宋体" w:cs="宋体"/>
          <w:color w:val="auto"/>
          <w:sz w:val="28"/>
          <w:highlight w:val="none"/>
        </w:rPr>
        <w:br w:type="page"/>
      </w:r>
    </w:p>
    <w:p w14:paraId="7F36DF55">
      <w:pPr>
        <w:pStyle w:val="4"/>
        <w:rPr>
          <w:rFonts w:hint="eastAsia" w:ascii="宋体" w:hAnsi="宋体" w:eastAsia="宋体" w:cs="宋体"/>
          <w:color w:val="auto"/>
          <w:sz w:val="28"/>
          <w:highlight w:val="none"/>
        </w:rPr>
      </w:pPr>
      <w:r>
        <w:rPr>
          <w:rFonts w:hint="eastAsia" w:ascii="宋体" w:hAnsi="宋体" w:eastAsia="宋体" w:cs="宋体"/>
          <w:color w:val="auto"/>
          <w:sz w:val="28"/>
          <w:highlight w:val="none"/>
        </w:rPr>
        <w:t>十</w:t>
      </w:r>
      <w:r>
        <w:rPr>
          <w:rFonts w:hint="eastAsia" w:hAnsi="宋体" w:cs="宋体"/>
          <w:color w:val="auto"/>
          <w:sz w:val="28"/>
          <w:highlight w:val="none"/>
          <w:lang w:val="en-US" w:eastAsia="zh-CN"/>
        </w:rPr>
        <w:t>一</w:t>
      </w:r>
      <w:r>
        <w:rPr>
          <w:rFonts w:hint="eastAsia" w:ascii="宋体" w:hAnsi="宋体" w:eastAsia="宋体" w:cs="宋体"/>
          <w:color w:val="auto"/>
          <w:sz w:val="28"/>
          <w:highlight w:val="none"/>
        </w:rPr>
        <w:t>．</w:t>
      </w:r>
      <w:bookmarkEnd w:id="158"/>
      <w:bookmarkEnd w:id="160"/>
      <w:bookmarkEnd w:id="161"/>
      <w:bookmarkEnd w:id="162"/>
      <w:bookmarkEnd w:id="163"/>
      <w:bookmarkStart w:id="167" w:name="_Toc471675534"/>
      <w:bookmarkStart w:id="168" w:name="_Toc389124158"/>
      <w:bookmarkStart w:id="169" w:name="_Toc496587837"/>
      <w:bookmarkStart w:id="170" w:name="_Hlk91864812"/>
      <w:r>
        <w:rPr>
          <w:rFonts w:hint="eastAsia" w:hAnsi="宋体" w:cs="宋体"/>
          <w:color w:val="auto"/>
          <w:sz w:val="28"/>
          <w:highlight w:val="none"/>
          <w:lang w:eastAsia="zh-CN"/>
        </w:rPr>
        <w:t>参审单位</w:t>
      </w:r>
      <w:r>
        <w:rPr>
          <w:rFonts w:hint="eastAsia" w:ascii="宋体" w:hAnsi="宋体" w:eastAsia="宋体" w:cs="宋体"/>
          <w:color w:val="auto"/>
          <w:sz w:val="28"/>
          <w:highlight w:val="none"/>
        </w:rPr>
        <w:t>认为需提供的其他资料</w:t>
      </w:r>
      <w:bookmarkEnd w:id="164"/>
      <w:bookmarkEnd w:id="165"/>
      <w:bookmarkEnd w:id="166"/>
      <w:bookmarkEnd w:id="167"/>
      <w:bookmarkEnd w:id="168"/>
      <w:bookmarkEnd w:id="169"/>
    </w:p>
    <w:p w14:paraId="063BE4BF">
      <w:pPr>
        <w:spacing w:line="500" w:lineRule="exact"/>
        <w:rPr>
          <w:rFonts w:hint="eastAsia" w:ascii="宋体" w:hAnsi="宋体" w:eastAsia="宋体" w:cs="宋体"/>
          <w:color w:val="auto"/>
          <w:highlight w:val="none"/>
        </w:rPr>
      </w:pPr>
      <w:r>
        <w:rPr>
          <w:rFonts w:hint="eastAsia" w:ascii="宋体" w:hAnsi="宋体" w:eastAsia="宋体" w:cs="宋体"/>
          <w:b/>
          <w:bCs/>
          <w:color w:val="auto"/>
          <w:sz w:val="30"/>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cs="宋体"/>
          <w:bCs/>
          <w:color w:val="auto"/>
          <w:sz w:val="24"/>
          <w:szCs w:val="24"/>
          <w:highlight w:val="none"/>
          <w:lang w:eastAsia="zh-CN"/>
        </w:rPr>
        <w:t>参审单位</w:t>
      </w:r>
      <w:r>
        <w:rPr>
          <w:rFonts w:hint="eastAsia" w:ascii="宋体" w:hAnsi="宋体" w:eastAsia="宋体" w:cs="宋体"/>
          <w:bCs/>
          <w:color w:val="auto"/>
          <w:sz w:val="24"/>
          <w:szCs w:val="24"/>
          <w:highlight w:val="none"/>
        </w:rPr>
        <w:t>可自行制作格式</w:t>
      </w:r>
      <w:r>
        <w:rPr>
          <w:rFonts w:hint="eastAsia" w:ascii="宋体" w:hAnsi="宋体" w:eastAsia="宋体" w:cs="宋体"/>
          <w:b/>
          <w:bCs/>
          <w:color w:val="auto"/>
          <w:sz w:val="24"/>
          <w:szCs w:val="24"/>
          <w:highlight w:val="none"/>
        </w:rPr>
        <w:t>）</w:t>
      </w:r>
    </w:p>
    <w:p w14:paraId="486DB9BF">
      <w:pPr>
        <w:rPr>
          <w:rFonts w:hint="eastAsia" w:ascii="宋体" w:hAnsi="宋体" w:eastAsia="宋体" w:cs="宋体"/>
          <w:color w:val="auto"/>
          <w:sz w:val="24"/>
          <w:highlight w:val="none"/>
        </w:rPr>
      </w:pPr>
    </w:p>
    <w:p w14:paraId="2F99B89F">
      <w:pPr>
        <w:rPr>
          <w:rFonts w:hint="eastAsia" w:ascii="宋体" w:hAnsi="宋体" w:eastAsia="宋体" w:cs="宋体"/>
          <w:color w:val="auto"/>
          <w:sz w:val="24"/>
          <w:highlight w:val="none"/>
        </w:rPr>
      </w:pPr>
    </w:p>
    <w:p w14:paraId="0BA23EA6">
      <w:pPr>
        <w:rPr>
          <w:rFonts w:hint="eastAsia" w:ascii="宋体" w:hAnsi="宋体" w:eastAsia="宋体" w:cs="宋体"/>
          <w:color w:val="auto"/>
          <w:sz w:val="24"/>
          <w:highlight w:val="none"/>
        </w:rPr>
      </w:pPr>
    </w:p>
    <w:p w14:paraId="510AC582">
      <w:pPr>
        <w:rPr>
          <w:rFonts w:hint="eastAsia" w:ascii="宋体" w:hAnsi="宋体" w:eastAsia="宋体" w:cs="宋体"/>
          <w:color w:val="auto"/>
          <w:sz w:val="24"/>
          <w:highlight w:val="none"/>
        </w:rPr>
      </w:pPr>
    </w:p>
    <w:p w14:paraId="6D210548">
      <w:pPr>
        <w:rPr>
          <w:rFonts w:hint="eastAsia" w:ascii="宋体" w:hAnsi="宋体" w:eastAsia="宋体" w:cs="宋体"/>
          <w:color w:val="auto"/>
          <w:sz w:val="24"/>
          <w:highlight w:val="none"/>
        </w:rPr>
      </w:pPr>
    </w:p>
    <w:p w14:paraId="366BC834">
      <w:pPr>
        <w:rPr>
          <w:rFonts w:hint="eastAsia" w:ascii="宋体" w:hAnsi="宋体" w:eastAsia="宋体" w:cs="宋体"/>
          <w:color w:val="auto"/>
          <w:sz w:val="24"/>
          <w:highlight w:val="none"/>
        </w:rPr>
      </w:pPr>
    </w:p>
    <w:p w14:paraId="1533EE0E">
      <w:pPr>
        <w:rPr>
          <w:rFonts w:hint="eastAsia" w:ascii="宋体" w:hAnsi="宋体" w:eastAsia="宋体" w:cs="宋体"/>
          <w:color w:val="auto"/>
          <w:sz w:val="24"/>
          <w:highlight w:val="none"/>
        </w:rPr>
      </w:pPr>
    </w:p>
    <w:p w14:paraId="0237F3ED">
      <w:pPr>
        <w:rPr>
          <w:rFonts w:hint="eastAsia" w:ascii="宋体" w:hAnsi="宋体" w:eastAsia="宋体" w:cs="宋体"/>
          <w:color w:val="auto"/>
          <w:sz w:val="24"/>
          <w:highlight w:val="none"/>
        </w:rPr>
      </w:pPr>
    </w:p>
    <w:p w14:paraId="1EF0E703">
      <w:pPr>
        <w:rPr>
          <w:rFonts w:hint="eastAsia" w:ascii="宋体" w:hAnsi="宋体" w:eastAsia="宋体" w:cs="宋体"/>
          <w:color w:val="auto"/>
          <w:sz w:val="24"/>
          <w:highlight w:val="none"/>
        </w:rPr>
      </w:pPr>
    </w:p>
    <w:bookmarkEnd w:id="170"/>
    <w:p w14:paraId="78CC5C09">
      <w:pPr>
        <w:rPr>
          <w:rFonts w:hint="eastAsia" w:ascii="宋体" w:hAnsi="宋体" w:eastAsia="宋体" w:cs="宋体"/>
          <w:color w:val="auto"/>
          <w:sz w:val="24"/>
          <w:highlight w:val="none"/>
        </w:rPr>
      </w:pPr>
    </w:p>
    <w:p w14:paraId="3E98868B">
      <w:pPr>
        <w:rPr>
          <w:rFonts w:hint="eastAsia" w:ascii="宋体" w:hAnsi="宋体" w:eastAsia="宋体" w:cs="宋体"/>
          <w:color w:val="auto"/>
          <w:sz w:val="24"/>
          <w:highlight w:val="none"/>
        </w:rPr>
      </w:pPr>
    </w:p>
    <w:p w14:paraId="61B36634">
      <w:pPr>
        <w:rPr>
          <w:rFonts w:hint="eastAsia" w:ascii="宋体" w:hAnsi="宋体" w:eastAsia="宋体" w:cs="宋体"/>
          <w:color w:val="auto"/>
          <w:sz w:val="24"/>
          <w:highlight w:val="none"/>
        </w:rPr>
      </w:pPr>
    </w:p>
    <w:p w14:paraId="421CF380">
      <w:pPr>
        <w:rPr>
          <w:rFonts w:hint="eastAsia" w:ascii="宋体" w:hAnsi="宋体" w:eastAsia="宋体" w:cs="宋体"/>
          <w:color w:val="auto"/>
          <w:sz w:val="24"/>
          <w:highlight w:val="none"/>
        </w:rPr>
      </w:pPr>
    </w:p>
    <w:p w14:paraId="0E27A644">
      <w:pPr>
        <w:rPr>
          <w:rFonts w:hint="eastAsia" w:ascii="宋体" w:hAnsi="宋体" w:eastAsia="宋体" w:cs="宋体"/>
          <w:color w:val="auto"/>
          <w:sz w:val="24"/>
          <w:highlight w:val="none"/>
        </w:rPr>
      </w:pPr>
    </w:p>
    <w:p w14:paraId="30ECEE40">
      <w:pPr>
        <w:rPr>
          <w:rFonts w:hint="eastAsia" w:ascii="宋体" w:hAnsi="宋体" w:eastAsia="宋体" w:cs="宋体"/>
          <w:color w:val="auto"/>
          <w:sz w:val="24"/>
          <w:highlight w:val="none"/>
        </w:rPr>
      </w:pPr>
    </w:p>
    <w:p w14:paraId="09EF6722">
      <w:pPr>
        <w:rPr>
          <w:rFonts w:hint="eastAsia" w:ascii="宋体" w:hAnsi="宋体" w:eastAsia="宋体" w:cs="宋体"/>
          <w:color w:val="auto"/>
          <w:sz w:val="24"/>
          <w:highlight w:val="none"/>
        </w:rPr>
      </w:pPr>
    </w:p>
    <w:p w14:paraId="69D42344">
      <w:pPr>
        <w:rPr>
          <w:rFonts w:hint="eastAsia" w:ascii="宋体" w:hAnsi="宋体" w:eastAsia="宋体" w:cs="宋体"/>
          <w:color w:val="auto"/>
          <w:sz w:val="24"/>
          <w:highlight w:val="none"/>
        </w:rPr>
      </w:pPr>
    </w:p>
    <w:p w14:paraId="2FFF3204">
      <w:pPr>
        <w:rPr>
          <w:rFonts w:hint="eastAsia" w:ascii="宋体" w:hAnsi="宋体" w:eastAsia="宋体" w:cs="宋体"/>
          <w:color w:val="auto"/>
          <w:sz w:val="24"/>
          <w:highlight w:val="none"/>
        </w:rPr>
      </w:pPr>
    </w:p>
    <w:p w14:paraId="40AB26C5">
      <w:pPr>
        <w:rPr>
          <w:rFonts w:hint="eastAsia" w:ascii="宋体" w:hAnsi="宋体" w:eastAsia="宋体" w:cs="宋体"/>
          <w:color w:val="auto"/>
          <w:sz w:val="24"/>
          <w:highlight w:val="none"/>
        </w:rPr>
      </w:pPr>
    </w:p>
    <w:p w14:paraId="4E0EDCEF">
      <w:pPr>
        <w:rPr>
          <w:rFonts w:hint="eastAsia" w:ascii="宋体" w:hAnsi="宋体" w:eastAsia="宋体" w:cs="宋体"/>
          <w:color w:val="auto"/>
          <w:sz w:val="24"/>
          <w:highlight w:val="none"/>
        </w:rPr>
      </w:pPr>
    </w:p>
    <w:p w14:paraId="02E23FC7">
      <w:pPr>
        <w:rPr>
          <w:rFonts w:hint="eastAsia" w:ascii="宋体" w:hAnsi="宋体" w:eastAsia="宋体" w:cs="宋体"/>
          <w:color w:val="auto"/>
          <w:sz w:val="24"/>
          <w:highlight w:val="none"/>
        </w:rPr>
      </w:pPr>
    </w:p>
    <w:p w14:paraId="777907E1">
      <w:pPr>
        <w:rPr>
          <w:rFonts w:hint="eastAsia" w:ascii="宋体" w:hAnsi="宋体" w:eastAsia="宋体" w:cs="宋体"/>
          <w:color w:val="auto"/>
          <w:sz w:val="24"/>
          <w:highlight w:val="none"/>
        </w:rPr>
      </w:pPr>
    </w:p>
    <w:p w14:paraId="0069DDFE">
      <w:pPr>
        <w:rPr>
          <w:rFonts w:hint="eastAsia" w:ascii="宋体" w:hAnsi="宋体" w:eastAsia="宋体" w:cs="宋体"/>
          <w:color w:val="auto"/>
          <w:sz w:val="24"/>
          <w:highlight w:val="none"/>
        </w:rPr>
      </w:pPr>
    </w:p>
    <w:p w14:paraId="166903AD">
      <w:pPr>
        <w:rPr>
          <w:rFonts w:hint="eastAsia" w:ascii="宋体" w:hAnsi="宋体" w:eastAsia="宋体" w:cs="宋体"/>
          <w:color w:val="auto"/>
          <w:sz w:val="24"/>
          <w:highlight w:val="none"/>
        </w:rPr>
      </w:pPr>
    </w:p>
    <w:p w14:paraId="46BCD863">
      <w:pPr>
        <w:rPr>
          <w:rFonts w:hint="eastAsia" w:ascii="宋体" w:hAnsi="宋体" w:eastAsia="宋体" w:cs="宋体"/>
          <w:color w:val="auto"/>
          <w:sz w:val="24"/>
          <w:highlight w:val="none"/>
        </w:rPr>
      </w:pPr>
    </w:p>
    <w:p w14:paraId="6CAD8426">
      <w:pPr>
        <w:rPr>
          <w:rFonts w:hint="eastAsia" w:ascii="宋体" w:hAnsi="宋体" w:eastAsia="宋体" w:cs="宋体"/>
          <w:color w:val="auto"/>
          <w:sz w:val="24"/>
          <w:highlight w:val="none"/>
        </w:rPr>
      </w:pPr>
    </w:p>
    <w:p w14:paraId="2E336B13">
      <w:pPr>
        <w:rPr>
          <w:rFonts w:hint="eastAsia" w:ascii="宋体" w:hAnsi="宋体" w:eastAsia="宋体" w:cs="宋体"/>
          <w:color w:val="auto"/>
          <w:sz w:val="24"/>
          <w:highlight w:val="none"/>
        </w:rPr>
      </w:pPr>
    </w:p>
    <w:p w14:paraId="77AB47C7">
      <w:pPr>
        <w:rPr>
          <w:rFonts w:hint="eastAsia" w:ascii="宋体" w:hAnsi="宋体" w:eastAsia="宋体" w:cs="宋体"/>
          <w:color w:val="auto"/>
          <w:sz w:val="24"/>
          <w:highlight w:val="none"/>
        </w:rPr>
      </w:pPr>
    </w:p>
    <w:p w14:paraId="7F89DBB0">
      <w:pPr>
        <w:rPr>
          <w:rFonts w:hint="eastAsia" w:ascii="宋体" w:hAnsi="宋体" w:eastAsia="宋体" w:cs="宋体"/>
          <w:color w:val="auto"/>
          <w:sz w:val="24"/>
          <w:highlight w:val="none"/>
        </w:rPr>
      </w:pPr>
    </w:p>
    <w:p w14:paraId="000E6F76">
      <w:pPr>
        <w:rPr>
          <w:rFonts w:hint="eastAsia" w:ascii="宋体" w:hAnsi="宋体" w:eastAsia="宋体" w:cs="宋体"/>
          <w:color w:val="auto"/>
          <w:sz w:val="24"/>
          <w:highlight w:val="none"/>
        </w:rPr>
      </w:pPr>
    </w:p>
    <w:p w14:paraId="250178AA">
      <w:pPr>
        <w:rPr>
          <w:rFonts w:hint="eastAsia" w:ascii="宋体" w:hAnsi="宋体" w:eastAsia="宋体" w:cs="宋体"/>
          <w:color w:val="auto"/>
          <w:sz w:val="24"/>
          <w:highlight w:val="none"/>
        </w:rPr>
      </w:pPr>
    </w:p>
    <w:p w14:paraId="4DAA934D">
      <w:pPr>
        <w:rPr>
          <w:rFonts w:hint="eastAsia" w:ascii="宋体" w:hAnsi="宋体" w:eastAsia="宋体" w:cs="宋体"/>
          <w:color w:val="auto"/>
          <w:sz w:val="24"/>
          <w:highlight w:val="none"/>
        </w:rPr>
      </w:pPr>
    </w:p>
    <w:p w14:paraId="4AA84FA2">
      <w:pPr>
        <w:rPr>
          <w:rFonts w:hint="eastAsia" w:ascii="宋体" w:hAnsi="宋体" w:eastAsia="宋体" w:cs="宋体"/>
          <w:color w:val="auto"/>
          <w:sz w:val="24"/>
          <w:highlight w:val="none"/>
        </w:rPr>
      </w:pPr>
    </w:p>
    <w:p w14:paraId="31D2C9E1">
      <w:pPr>
        <w:rPr>
          <w:rFonts w:hint="eastAsia" w:ascii="宋体" w:hAnsi="宋体" w:eastAsia="宋体" w:cs="宋体"/>
          <w:color w:val="auto"/>
          <w:sz w:val="24"/>
          <w:highlight w:val="none"/>
        </w:rPr>
      </w:pPr>
    </w:p>
    <w:p w14:paraId="6E38C296">
      <w:pPr>
        <w:rPr>
          <w:rFonts w:hint="eastAsia" w:ascii="宋体" w:hAnsi="宋体" w:eastAsia="宋体" w:cs="宋体"/>
          <w:color w:val="auto"/>
          <w:sz w:val="24"/>
          <w:highlight w:val="none"/>
        </w:rPr>
      </w:pPr>
    </w:p>
    <w:p w14:paraId="4B915169">
      <w:pPr>
        <w:rPr>
          <w:rFonts w:hint="eastAsia" w:ascii="宋体" w:hAnsi="宋体" w:eastAsia="宋体" w:cs="宋体"/>
          <w:color w:val="auto"/>
          <w:sz w:val="24"/>
          <w:highlight w:val="none"/>
        </w:rPr>
      </w:pPr>
    </w:p>
    <w:p w14:paraId="5A275179">
      <w:pPr>
        <w:rPr>
          <w:rFonts w:hint="eastAsia" w:ascii="宋体" w:hAnsi="宋体" w:eastAsia="宋体" w:cs="宋体"/>
          <w:color w:val="auto"/>
          <w:sz w:val="24"/>
          <w:highlight w:val="none"/>
        </w:rPr>
      </w:pPr>
    </w:p>
    <w:p w14:paraId="4BD727F7">
      <w:pPr>
        <w:spacing w:line="360" w:lineRule="auto"/>
        <w:jc w:val="center"/>
        <w:rPr>
          <w:rFonts w:hint="eastAsia" w:ascii="宋体" w:hAnsi="宋体" w:eastAsia="宋体" w:cs="宋体"/>
          <w:color w:val="auto"/>
          <w:sz w:val="24"/>
          <w:szCs w:val="24"/>
          <w:highlight w:val="none"/>
        </w:rPr>
      </w:pPr>
    </w:p>
    <w:p w14:paraId="0CACEDE3">
      <w:pPr>
        <w:rPr>
          <w:rFonts w:hint="eastAsia" w:ascii="宋体" w:hAnsi="宋体" w:eastAsia="宋体" w:cs="宋体"/>
          <w:color w:val="auto"/>
          <w:highlight w:val="none"/>
        </w:rPr>
      </w:pPr>
    </w:p>
    <w:p w14:paraId="27F6608A">
      <w:pPr>
        <w:rPr>
          <w:rFonts w:hint="eastAsia" w:ascii="宋体" w:hAnsi="宋体" w:eastAsia="宋体" w:cs="宋体"/>
          <w:color w:val="auto"/>
          <w:highlight w:val="none"/>
        </w:rPr>
      </w:pPr>
    </w:p>
    <w:p w14:paraId="187035DB">
      <w:pPr>
        <w:pageBreakBefore/>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附件：全流程电子采购具体要求</w:t>
      </w:r>
      <w:r>
        <w:rPr>
          <w:rStyle w:val="29"/>
          <w:rFonts w:hint="eastAsia" w:ascii="宋体" w:hAnsi="宋体" w:eastAsia="宋体" w:cs="宋体"/>
          <w:b/>
          <w:bCs/>
          <w:color w:val="auto"/>
          <w:sz w:val="44"/>
          <w:szCs w:val="44"/>
          <w:highlight w:val="none"/>
        </w:rPr>
        <w:footnoteReference w:id="0"/>
      </w:r>
    </w:p>
    <w:p w14:paraId="59C08D26">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说明：当采用非招标方式进行全流程电子采购活动时，按照本规定执行，其中本要求“</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按“供应商”理解，“投标文件”按“响应文件”理解，“招标文件”按“采购文件”理解，“投标文件递交截止时间”按“首次递交响应文件截止时间”理解，“开标”按“开启响应文件”理解，“评标委员会”按“评审小组”理解，“投标无效”按“响应文件无效”理解。</w:t>
      </w:r>
    </w:p>
    <w:p w14:paraId="428E8BE0">
      <w:pPr>
        <w:spacing w:line="400" w:lineRule="exact"/>
        <w:ind w:firstLine="420" w:firstLineChars="200"/>
        <w:rPr>
          <w:rFonts w:hint="eastAsia" w:ascii="宋体" w:hAnsi="宋体" w:eastAsia="宋体" w:cs="宋体"/>
          <w:color w:val="auto"/>
          <w:szCs w:val="24"/>
          <w:highlight w:val="none"/>
        </w:rPr>
      </w:pPr>
    </w:p>
    <w:p w14:paraId="1C8D28C8">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w:t>
      </w:r>
      <w:r>
        <w:rPr>
          <w:rFonts w:hint="eastAsia" w:ascii="宋体" w:hAnsi="宋体" w:eastAsia="宋体" w:cs="宋体"/>
          <w:color w:val="auto"/>
          <w:highlight w:val="none"/>
        </w:rPr>
        <w:t>CA</w:t>
      </w:r>
      <w:r>
        <w:rPr>
          <w:rFonts w:hint="eastAsia" w:ascii="宋体" w:hAnsi="宋体" w:eastAsia="宋体" w:cs="宋体"/>
          <w:color w:val="auto"/>
          <w:szCs w:val="24"/>
          <w:highlight w:val="none"/>
        </w:rPr>
        <w:t>证书办理和注意事项</w:t>
      </w:r>
    </w:p>
    <w:p w14:paraId="77D8F30D">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1.本项目采用全流程电子招标采购方式，</w:t>
      </w:r>
      <w:r>
        <w:rPr>
          <w:rFonts w:hint="eastAsia" w:ascii="宋体" w:hAnsi="宋体" w:eastAsia="宋体" w:cs="宋体"/>
          <w:color w:val="auto"/>
          <w:highlight w:val="none"/>
        </w:rPr>
        <w:t>潜在</w:t>
      </w:r>
      <w:r>
        <w:rPr>
          <w:rFonts w:hint="eastAsia" w:ascii="宋体" w:hAnsi="宋体" w:cs="宋体"/>
          <w:color w:val="auto"/>
          <w:highlight w:val="none"/>
          <w:lang w:eastAsia="zh-CN"/>
        </w:rPr>
        <w:t>参审单位</w:t>
      </w:r>
      <w:r>
        <w:rPr>
          <w:rFonts w:hint="eastAsia" w:ascii="宋体" w:hAnsi="宋体" w:eastAsia="宋体" w:cs="宋体"/>
          <w:color w:val="auto"/>
          <w:highlight w:val="none"/>
        </w:rPr>
        <w:t>应及时办理CA证书，用于对投标文件进行电子签章及加、解密。</w:t>
      </w:r>
    </w:p>
    <w:p w14:paraId="227B3E9A">
      <w:pPr>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szCs w:val="24"/>
          <w:highlight w:val="none"/>
        </w:rPr>
        <w:t>2.CA</w:t>
      </w:r>
      <w:r>
        <w:rPr>
          <w:rFonts w:hint="eastAsia" w:ascii="宋体" w:hAnsi="宋体" w:eastAsia="宋体" w:cs="宋体"/>
          <w:color w:val="auto"/>
          <w:highlight w:val="none"/>
        </w:rPr>
        <w:t>证书</w:t>
      </w:r>
      <w:r>
        <w:rPr>
          <w:rFonts w:hint="eastAsia" w:ascii="宋体" w:hAnsi="宋体" w:eastAsia="宋体" w:cs="宋体"/>
          <w:color w:val="auto"/>
          <w:szCs w:val="24"/>
          <w:highlight w:val="none"/>
        </w:rPr>
        <w:t>办理详见</w:t>
      </w:r>
      <w:r>
        <w:rPr>
          <w:rFonts w:hint="eastAsia" w:ascii="宋体" w:hAnsi="宋体" w:eastAsia="宋体" w:cs="宋体"/>
          <w:bCs/>
          <w:color w:val="auto"/>
          <w:highlight w:val="none"/>
        </w:rPr>
        <w:t>《优质采平台CA数字证书办理说明》：</w:t>
      </w:r>
    </w:p>
    <w:p w14:paraId="273495B3">
      <w:pPr>
        <w:spacing w:line="400" w:lineRule="exact"/>
        <w:rPr>
          <w:rFonts w:hint="eastAsia" w:ascii="宋体" w:hAnsi="宋体" w:eastAsia="宋体" w:cs="宋体"/>
          <w:b/>
          <w:bCs/>
          <w:color w:val="auto"/>
          <w:highlight w:val="none"/>
        </w:rPr>
      </w:pPr>
      <w:r>
        <w:rPr>
          <w:rFonts w:hint="eastAsia" w:ascii="宋体" w:hAnsi="宋体" w:eastAsia="宋体" w:cs="宋体"/>
          <w:bCs/>
          <w:color w:val="auto"/>
          <w:highlight w:val="none"/>
          <w:u w:val="single"/>
        </w:rPr>
        <w:fldChar w:fldCharType="begin"/>
      </w:r>
      <w:r>
        <w:rPr>
          <w:rFonts w:hint="eastAsia" w:ascii="宋体" w:hAnsi="宋体" w:eastAsia="宋体" w:cs="宋体"/>
          <w:bCs/>
          <w:color w:val="auto"/>
          <w:highlight w:val="none"/>
          <w:u w:val="single"/>
        </w:rPr>
        <w:instrText xml:space="preserve"> HYPERLINK "http://www.youzhicai.com/ActivityTopic/AdviceDetail/8f80a7ec-911f-4c4d-a123-f8849880f045" </w:instrText>
      </w:r>
      <w:r>
        <w:rPr>
          <w:rFonts w:hint="eastAsia" w:ascii="宋体" w:hAnsi="宋体" w:eastAsia="宋体" w:cs="宋体"/>
          <w:bCs/>
          <w:color w:val="auto"/>
          <w:highlight w:val="none"/>
          <w:u w:val="single"/>
        </w:rPr>
        <w:fldChar w:fldCharType="separate"/>
      </w:r>
      <w:r>
        <w:rPr>
          <w:rStyle w:val="28"/>
          <w:rFonts w:hint="eastAsia" w:ascii="宋体" w:hAnsi="宋体" w:eastAsia="宋体" w:cs="宋体"/>
          <w:bCs/>
          <w:color w:val="auto"/>
          <w:highlight w:val="none"/>
        </w:rPr>
        <w:t>http://www.youzhicai.com/ActivityTopic/AdviceDetail/8f80a7ec-911f-4c4d-a123-f</w:t>
      </w:r>
      <w:bookmarkStart w:id="171" w:name="_Hlt105085548"/>
      <w:bookmarkStart w:id="172" w:name="_Hlt105085547"/>
      <w:r>
        <w:rPr>
          <w:rStyle w:val="28"/>
          <w:rFonts w:hint="eastAsia" w:ascii="宋体" w:hAnsi="宋体" w:eastAsia="宋体" w:cs="宋体"/>
          <w:bCs/>
          <w:color w:val="auto"/>
          <w:highlight w:val="none"/>
        </w:rPr>
        <w:t>8</w:t>
      </w:r>
      <w:bookmarkEnd w:id="171"/>
      <w:bookmarkEnd w:id="172"/>
      <w:r>
        <w:rPr>
          <w:rStyle w:val="28"/>
          <w:rFonts w:hint="eastAsia" w:ascii="宋体" w:hAnsi="宋体" w:eastAsia="宋体" w:cs="宋体"/>
          <w:bCs/>
          <w:color w:val="auto"/>
          <w:highlight w:val="none"/>
        </w:rPr>
        <w:t>849880f045</w:t>
      </w:r>
      <w:r>
        <w:rPr>
          <w:rFonts w:hint="eastAsia" w:ascii="宋体" w:hAnsi="宋体" w:eastAsia="宋体" w:cs="宋体"/>
          <w:bCs/>
          <w:color w:val="auto"/>
          <w:highlight w:val="none"/>
          <w:u w:val="single"/>
        </w:rPr>
        <w:fldChar w:fldCharType="end"/>
      </w:r>
      <w:r>
        <w:rPr>
          <w:rFonts w:hint="eastAsia" w:ascii="宋体" w:hAnsi="宋体" w:eastAsia="宋体" w:cs="宋体"/>
          <w:bCs/>
          <w:color w:val="auto"/>
          <w:highlight w:val="none"/>
        </w:rPr>
        <w:t>。</w:t>
      </w:r>
    </w:p>
    <w:p w14:paraId="6B7F1792">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3.CA</w:t>
      </w:r>
      <w:r>
        <w:rPr>
          <w:rFonts w:hint="eastAsia" w:ascii="宋体" w:hAnsi="宋体" w:eastAsia="宋体" w:cs="宋体"/>
          <w:color w:val="auto"/>
          <w:highlight w:val="none"/>
        </w:rPr>
        <w:t>证书</w:t>
      </w:r>
      <w:r>
        <w:rPr>
          <w:rFonts w:hint="eastAsia" w:ascii="宋体" w:hAnsi="宋体" w:eastAsia="宋体" w:cs="宋体"/>
          <w:color w:val="auto"/>
          <w:szCs w:val="24"/>
          <w:highlight w:val="none"/>
        </w:rPr>
        <w:t>到期或即将到期，须在递交投标文件前办理续期。</w:t>
      </w:r>
    </w:p>
    <w:p w14:paraId="108BE0C0">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4"/>
          <w:highlight w:val="none"/>
        </w:rPr>
        <w:t>4.CA锁</w:t>
      </w:r>
      <w:r>
        <w:rPr>
          <w:rFonts w:hint="eastAsia" w:ascii="宋体" w:hAnsi="宋体" w:eastAsia="宋体" w:cs="宋体"/>
          <w:color w:val="auto"/>
          <w:highlight w:val="none"/>
        </w:rPr>
        <w:t>遗失、损坏等无法使用，须在递交投标文件前补办CA锁。</w:t>
      </w:r>
    </w:p>
    <w:p w14:paraId="643E7D5A">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4"/>
          <w:highlight w:val="none"/>
        </w:rPr>
        <w:t>5.企业</w:t>
      </w:r>
      <w:r>
        <w:rPr>
          <w:rFonts w:hint="eastAsia" w:ascii="宋体" w:hAnsi="宋体" w:eastAsia="宋体" w:cs="宋体"/>
          <w:color w:val="auto"/>
          <w:highlight w:val="none"/>
        </w:rPr>
        <w:t>信息（包括但不限于企业名称和法定代表人信息）发生变更的，须在递交投标文件前变更CA证书。</w:t>
      </w:r>
    </w:p>
    <w:p w14:paraId="1DDC85CF">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6.</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由于</w:t>
      </w:r>
      <w:r>
        <w:rPr>
          <w:rFonts w:hint="eastAsia" w:ascii="宋体" w:hAnsi="宋体" w:eastAsia="宋体" w:cs="宋体"/>
          <w:color w:val="auto"/>
          <w:highlight w:val="none"/>
        </w:rPr>
        <w:t>CA证书</w:t>
      </w:r>
      <w:r>
        <w:rPr>
          <w:rFonts w:hint="eastAsia" w:ascii="宋体" w:hAnsi="宋体" w:eastAsia="宋体" w:cs="宋体"/>
          <w:color w:val="auto"/>
          <w:szCs w:val="24"/>
          <w:highlight w:val="none"/>
        </w:rPr>
        <w:t>遗失、损坏、更换、续期、企业信息变更等情况导致投标文件无法解密的，由</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自行承担责任；</w:t>
      </w:r>
    </w:p>
    <w:p w14:paraId="024D0F0F">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7.加密和解密投标文件</w:t>
      </w:r>
      <w:r>
        <w:rPr>
          <w:rFonts w:hint="eastAsia" w:ascii="宋体" w:hAnsi="宋体" w:eastAsia="宋体" w:cs="宋体"/>
          <w:color w:val="auto"/>
          <w:highlight w:val="none"/>
        </w:rPr>
        <w:t>必须使用同一个CA证书</w:t>
      </w:r>
      <w:r>
        <w:rPr>
          <w:rFonts w:hint="eastAsia" w:ascii="宋体" w:hAnsi="宋体" w:eastAsia="宋体" w:cs="宋体"/>
          <w:color w:val="auto"/>
          <w:szCs w:val="24"/>
          <w:highlight w:val="none"/>
        </w:rPr>
        <w:t>。</w:t>
      </w:r>
    </w:p>
    <w:p w14:paraId="00C6E3EF">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二、制作、签章、加密、上传电子投标文件</w:t>
      </w:r>
    </w:p>
    <w:p w14:paraId="067B76C7">
      <w:pPr>
        <w:spacing w:line="400" w:lineRule="exact"/>
        <w:ind w:firstLine="420" w:firstLineChars="200"/>
        <w:rPr>
          <w:rStyle w:val="28"/>
          <w:rFonts w:hint="eastAsia" w:ascii="宋体" w:hAnsi="宋体" w:eastAsia="宋体" w:cs="宋体"/>
          <w:color w:val="auto"/>
          <w:highlight w:val="none"/>
        </w:rPr>
      </w:pPr>
      <w:r>
        <w:rPr>
          <w:rFonts w:hint="eastAsia" w:ascii="宋体" w:hAnsi="宋体" w:eastAsia="宋体" w:cs="宋体"/>
          <w:color w:val="auto"/>
          <w:szCs w:val="24"/>
          <w:highlight w:val="none"/>
        </w:rPr>
        <w:t>8.本项目采用全流程电子化招标采购方式，潜在</w:t>
      </w:r>
      <w:r>
        <w:rPr>
          <w:rFonts w:hint="eastAsia" w:ascii="宋体" w:hAnsi="宋体" w:cs="宋体"/>
          <w:color w:val="auto"/>
          <w:highlight w:val="none"/>
          <w:lang w:eastAsia="zh-CN"/>
        </w:rPr>
        <w:t>参审单位</w:t>
      </w:r>
      <w:r>
        <w:rPr>
          <w:rFonts w:hint="eastAsia" w:ascii="宋体" w:hAnsi="宋体" w:eastAsia="宋体" w:cs="宋体"/>
          <w:color w:val="auto"/>
          <w:highlight w:val="none"/>
        </w:rPr>
        <w:t>需使用</w:t>
      </w:r>
      <w:r>
        <w:rPr>
          <w:rFonts w:hint="eastAsia" w:ascii="宋体" w:hAnsi="宋体" w:eastAsia="宋体" w:cs="宋体"/>
          <w:color w:val="auto"/>
          <w:szCs w:val="24"/>
          <w:highlight w:val="none"/>
        </w:rPr>
        <w:t>“优质采投标工具客户端”（以下简称“投标工具”）制作</w:t>
      </w:r>
      <w:r>
        <w:rPr>
          <w:rFonts w:hint="eastAsia" w:ascii="宋体" w:hAnsi="宋体" w:eastAsia="宋体" w:cs="宋体"/>
          <w:color w:val="auto"/>
          <w:highlight w:val="none"/>
        </w:rPr>
        <w:t>电子投标文件，</w:t>
      </w:r>
      <w:r>
        <w:rPr>
          <w:rFonts w:hint="eastAsia" w:ascii="宋体" w:hAnsi="宋体" w:eastAsia="宋体" w:cs="宋体"/>
          <w:color w:val="auto"/>
          <w:szCs w:val="24"/>
          <w:highlight w:val="none"/>
        </w:rPr>
        <w:t>投标工具及操作说明下载地址：</w:t>
      </w:r>
      <w:r>
        <w:rPr>
          <w:rStyle w:val="28"/>
          <w:rFonts w:hint="eastAsia" w:ascii="宋体" w:hAnsi="宋体" w:eastAsia="宋体" w:cs="宋体"/>
          <w:color w:val="auto"/>
          <w:highlight w:val="none"/>
        </w:rPr>
        <w:fldChar w:fldCharType="begin"/>
      </w:r>
      <w:r>
        <w:rPr>
          <w:rStyle w:val="28"/>
          <w:rFonts w:hint="eastAsia" w:ascii="宋体" w:hAnsi="宋体" w:eastAsia="宋体" w:cs="宋体"/>
          <w:color w:val="auto"/>
          <w:highlight w:val="none"/>
        </w:rPr>
        <w:instrText xml:space="preserve"> HYPERLINK "https://toolcdn.youzhicai.com/tools/BidderTools.zip" </w:instrText>
      </w:r>
      <w:r>
        <w:rPr>
          <w:rStyle w:val="28"/>
          <w:rFonts w:hint="eastAsia" w:ascii="宋体" w:hAnsi="宋体" w:eastAsia="宋体" w:cs="宋体"/>
          <w:color w:val="auto"/>
          <w:highlight w:val="none"/>
        </w:rPr>
        <w:fldChar w:fldCharType="separate"/>
      </w:r>
      <w:r>
        <w:rPr>
          <w:rStyle w:val="28"/>
          <w:rFonts w:hint="eastAsia" w:ascii="宋体" w:hAnsi="宋体" w:eastAsia="宋体" w:cs="宋体"/>
          <w:color w:val="auto"/>
          <w:highlight w:val="none"/>
        </w:rPr>
        <w:t>https://toolcdn.youzhicai.com/tools/BidderTools.zip</w:t>
      </w:r>
      <w:r>
        <w:rPr>
          <w:rStyle w:val="28"/>
          <w:rFonts w:hint="eastAsia" w:ascii="宋体" w:hAnsi="宋体" w:eastAsia="宋体" w:cs="宋体"/>
          <w:color w:val="auto"/>
          <w:highlight w:val="none"/>
        </w:rPr>
        <w:fldChar w:fldCharType="end"/>
      </w:r>
      <w:r>
        <w:rPr>
          <w:rStyle w:val="28"/>
          <w:rFonts w:hint="eastAsia" w:ascii="宋体" w:hAnsi="宋体" w:eastAsia="宋体" w:cs="宋体"/>
          <w:color w:val="auto"/>
          <w:highlight w:val="none"/>
        </w:rPr>
        <w:t>。</w:t>
      </w:r>
    </w:p>
    <w:p w14:paraId="72325636">
      <w:pPr>
        <w:spacing w:line="400" w:lineRule="exact"/>
        <w:ind w:firstLine="420" w:firstLineChars="200"/>
        <w:rPr>
          <w:rStyle w:val="28"/>
          <w:rFonts w:hint="eastAsia" w:ascii="宋体" w:hAnsi="宋体" w:eastAsia="宋体" w:cs="宋体"/>
          <w:color w:val="auto"/>
          <w:highlight w:val="none"/>
          <w:u w:val="none"/>
        </w:rPr>
      </w:pPr>
      <w:r>
        <w:rPr>
          <w:rStyle w:val="28"/>
          <w:rFonts w:hint="eastAsia" w:ascii="宋体" w:hAnsi="宋体" w:eastAsia="宋体" w:cs="宋体"/>
          <w:color w:val="auto"/>
          <w:highlight w:val="none"/>
          <w:u w:val="none"/>
        </w:rPr>
        <w:tab/>
      </w:r>
      <w:r>
        <w:rPr>
          <w:rStyle w:val="28"/>
          <w:rFonts w:hint="eastAsia" w:ascii="宋体" w:hAnsi="宋体" w:eastAsia="宋体" w:cs="宋体"/>
          <w:color w:val="auto"/>
          <w:highlight w:val="none"/>
          <w:u w:val="none"/>
        </w:rPr>
        <w:t>8.1.投标工具建议在window7或windows10操作系统下使用；</w:t>
      </w:r>
    </w:p>
    <w:p w14:paraId="5432BF73">
      <w:pPr>
        <w:spacing w:line="400" w:lineRule="exact"/>
        <w:ind w:firstLine="420" w:firstLineChars="200"/>
        <w:rPr>
          <w:rFonts w:hint="eastAsia" w:ascii="宋体" w:hAnsi="宋体" w:eastAsia="宋体" w:cs="宋体"/>
          <w:bCs/>
          <w:color w:val="auto"/>
          <w:sz w:val="18"/>
          <w:highlight w:val="none"/>
        </w:rPr>
      </w:pPr>
      <w:r>
        <w:rPr>
          <w:rStyle w:val="28"/>
          <w:rFonts w:hint="eastAsia" w:ascii="宋体" w:hAnsi="宋体" w:eastAsia="宋体" w:cs="宋体"/>
          <w:color w:val="auto"/>
          <w:highlight w:val="none"/>
          <w:u w:val="none"/>
        </w:rPr>
        <w:tab/>
      </w:r>
      <w:r>
        <w:rPr>
          <w:rStyle w:val="28"/>
          <w:rFonts w:hint="eastAsia" w:ascii="宋体" w:hAnsi="宋体" w:eastAsia="宋体" w:cs="宋体"/>
          <w:color w:val="auto"/>
          <w:highlight w:val="none"/>
          <w:u w:val="none"/>
        </w:rPr>
        <w:t>8.2.电子投标文件编制建议使用</w:t>
      </w:r>
      <w:r>
        <w:rPr>
          <w:rFonts w:hint="eastAsia" w:ascii="宋体" w:hAnsi="宋体" w:eastAsia="宋体" w:cs="宋体"/>
          <w:color w:val="auto"/>
          <w:highlight w:val="none"/>
        </w:rPr>
        <w:t>office2010版本。</w:t>
      </w:r>
    </w:p>
    <w:p w14:paraId="3DC23677">
      <w:pPr>
        <w:wordWrap w:val="0"/>
        <w:spacing w:line="400" w:lineRule="exact"/>
        <w:rPr>
          <w:rFonts w:hint="eastAsia" w:ascii="宋体" w:hAnsi="宋体" w:eastAsia="宋体" w:cs="宋体"/>
          <w:bCs/>
          <w:color w:val="auto"/>
          <w:highlight w:val="none"/>
          <w:u w:val="single"/>
        </w:rPr>
      </w:pP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9.</w:t>
      </w:r>
      <w:r>
        <w:rPr>
          <w:rFonts w:hint="eastAsia" w:ascii="宋体" w:hAnsi="宋体" w:eastAsia="宋体" w:cs="宋体"/>
          <w:color w:val="auto"/>
          <w:highlight w:val="none"/>
        </w:rPr>
        <w:t>潜在</w:t>
      </w:r>
      <w:r>
        <w:rPr>
          <w:rFonts w:hint="eastAsia" w:ascii="宋体" w:hAnsi="宋体" w:cs="宋体"/>
          <w:color w:val="auto"/>
          <w:highlight w:val="none"/>
          <w:lang w:eastAsia="zh-CN"/>
        </w:rPr>
        <w:t>参审单位</w:t>
      </w:r>
      <w:r>
        <w:rPr>
          <w:rFonts w:hint="eastAsia" w:ascii="宋体" w:hAnsi="宋体" w:eastAsia="宋体" w:cs="宋体"/>
          <w:color w:val="auto"/>
          <w:highlight w:val="none"/>
        </w:rPr>
        <w:t>制作电子投标文件后，需在</w:t>
      </w:r>
      <w:r>
        <w:rPr>
          <w:rFonts w:hint="eastAsia" w:ascii="宋体" w:hAnsi="宋体" w:eastAsia="宋体" w:cs="宋体"/>
          <w:color w:val="auto"/>
          <w:szCs w:val="24"/>
          <w:highlight w:val="none"/>
        </w:rPr>
        <w:t>投标工具</w:t>
      </w:r>
      <w:r>
        <w:rPr>
          <w:rFonts w:hint="eastAsia" w:ascii="宋体" w:hAnsi="宋体" w:eastAsia="宋体" w:cs="宋体"/>
          <w:color w:val="auto"/>
          <w:highlight w:val="none"/>
        </w:rPr>
        <w:t>对电子投标文件进行电子签章（项目有特殊说明的除外），并使用CA</w:t>
      </w:r>
      <w:r>
        <w:rPr>
          <w:rFonts w:hint="eastAsia" w:ascii="宋体" w:hAnsi="宋体" w:eastAsia="宋体" w:cs="宋体"/>
          <w:color w:val="auto"/>
          <w:szCs w:val="24"/>
          <w:highlight w:val="none"/>
        </w:rPr>
        <w:t>证书进行</w:t>
      </w:r>
      <w:r>
        <w:rPr>
          <w:rFonts w:hint="eastAsia" w:ascii="宋体" w:hAnsi="宋体" w:eastAsia="宋体" w:cs="宋体"/>
          <w:color w:val="auto"/>
          <w:highlight w:val="none"/>
        </w:rPr>
        <w:t>加密。在</w:t>
      </w:r>
      <w:r>
        <w:rPr>
          <w:rFonts w:hint="eastAsia" w:ascii="宋体" w:hAnsi="宋体" w:eastAsia="宋体" w:cs="宋体"/>
          <w:color w:val="auto"/>
          <w:szCs w:val="24"/>
          <w:highlight w:val="none"/>
        </w:rPr>
        <w:t>投标工具使用CA证书</w:t>
      </w:r>
      <w:r>
        <w:rPr>
          <w:rFonts w:hint="eastAsia" w:ascii="宋体" w:hAnsi="宋体" w:eastAsia="宋体" w:cs="宋体"/>
          <w:color w:val="auto"/>
          <w:highlight w:val="none"/>
        </w:rPr>
        <w:t>时需安装“优质采数字证书助手”</w:t>
      </w:r>
      <w:r>
        <w:rPr>
          <w:rFonts w:hint="eastAsia" w:ascii="宋体" w:hAnsi="宋体" w:eastAsia="宋体" w:cs="宋体"/>
          <w:color w:val="auto"/>
          <w:szCs w:val="24"/>
          <w:highlight w:val="none"/>
        </w:rPr>
        <w:t xml:space="preserve"> （即数字证书驱动）</w:t>
      </w:r>
      <w:r>
        <w:rPr>
          <w:rFonts w:hint="eastAsia" w:ascii="宋体" w:hAnsi="宋体" w:eastAsia="宋体" w:cs="宋体"/>
          <w:color w:val="auto"/>
          <w:highlight w:val="none"/>
        </w:rPr>
        <w:t>，下载地址：</w:t>
      </w:r>
      <w:r>
        <w:rPr>
          <w:rStyle w:val="28"/>
          <w:rFonts w:hint="eastAsia" w:ascii="宋体" w:hAnsi="宋体" w:eastAsia="宋体" w:cs="宋体"/>
          <w:color w:val="auto"/>
          <w:highlight w:val="none"/>
        </w:rPr>
        <w:fldChar w:fldCharType="begin"/>
      </w:r>
      <w:r>
        <w:rPr>
          <w:rStyle w:val="28"/>
          <w:rFonts w:hint="eastAsia" w:ascii="宋体" w:hAnsi="宋体" w:eastAsia="宋体" w:cs="宋体"/>
          <w:color w:val="auto"/>
          <w:highlight w:val="none"/>
        </w:rPr>
        <w:instrText xml:space="preserve"> HYPERLINK "https://toolcdn.youzhicai.com/ca.zip" </w:instrText>
      </w:r>
      <w:r>
        <w:rPr>
          <w:rStyle w:val="28"/>
          <w:rFonts w:hint="eastAsia" w:ascii="宋体" w:hAnsi="宋体" w:eastAsia="宋体" w:cs="宋体"/>
          <w:color w:val="auto"/>
          <w:highlight w:val="none"/>
        </w:rPr>
        <w:fldChar w:fldCharType="separate"/>
      </w:r>
      <w:r>
        <w:rPr>
          <w:rStyle w:val="28"/>
          <w:rFonts w:hint="eastAsia" w:ascii="宋体" w:hAnsi="宋体" w:eastAsia="宋体" w:cs="宋体"/>
          <w:color w:val="auto"/>
          <w:highlight w:val="none"/>
        </w:rPr>
        <w:t>https://toolcdn.youzhicai.com/ca.zip</w:t>
      </w:r>
      <w:r>
        <w:rPr>
          <w:rStyle w:val="28"/>
          <w:rFonts w:hint="eastAsia" w:ascii="宋体" w:hAnsi="宋体" w:eastAsia="宋体" w:cs="宋体"/>
          <w:color w:val="auto"/>
          <w:highlight w:val="none"/>
        </w:rPr>
        <w:fldChar w:fldCharType="end"/>
      </w:r>
      <w:r>
        <w:rPr>
          <w:rStyle w:val="28"/>
          <w:rFonts w:hint="eastAsia" w:ascii="宋体" w:hAnsi="宋体" w:eastAsia="宋体" w:cs="宋体"/>
          <w:color w:val="auto"/>
          <w:highlight w:val="none"/>
        </w:rPr>
        <w:t>。</w:t>
      </w:r>
    </w:p>
    <w:p w14:paraId="2CE07DFF">
      <w:pPr>
        <w:wordWrap w:val="0"/>
        <w:spacing w:line="400" w:lineRule="exact"/>
        <w:rPr>
          <w:rFonts w:hint="eastAsia" w:ascii="宋体" w:hAnsi="宋体" w:eastAsia="宋体" w:cs="宋体"/>
          <w:color w:val="auto"/>
          <w:szCs w:val="24"/>
          <w:highlight w:val="none"/>
        </w:rPr>
      </w:pPr>
      <w:r>
        <w:rPr>
          <w:rFonts w:hint="eastAsia" w:ascii="宋体" w:hAnsi="宋体" w:eastAsia="宋体" w:cs="宋体"/>
          <w:color w:val="auto"/>
          <w:highlight w:val="none"/>
        </w:rPr>
        <w:tab/>
      </w:r>
      <w:r>
        <w:rPr>
          <w:rFonts w:hint="eastAsia" w:ascii="宋体" w:hAnsi="宋体" w:eastAsia="宋体" w:cs="宋体"/>
          <w:color w:val="auto"/>
          <w:szCs w:val="24"/>
          <w:highlight w:val="none"/>
        </w:rPr>
        <w:t>10.潜在</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完成制作、签章、加密投标文件后，需在</w:t>
      </w:r>
      <w:r>
        <w:rPr>
          <w:rFonts w:hint="eastAsia" w:ascii="宋体" w:hAnsi="宋体" w:eastAsia="宋体" w:cs="宋体"/>
          <w:color w:val="auto"/>
          <w:highlight w:val="none"/>
        </w:rPr>
        <w:t>招标文件规定的投标截止时间前在</w:t>
      </w:r>
      <w:r>
        <w:rPr>
          <w:rFonts w:hint="eastAsia" w:ascii="宋体" w:hAnsi="宋体" w:eastAsia="宋体" w:cs="宋体"/>
          <w:color w:val="auto"/>
          <w:szCs w:val="24"/>
          <w:highlight w:val="none"/>
        </w:rPr>
        <w:t>投标工具</w:t>
      </w:r>
      <w:r>
        <w:rPr>
          <w:rFonts w:hint="eastAsia" w:ascii="宋体" w:hAnsi="宋体" w:eastAsia="宋体" w:cs="宋体"/>
          <w:color w:val="auto"/>
          <w:highlight w:val="none"/>
        </w:rPr>
        <w:t>完成上传。</w:t>
      </w:r>
      <w:r>
        <w:rPr>
          <w:rFonts w:hint="eastAsia" w:ascii="宋体" w:hAnsi="宋体" w:eastAsia="宋体" w:cs="宋体"/>
          <w:color w:val="auto"/>
          <w:szCs w:val="24"/>
          <w:highlight w:val="none"/>
        </w:rPr>
        <w:t>投标截止时间以优质采云采购平台（www.youzhicai.com）系统的时间为准，如未在投标截止时间前完成电子投标文件上传，系统将自动关闭上传通道。潜在</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未完成电子投标文件上传的，视为没有递交投标文件。</w:t>
      </w:r>
    </w:p>
    <w:p w14:paraId="2BA2F796">
      <w:pPr>
        <w:wordWrap w:val="0"/>
        <w:spacing w:line="4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11.潜在</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在投标文件递交截止时间前，可以对其所递交的电子投标文件进行撤回，修改后重新上传。</w:t>
      </w:r>
    </w:p>
    <w:p w14:paraId="16D0F42B">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12.潜在</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在制作、签章、加密、上传电子投标文件过程中，若存在技术操作问题，请及时联系优质采云采购平台客服人员，客服电话：400-0099-555，0551-62220164。</w:t>
      </w:r>
    </w:p>
    <w:p w14:paraId="2F9272CD">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三、开标和解密</w:t>
      </w:r>
    </w:p>
    <w:p w14:paraId="01735F91">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w:t>
      </w:r>
      <w:r>
        <w:rPr>
          <w:rFonts w:hint="eastAsia" w:ascii="宋体" w:hAnsi="宋体" w:cs="宋体"/>
          <w:color w:val="auto"/>
          <w:szCs w:val="24"/>
          <w:highlight w:val="none"/>
          <w:lang w:eastAsia="zh-CN"/>
        </w:rPr>
        <w:t>业主方（委托单位）</w:t>
      </w:r>
      <w:r>
        <w:rPr>
          <w:rFonts w:hint="eastAsia" w:ascii="宋体" w:hAnsi="宋体" w:eastAsia="宋体" w:cs="宋体"/>
          <w:color w:val="auto"/>
          <w:szCs w:val="24"/>
          <w:highlight w:val="none"/>
        </w:rPr>
        <w:t>或</w:t>
      </w:r>
      <w:r>
        <w:rPr>
          <w:rFonts w:hint="eastAsia" w:ascii="宋体" w:hAnsi="宋体" w:cs="宋体"/>
          <w:color w:val="auto"/>
          <w:szCs w:val="24"/>
          <w:highlight w:val="none"/>
          <w:lang w:eastAsia="zh-CN"/>
        </w:rPr>
        <w:t>代理机构</w:t>
      </w:r>
      <w:r>
        <w:rPr>
          <w:rFonts w:hint="eastAsia" w:ascii="宋体" w:hAnsi="宋体" w:eastAsia="宋体" w:cs="宋体"/>
          <w:color w:val="auto"/>
          <w:szCs w:val="24"/>
          <w:highlight w:val="none"/>
        </w:rPr>
        <w:t>工作人员（以下简称工作人员）根据有关规定登录系统组织开标。投标文件递交截止时间后由</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使用</w:t>
      </w:r>
      <w:r>
        <w:rPr>
          <w:rFonts w:hint="eastAsia" w:ascii="宋体" w:hAnsi="宋体" w:eastAsia="宋体" w:cs="宋体"/>
          <w:color w:val="auto"/>
          <w:highlight w:val="none"/>
        </w:rPr>
        <w:t>CA证书</w:t>
      </w:r>
      <w:r>
        <w:rPr>
          <w:rFonts w:hint="eastAsia" w:ascii="宋体" w:hAnsi="宋体" w:eastAsia="宋体" w:cs="宋体"/>
          <w:color w:val="auto"/>
          <w:szCs w:val="24"/>
          <w:highlight w:val="none"/>
        </w:rPr>
        <w:t>解密投标文件，工作人员导入已解密投标文件并公布开标结果。</w:t>
      </w:r>
    </w:p>
    <w:p w14:paraId="6E7BEF45">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14.投标文件可远程解密，</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无需到达开标现场。招标文件“</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须知”中另有规定的，从其规定。</w:t>
      </w:r>
    </w:p>
    <w:p w14:paraId="6F2EB403">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15.潜在</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须按照招标文件的要求在投标文件递交截止时间前登录投标工具并保持在线，关注开标互动大厅消息直到项目评审结束。</w:t>
      </w:r>
    </w:p>
    <w:p w14:paraId="3B4A3609">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16.投标文件解密时限为投标文件递交截止时间后30分钟（招标文件“</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须知”中另有规定的，从其规定）。潜在</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须在投标文件解密时限内完成投标文件解密，未能成功解密的视为放弃投标。招标文件“</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须知”中对投标文件解密设有线下补救方案的，执行该补救方案。</w:t>
      </w:r>
    </w:p>
    <w:p w14:paraId="17A66C7A">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四、评标和询标</w:t>
      </w:r>
    </w:p>
    <w:p w14:paraId="542AD85C">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17.评标委员会通过优质采电子评标工具将需要澄清、说明或补正的内容以询标函的形式发送给</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/供应商应登录投标工具并保持在线状态，以便及时接收评标委员会可能发出的询标函，并在询标函载明的时间内回复，若</w:t>
      </w:r>
      <w:r>
        <w:rPr>
          <w:rFonts w:hint="eastAsia" w:ascii="宋体" w:hAnsi="宋体" w:cs="宋体"/>
          <w:color w:val="auto"/>
          <w:szCs w:val="24"/>
          <w:highlight w:val="none"/>
          <w:lang w:eastAsia="zh-CN"/>
        </w:rPr>
        <w:t>参审单位</w:t>
      </w:r>
      <w:r>
        <w:rPr>
          <w:rFonts w:hint="eastAsia" w:ascii="宋体" w:hAnsi="宋体" w:eastAsia="宋体" w:cs="宋体"/>
          <w:color w:val="auto"/>
          <w:szCs w:val="24"/>
          <w:highlight w:val="none"/>
        </w:rPr>
        <w:t>未及时回复，视为放弃澄清。</w:t>
      </w:r>
    </w:p>
    <w:p w14:paraId="1C088634">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五、异常情形</w:t>
      </w:r>
    </w:p>
    <w:p w14:paraId="370CB58B">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18.出现下列情形导致电子交易系统无法正常运行，影响招投标过程的公平、公正和信息安全，经第三方机构认定后，各方当事人免责：</w:t>
      </w:r>
    </w:p>
    <w:p w14:paraId="2F1AD7C8">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(1)网络、服务器、数据库发生故障造成无法访问或使用的；</w:t>
      </w:r>
    </w:p>
    <w:p w14:paraId="24CF5045">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(2)电力系统发生故障导致电子服务系统或电子交易系统无法运行；</w:t>
      </w:r>
    </w:p>
    <w:p w14:paraId="3CF14F2B">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(3)出现网络攻击、病毒入侵以及电子服务系统或电子交易系统安全漏洞导致无法正常提供服务的；</w:t>
      </w:r>
    </w:p>
    <w:p w14:paraId="5534E7AA">
      <w:pPr>
        <w:spacing w:line="4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(4)其他无法保证招投标过程公平、公正和信息安全的情形。</w:t>
      </w:r>
    </w:p>
    <w:p w14:paraId="1F66E8A1">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六、异常情形处理</w:t>
      </w:r>
    </w:p>
    <w:p w14:paraId="59C4193A">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19.出现上述情形，优质采平台及时组织相关方查明原因，排除故障。若能保证在开标前恢复系统运行的，招投标程序继续进行；若导致开评标程序无法按时开展，但能在原</w:t>
      </w:r>
      <w:r>
        <w:rPr>
          <w:rFonts w:hint="eastAsia" w:ascii="宋体" w:hAnsi="宋体" w:cs="宋体"/>
          <w:color w:val="auto"/>
          <w:highlight w:val="none"/>
          <w:lang w:eastAsia="zh-CN"/>
        </w:rPr>
        <w:t>谈判时间</w:t>
      </w:r>
      <w:r>
        <w:rPr>
          <w:rFonts w:hint="eastAsia" w:ascii="宋体" w:hAnsi="宋体" w:eastAsia="宋体" w:cs="宋体"/>
          <w:color w:val="auto"/>
          <w:highlight w:val="none"/>
        </w:rPr>
        <w:t>后2小时内恢复系统运行的，招投标程序继续进行；若导致开评标程序无法按时开展，在原</w:t>
      </w:r>
      <w:r>
        <w:rPr>
          <w:rFonts w:hint="eastAsia" w:ascii="宋体" w:hAnsi="宋体" w:cs="宋体"/>
          <w:color w:val="auto"/>
          <w:highlight w:val="none"/>
          <w:lang w:eastAsia="zh-CN"/>
        </w:rPr>
        <w:t>谈判时间</w:t>
      </w:r>
      <w:r>
        <w:rPr>
          <w:rFonts w:hint="eastAsia" w:ascii="宋体" w:hAnsi="宋体" w:eastAsia="宋体" w:cs="宋体"/>
          <w:color w:val="auto"/>
          <w:highlight w:val="none"/>
        </w:rPr>
        <w:t>后2小时内无法恢复系统运行的，按以下程序操作：</w:t>
      </w:r>
    </w:p>
    <w:p w14:paraId="51F7061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（1）项目中止，中止期限由</w:t>
      </w:r>
      <w:r>
        <w:rPr>
          <w:rFonts w:hint="eastAsia" w:ascii="宋体" w:hAnsi="宋体" w:cs="宋体"/>
          <w:color w:val="auto"/>
          <w:highlight w:val="none"/>
          <w:lang w:eastAsia="zh-CN"/>
        </w:rPr>
        <w:t>业主方（委托单位）</w:t>
      </w:r>
      <w:r>
        <w:rPr>
          <w:rFonts w:hint="eastAsia" w:ascii="宋体" w:hAnsi="宋体" w:eastAsia="宋体" w:cs="宋体"/>
          <w:color w:val="auto"/>
          <w:highlight w:val="none"/>
        </w:rPr>
        <w:t>或</w:t>
      </w:r>
      <w:r>
        <w:rPr>
          <w:rFonts w:hint="eastAsia" w:ascii="宋体" w:hAnsi="宋体" w:cs="宋体"/>
          <w:color w:val="auto"/>
          <w:highlight w:val="none"/>
          <w:lang w:eastAsia="zh-CN"/>
        </w:rPr>
        <w:t>代理机构</w:t>
      </w:r>
      <w:r>
        <w:rPr>
          <w:rFonts w:hint="eastAsia" w:ascii="宋体" w:hAnsi="宋体" w:eastAsia="宋体" w:cs="宋体"/>
          <w:color w:val="auto"/>
          <w:highlight w:val="none"/>
        </w:rPr>
        <w:t>根据项目具体情况确定。中止期限届满后中止情形尚未消除的，</w:t>
      </w:r>
      <w:r>
        <w:rPr>
          <w:rFonts w:hint="eastAsia" w:ascii="宋体" w:hAnsi="宋体" w:cs="宋体"/>
          <w:color w:val="auto"/>
          <w:highlight w:val="none"/>
          <w:lang w:eastAsia="zh-CN"/>
        </w:rPr>
        <w:t>业主方（委托单位）</w:t>
      </w:r>
      <w:r>
        <w:rPr>
          <w:rFonts w:hint="eastAsia" w:ascii="宋体" w:hAnsi="宋体" w:eastAsia="宋体" w:cs="宋体"/>
          <w:color w:val="auto"/>
          <w:highlight w:val="none"/>
        </w:rPr>
        <w:t>或代理机构可以根据实际情况决定延长中止期限。决定延长中止期限的，应向</w:t>
      </w:r>
      <w:r>
        <w:rPr>
          <w:rFonts w:hint="eastAsia" w:ascii="宋体" w:hAnsi="宋体" w:cs="宋体"/>
          <w:color w:val="auto"/>
          <w:highlight w:val="none"/>
          <w:lang w:eastAsia="zh-CN"/>
        </w:rPr>
        <w:t>参审单位</w:t>
      </w:r>
      <w:r>
        <w:rPr>
          <w:rFonts w:hint="eastAsia" w:ascii="宋体" w:hAnsi="宋体" w:eastAsia="宋体" w:cs="宋体"/>
          <w:color w:val="auto"/>
          <w:highlight w:val="none"/>
        </w:rPr>
        <w:t>发出延长中止期限通知，并发布公布。</w:t>
      </w:r>
    </w:p>
    <w:p w14:paraId="5ADC061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（2）项目恢复，导致项目中止的情形消除后，</w:t>
      </w:r>
      <w:r>
        <w:rPr>
          <w:rFonts w:hint="eastAsia" w:ascii="宋体" w:hAnsi="宋体" w:cs="宋体"/>
          <w:color w:val="auto"/>
          <w:highlight w:val="none"/>
          <w:lang w:eastAsia="zh-CN"/>
        </w:rPr>
        <w:t>业主方（委托单位）</w:t>
      </w:r>
      <w:r>
        <w:rPr>
          <w:rFonts w:hint="eastAsia" w:ascii="宋体" w:hAnsi="宋体" w:eastAsia="宋体" w:cs="宋体"/>
          <w:color w:val="auto"/>
          <w:highlight w:val="none"/>
        </w:rPr>
        <w:t>或代理机构应当尽快恢复招投标程序，向</w:t>
      </w:r>
      <w:r>
        <w:rPr>
          <w:rFonts w:hint="eastAsia" w:ascii="宋体" w:hAnsi="宋体" w:cs="宋体"/>
          <w:color w:val="auto"/>
          <w:highlight w:val="none"/>
          <w:lang w:eastAsia="zh-CN"/>
        </w:rPr>
        <w:t>参审单位</w:t>
      </w:r>
      <w:r>
        <w:rPr>
          <w:rFonts w:hint="eastAsia" w:ascii="宋体" w:hAnsi="宋体" w:eastAsia="宋体" w:cs="宋体"/>
          <w:color w:val="auto"/>
          <w:highlight w:val="none"/>
        </w:rPr>
        <w:t>发出恢复交易通知，并发布公布；已发出延长中止期限通知的，按通知执行。</w:t>
      </w:r>
    </w:p>
    <w:p w14:paraId="6205DB4C">
      <w:pPr>
        <w:rPr>
          <w:color w:val="auto"/>
          <w:highlight w:val="none"/>
        </w:rPr>
      </w:pPr>
      <w:r>
        <w:rPr>
          <w:rFonts w:hint="eastAsia"/>
          <w:color w:val="auto"/>
          <w:highlight w:val="none"/>
          <w:lang w:val="en-US" w:eastAsia="zh-CN"/>
        </w:rPr>
        <w:t xml:space="preserve">   </w:t>
      </w:r>
    </w:p>
    <w:sectPr>
      <w:headerReference r:id="rId11" w:type="default"/>
      <w:footerReference r:id="rId12" w:type="default"/>
      <w:footerReference r:id="rId13" w:type="even"/>
      <w:pgSz w:w="11907" w:h="16840"/>
      <w:pgMar w:top="1440" w:right="1247" w:bottom="1440" w:left="1247" w:header="851" w:footer="992" w:gutter="0"/>
      <w:pgBorders>
        <w:top w:val="none" w:sz="0" w:space="0"/>
        <w:left w:val="none" w:sz="0" w:space="0"/>
        <w:bottom w:val="none" w:sz="0" w:space="0"/>
        <w:right w:val="none" w:sz="0" w:space="0"/>
      </w:pgBorders>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7AD1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4BAB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04BAB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D4D4">
    <w:pPr>
      <w:pStyle w:val="12"/>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732E3C6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E228">
    <w:pPr>
      <w:pStyle w:val="12"/>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247C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D247C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F9E6">
    <w:pPr>
      <w:pStyle w:val="12"/>
      <w:rPr>
        <w:rFonts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C377C">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FC377C">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24E7">
    <w:pPr>
      <w:pStyle w:val="12"/>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74104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2254">
    <w:pPr>
      <w:pStyle w:val="12"/>
      <w:rPr>
        <w:rFonts w:ascii="宋体" w:hAnsi="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8A9EF">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48A9EF">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F5B7">
    <w:pPr>
      <w:pStyle w:val="12"/>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0EEAFC2D">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208C642">
      <w:pPr>
        <w:pStyle w:val="18"/>
      </w:pPr>
      <w:r>
        <w:rPr>
          <w:rStyle w:val="29"/>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9A8B">
    <w:pPr>
      <w:pStyle w:val="14"/>
      <w:jc w:val="both"/>
      <w:rPr>
        <w:rFonts w:hint="eastAsia" w:ascii="宋体" w:hAnsi="宋体"/>
        <w:b/>
        <w:i/>
        <w:color w:val="0000FF"/>
        <w:sz w:val="24"/>
      </w:rPr>
    </w:pPr>
    <w:r>
      <w:rPr>
        <w:rFonts w:hint="eastAsia"/>
        <w:lang w:eastAsia="zh-CN"/>
      </w:rPr>
      <w:t>谈判</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4A8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71600">
    <w:pPr>
      <w:pStyle w:val="14"/>
      <w:jc w:val="both"/>
      <w:rPr>
        <w:rFonts w:hint="eastAsia" w:ascii="宋体" w:hAnsi="宋体"/>
        <w:b/>
        <w:i/>
        <w:color w:val="0000FF"/>
        <w:sz w:val="24"/>
      </w:rPr>
    </w:pPr>
    <w:r>
      <w:rPr>
        <w:rFonts w:hint="eastAsia"/>
        <w:lang w:eastAsia="zh-CN"/>
      </w:rPr>
      <w:t>竞争性谈判</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3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YmM5MjYyNTJmNTQxYzcwYjI5ZjZkY2E0OTlhYTAifQ=="/>
  </w:docVars>
  <w:rsids>
    <w:rsidRoot w:val="6AA4024E"/>
    <w:rsid w:val="011F4FF2"/>
    <w:rsid w:val="02EA6AA5"/>
    <w:rsid w:val="03C7345E"/>
    <w:rsid w:val="04F70794"/>
    <w:rsid w:val="04F95927"/>
    <w:rsid w:val="089E3A0A"/>
    <w:rsid w:val="0A503775"/>
    <w:rsid w:val="0C9A4376"/>
    <w:rsid w:val="0F213F2B"/>
    <w:rsid w:val="0F7D59D7"/>
    <w:rsid w:val="15FC1FCB"/>
    <w:rsid w:val="1A4408B5"/>
    <w:rsid w:val="1B7B6553"/>
    <w:rsid w:val="1B897C93"/>
    <w:rsid w:val="1C211E8B"/>
    <w:rsid w:val="1F843502"/>
    <w:rsid w:val="209F0143"/>
    <w:rsid w:val="22AF6AE8"/>
    <w:rsid w:val="23F724F4"/>
    <w:rsid w:val="244020ED"/>
    <w:rsid w:val="25766F17"/>
    <w:rsid w:val="25F807A6"/>
    <w:rsid w:val="26D52849"/>
    <w:rsid w:val="29C459E3"/>
    <w:rsid w:val="2BDA4BD6"/>
    <w:rsid w:val="2D35073C"/>
    <w:rsid w:val="2D466A4A"/>
    <w:rsid w:val="2E133A2B"/>
    <w:rsid w:val="2F405CA3"/>
    <w:rsid w:val="309D65F0"/>
    <w:rsid w:val="31BE1D93"/>
    <w:rsid w:val="324E5916"/>
    <w:rsid w:val="341D5FA7"/>
    <w:rsid w:val="34466AB8"/>
    <w:rsid w:val="34563196"/>
    <w:rsid w:val="34C208FD"/>
    <w:rsid w:val="37682591"/>
    <w:rsid w:val="379B3D69"/>
    <w:rsid w:val="37DD7E02"/>
    <w:rsid w:val="39853FEE"/>
    <w:rsid w:val="3B7641EF"/>
    <w:rsid w:val="3BA24FE4"/>
    <w:rsid w:val="3E1D5959"/>
    <w:rsid w:val="3E65064E"/>
    <w:rsid w:val="3EFB1AF5"/>
    <w:rsid w:val="405368AD"/>
    <w:rsid w:val="46EA51DB"/>
    <w:rsid w:val="4889438B"/>
    <w:rsid w:val="4E361CE8"/>
    <w:rsid w:val="4FC854F3"/>
    <w:rsid w:val="502C5217"/>
    <w:rsid w:val="50632B3C"/>
    <w:rsid w:val="531A06A9"/>
    <w:rsid w:val="532C5BE1"/>
    <w:rsid w:val="54D710D4"/>
    <w:rsid w:val="569E48CE"/>
    <w:rsid w:val="5A7E0498"/>
    <w:rsid w:val="5AE30232"/>
    <w:rsid w:val="5DE352BC"/>
    <w:rsid w:val="606A185F"/>
    <w:rsid w:val="61FF0703"/>
    <w:rsid w:val="62373E29"/>
    <w:rsid w:val="624E43EE"/>
    <w:rsid w:val="63027F93"/>
    <w:rsid w:val="6850354E"/>
    <w:rsid w:val="691C0678"/>
    <w:rsid w:val="6AA4024E"/>
    <w:rsid w:val="6B0548C4"/>
    <w:rsid w:val="6B665B65"/>
    <w:rsid w:val="6DB13A3A"/>
    <w:rsid w:val="6FE01BE4"/>
    <w:rsid w:val="705F3769"/>
    <w:rsid w:val="72FF6608"/>
    <w:rsid w:val="732524FF"/>
    <w:rsid w:val="7440091B"/>
    <w:rsid w:val="74940C67"/>
    <w:rsid w:val="75907680"/>
    <w:rsid w:val="778669AB"/>
    <w:rsid w:val="786F5C73"/>
    <w:rsid w:val="788048B6"/>
    <w:rsid w:val="799A2469"/>
    <w:rsid w:val="7B13027A"/>
    <w:rsid w:val="7B18614D"/>
    <w:rsid w:val="7BBA7205"/>
    <w:rsid w:val="7CB63E70"/>
    <w:rsid w:val="7DB14637"/>
    <w:rsid w:val="7EF67698"/>
    <w:rsid w:val="7F01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6"/>
    <w:autoRedefine/>
    <w:qFormat/>
    <w:uiPriority w:val="0"/>
    <w:pPr>
      <w:keepNext/>
      <w:keepLines/>
      <w:spacing w:before="260" w:after="260" w:line="416" w:lineRule="auto"/>
      <w:jc w:val="center"/>
      <w:outlineLvl w:val="2"/>
    </w:pPr>
    <w:rPr>
      <w:rFonts w:ascii="宋体"/>
      <w:b/>
      <w:bCs/>
      <w:sz w:val="32"/>
      <w:szCs w:val="32"/>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Body Text"/>
    <w:basedOn w:val="1"/>
    <w:autoRedefine/>
    <w:qFormat/>
    <w:uiPriority w:val="0"/>
    <w:rPr>
      <w:rFonts w:ascii="宋体" w:hAnsi="Arial"/>
      <w:sz w:val="28"/>
    </w:rPr>
  </w:style>
  <w:style w:type="paragraph" w:styleId="7">
    <w:name w:val="annotation text"/>
    <w:basedOn w:val="1"/>
    <w:autoRedefine/>
    <w:qFormat/>
    <w:uiPriority w:val="0"/>
    <w:pPr>
      <w:jc w:val="left"/>
    </w:pPr>
  </w:style>
  <w:style w:type="paragraph" w:styleId="8">
    <w:name w:val="Body Text Indent"/>
    <w:basedOn w:val="1"/>
    <w:autoRedefine/>
    <w:qFormat/>
    <w:uiPriority w:val="0"/>
    <w:pPr>
      <w:ind w:firstLine="645"/>
    </w:pPr>
    <w:rPr>
      <w:rFonts w:ascii="楷体_GB2312" w:eastAsia="楷体_GB2312"/>
      <w:sz w:val="32"/>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rPr>
  </w:style>
  <w:style w:type="paragraph" w:styleId="11">
    <w:name w:val="Date"/>
    <w:basedOn w:val="1"/>
    <w:next w:val="1"/>
    <w:autoRedefine/>
    <w:qFormat/>
    <w:uiPriority w:val="0"/>
    <w:rPr>
      <w:b/>
      <w:sz w:val="2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99"/>
    <w:rPr>
      <w:rFonts w:ascii="Arial" w:hAnsi="Arial" w:cs="Arial"/>
      <w:kern w:val="1"/>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autoRedefine/>
    <w:qFormat/>
    <w:uiPriority w:val="0"/>
  </w:style>
  <w:style w:type="paragraph" w:styleId="16">
    <w:name w:val="toc 4"/>
    <w:basedOn w:val="1"/>
    <w:next w:val="1"/>
    <w:autoRedefine/>
    <w:qFormat/>
    <w:uiPriority w:val="0"/>
    <w:pPr>
      <w:ind w:left="1260" w:leftChars="600"/>
    </w:pPr>
  </w:style>
  <w:style w:type="paragraph" w:styleId="17">
    <w:name w:val="List"/>
    <w:basedOn w:val="1"/>
    <w:autoRedefine/>
    <w:qFormat/>
    <w:uiPriority w:val="0"/>
    <w:pPr>
      <w:ind w:left="420" w:hanging="420"/>
    </w:pPr>
    <w:rPr>
      <w:rFonts w:ascii="Arial" w:hAnsi="Arial" w:eastAsia="楷体_GB2312"/>
      <w:sz w:val="28"/>
    </w:rPr>
  </w:style>
  <w:style w:type="paragraph" w:styleId="18">
    <w:name w:val="footnote text"/>
    <w:basedOn w:val="1"/>
    <w:autoRedefine/>
    <w:unhideWhenUsed/>
    <w:qFormat/>
    <w:uiPriority w:val="99"/>
    <w:pPr>
      <w:snapToGrid w:val="0"/>
      <w:jc w:val="left"/>
    </w:pPr>
    <w:rPr>
      <w:rFonts w:ascii="Times New Roman" w:hAnsi="Times New Roman" w:eastAsia="宋体" w:cs="Times New Roman"/>
      <w:sz w:val="18"/>
      <w:szCs w:val="18"/>
    </w:rPr>
  </w:style>
  <w:style w:type="paragraph" w:styleId="19">
    <w:name w:val="toc 2"/>
    <w:basedOn w:val="1"/>
    <w:next w:val="1"/>
    <w:autoRedefine/>
    <w:qFormat/>
    <w:uiPriority w:val="39"/>
    <w:pPr>
      <w:ind w:left="210"/>
      <w:jc w:val="left"/>
    </w:pPr>
    <w:rPr>
      <w:smallCaps/>
      <w:sz w:val="28"/>
      <w:szCs w:val="24"/>
    </w:rPr>
  </w:style>
  <w:style w:type="paragraph" w:styleId="2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21">
    <w:name w:val="index 1"/>
    <w:basedOn w:val="1"/>
    <w:next w:val="1"/>
    <w:autoRedefine/>
    <w:qFormat/>
    <w:uiPriority w:val="0"/>
    <w:pPr>
      <w:spacing w:line="360" w:lineRule="auto"/>
      <w:jc w:val="center"/>
    </w:pPr>
    <w:rPr>
      <w:rFonts w:ascii="宋体" w:hAnsi="宋体"/>
      <w:b/>
      <w:bCs/>
      <w:color w:val="FF0000"/>
      <w:sz w:val="24"/>
    </w:rPr>
  </w:style>
  <w:style w:type="paragraph" w:styleId="22">
    <w:name w:val="Body Text First Indent"/>
    <w:basedOn w:val="6"/>
    <w:autoRedefine/>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23">
    <w:name w:val="Body Text First Indent 2"/>
    <w:basedOn w:val="8"/>
    <w:autoRedefine/>
    <w:qFormat/>
    <w:uiPriority w:val="0"/>
    <w:pPr>
      <w:ind w:firstLine="420" w:firstLineChars="200"/>
    </w:pPr>
  </w:style>
  <w:style w:type="character" w:styleId="26">
    <w:name w:val="Strong"/>
    <w:autoRedefine/>
    <w:qFormat/>
    <w:uiPriority w:val="0"/>
    <w:rPr>
      <w:b/>
      <w:bCs/>
    </w:rPr>
  </w:style>
  <w:style w:type="character" w:styleId="27">
    <w:name w:val="page number"/>
    <w:autoRedefine/>
    <w:qFormat/>
    <w:uiPriority w:val="0"/>
  </w:style>
  <w:style w:type="character" w:styleId="28">
    <w:name w:val="Hyperlink"/>
    <w:basedOn w:val="25"/>
    <w:autoRedefine/>
    <w:unhideWhenUsed/>
    <w:qFormat/>
    <w:uiPriority w:val="99"/>
    <w:rPr>
      <w:color w:val="0000FF"/>
      <w:u w:val="none"/>
    </w:rPr>
  </w:style>
  <w:style w:type="character" w:styleId="29">
    <w:name w:val="footnote reference"/>
    <w:autoRedefine/>
    <w:unhideWhenUsed/>
    <w:qFormat/>
    <w:uiPriority w:val="99"/>
    <w:rPr>
      <w:vertAlign w:val="superscript"/>
    </w:rPr>
  </w:style>
  <w:style w:type="paragraph" w:customStyle="1" w:styleId="30">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32">
    <w:name w:val="D&amp;L"/>
    <w:basedOn w:val="14"/>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33">
    <w:name w:val="*正文"/>
    <w:basedOn w:val="1"/>
    <w:autoRedefine/>
    <w:qFormat/>
    <w:uiPriority w:val="0"/>
    <w:rPr>
      <w:rFonts w:cs="Times New Roman"/>
      <w:szCs w:val="20"/>
    </w:rPr>
  </w:style>
  <w:style w:type="paragraph" w:customStyle="1" w:styleId="34">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标题 3 Char"/>
    <w:link w:val="4"/>
    <w:autoRedefine/>
    <w:qFormat/>
    <w:uiPriority w:val="0"/>
    <w:rPr>
      <w:rFonts w:ascii="宋体"/>
      <w:b/>
      <w:bCs/>
      <w:sz w:val="32"/>
      <w:szCs w:val="32"/>
    </w:r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18358</Words>
  <Characters>20095</Characters>
  <Lines>0</Lines>
  <Paragraphs>0</Paragraphs>
  <TotalTime>226</TotalTime>
  <ScaleCrop>false</ScaleCrop>
  <LinksUpToDate>false</LinksUpToDate>
  <CharactersWithSpaces>20189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2025-11-05T00:43:00Z</dcterms:created>
  <dc:creator>龚舒杰</dc:creator>
  <cp:lastModifiedBy>谭丽君</cp:lastModifiedBy>
  <cp:lastPrinted>2026-02-25T07:06:00Z</cp:lastPrinted>
  <dcterms:modified xsi:type="dcterms:W3CDTF">2026-04-30T07:17:15Z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B983FD48C28A41D6878CC1581D9A9E9A_13</vt:lpwstr>
  </property>
  <property fmtid="{D5CDD505-2E9C-101B-9397-08002B2CF9AE}" pid="4" name="KSOTemplateDocerSaveRecord">
    <vt:lpwstr>eyJoZGlkIjoiNGUzNTRkZTA3NzRhZjA4ZDA4NWU3ZjQ0NjNhZWUzZjkiLCJ1c2VySWQiOiIxNTcwOTkzNjIwIn0=</vt:lpwstr>
  </property>
</Properties>
</file>