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02723">
      <w:pPr>
        <w:jc w:val="center"/>
        <w:rPr>
          <w:rFonts w:hint="eastAsia"/>
        </w:rPr>
      </w:pPr>
      <w:r>
        <w:rPr>
          <w:rFonts w:hint="eastAsia" w:ascii="方正小标宋简体" w:eastAsia="方正小标宋简体"/>
          <w:sz w:val="52"/>
          <w:szCs w:val="52"/>
          <w:lang w:eastAsia="zh-CN"/>
        </w:rPr>
        <w:t>服务类</w:t>
      </w:r>
      <w:r>
        <w:rPr>
          <w:rFonts w:hint="eastAsia" w:ascii="方正小标宋简体" w:eastAsia="方正小标宋简体"/>
          <w:sz w:val="52"/>
          <w:szCs w:val="52"/>
        </w:rPr>
        <w:t>政府采购项目</w:t>
      </w:r>
      <w:r>
        <w:rPr>
          <w:rFonts w:hint="eastAsia" w:ascii="方正小标宋简体" w:eastAsia="方正小标宋简体"/>
          <w:sz w:val="52"/>
          <w:szCs w:val="52"/>
          <w:lang w:eastAsia="zh-CN"/>
        </w:rPr>
        <w:t>采购</w:t>
      </w:r>
      <w:r>
        <w:rPr>
          <w:rFonts w:hint="eastAsia" w:ascii="方正小标宋简体" w:eastAsia="方正小标宋简体"/>
          <w:sz w:val="52"/>
          <w:szCs w:val="52"/>
        </w:rPr>
        <w:t>需求表</w:t>
      </w:r>
    </w:p>
    <w:tbl>
      <w:tblPr>
        <w:tblStyle w:val="6"/>
        <w:tblW w:w="54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4"/>
        <w:gridCol w:w="7117"/>
      </w:tblGrid>
      <w:tr w14:paraId="5B64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182" w:type="pct"/>
            <w:noWrap w:val="0"/>
            <w:vAlign w:val="center"/>
          </w:tcPr>
          <w:p w14:paraId="066A58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项目名称</w:t>
            </w:r>
          </w:p>
        </w:tc>
        <w:tc>
          <w:tcPr>
            <w:tcW w:w="3817" w:type="pct"/>
            <w:noWrap w:val="0"/>
            <w:vAlign w:val="center"/>
          </w:tcPr>
          <w:p w14:paraId="2A5A9A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bookmarkStart w:id="0" w:name="_GoBack"/>
            <w:r>
              <w:rPr>
                <w:rFonts w:hint="eastAsia" w:asciiTheme="minorEastAsia" w:hAnsiTheme="minorEastAsia" w:eastAsiaTheme="minorEastAsia" w:cstheme="minorEastAsia"/>
                <w:sz w:val="24"/>
                <w:szCs w:val="24"/>
              </w:rPr>
              <w:t>肥西县供销合作社联合社2026年农药包装废弃物、废旧农膜回收处置服务</w:t>
            </w:r>
            <w:bookmarkEnd w:id="0"/>
          </w:p>
        </w:tc>
      </w:tr>
      <w:tr w14:paraId="23B0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2" w:type="pct"/>
            <w:noWrap w:val="0"/>
            <w:vAlign w:val="center"/>
          </w:tcPr>
          <w:p w14:paraId="76F125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采购单位联系人</w:t>
            </w:r>
          </w:p>
          <w:p w14:paraId="655EFB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及电话</w:t>
            </w:r>
          </w:p>
        </w:tc>
        <w:tc>
          <w:tcPr>
            <w:tcW w:w="3817" w:type="pct"/>
            <w:noWrap w:val="0"/>
            <w:vAlign w:val="center"/>
          </w:tcPr>
          <w:p w14:paraId="78B64B6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王莹</w:t>
            </w:r>
            <w:r>
              <w:rPr>
                <w:rFonts w:hint="eastAsia" w:asciiTheme="minorEastAsia" w:hAnsiTheme="minorEastAsia" w:eastAsiaTheme="minorEastAsia" w:cstheme="minorEastAsia"/>
                <w:color w:val="auto"/>
                <w:sz w:val="24"/>
                <w:szCs w:val="24"/>
                <w:lang w:val="en-US" w:eastAsia="zh-CN"/>
              </w:rPr>
              <w:t xml:space="preserve">  0551-62062075</w:t>
            </w:r>
          </w:p>
        </w:tc>
      </w:tr>
      <w:tr w14:paraId="4B59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2" w:type="pct"/>
            <w:noWrap w:val="0"/>
            <w:vAlign w:val="center"/>
          </w:tcPr>
          <w:p w14:paraId="4329B6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项目预算</w:t>
            </w:r>
          </w:p>
        </w:tc>
        <w:tc>
          <w:tcPr>
            <w:tcW w:w="3817" w:type="pct"/>
            <w:noWrap w:val="0"/>
            <w:vAlign w:val="center"/>
          </w:tcPr>
          <w:p w14:paraId="4AB0CD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不分包项目：</w:t>
            </w:r>
            <w:r>
              <w:rPr>
                <w:rFonts w:hint="eastAsia" w:asciiTheme="minorEastAsia" w:hAnsiTheme="minorEastAsia" w:eastAsiaTheme="minorEastAsia" w:cstheme="minorEastAsia"/>
                <w:color w:val="auto"/>
                <w:sz w:val="24"/>
                <w:szCs w:val="24"/>
                <w:lang w:val="en-US" w:eastAsia="zh-CN"/>
              </w:rPr>
              <w:t>220</w:t>
            </w:r>
            <w:r>
              <w:rPr>
                <w:rFonts w:hint="eastAsia" w:asciiTheme="minorEastAsia" w:hAnsiTheme="minorEastAsia" w:eastAsiaTheme="minorEastAsia" w:cstheme="minorEastAsia"/>
                <w:color w:val="auto"/>
                <w:sz w:val="24"/>
                <w:szCs w:val="24"/>
              </w:rPr>
              <w:t>万元</w:t>
            </w:r>
          </w:p>
        </w:tc>
      </w:tr>
      <w:tr w14:paraId="0A86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2" w:type="pct"/>
            <w:noWrap w:val="0"/>
            <w:vAlign w:val="center"/>
          </w:tcPr>
          <w:p w14:paraId="3B0F34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项目概况</w:t>
            </w:r>
          </w:p>
        </w:tc>
        <w:tc>
          <w:tcPr>
            <w:tcW w:w="3817" w:type="pct"/>
            <w:noWrap w:val="0"/>
            <w:vAlign w:val="center"/>
          </w:tcPr>
          <w:p w14:paraId="194A93E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肥西县供销合作社联合社2026年农药包装废弃物、废旧农膜回收处置服务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详见采购需求</w:t>
            </w:r>
          </w:p>
        </w:tc>
      </w:tr>
      <w:tr w14:paraId="29E6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2" w:type="pct"/>
            <w:noWrap w:val="0"/>
            <w:vAlign w:val="center"/>
          </w:tcPr>
          <w:p w14:paraId="1721D2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采购方式</w:t>
            </w:r>
          </w:p>
        </w:tc>
        <w:tc>
          <w:tcPr>
            <w:tcW w:w="3817" w:type="pct"/>
            <w:noWrap w:val="0"/>
            <w:vAlign w:val="center"/>
          </w:tcPr>
          <w:p w14:paraId="0DE244A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竞争性磋商</w:t>
            </w:r>
          </w:p>
        </w:tc>
      </w:tr>
      <w:tr w14:paraId="3056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82" w:type="pct"/>
            <w:noWrap w:val="0"/>
            <w:vAlign w:val="center"/>
          </w:tcPr>
          <w:p w14:paraId="7BD9E0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本项目是否接受联合体投标</w:t>
            </w:r>
          </w:p>
        </w:tc>
        <w:tc>
          <w:tcPr>
            <w:tcW w:w="3817" w:type="pct"/>
            <w:noWrap w:val="0"/>
            <w:vAlign w:val="center"/>
          </w:tcPr>
          <w:p w14:paraId="30151D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r>
      <w:tr w14:paraId="1FDF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pct"/>
            <w:noWrap w:val="0"/>
            <w:vAlign w:val="center"/>
          </w:tcPr>
          <w:p w14:paraId="196FA2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eastAsia="zh-CN"/>
              </w:rPr>
              <w:t>供应商</w:t>
            </w:r>
            <w:r>
              <w:rPr>
                <w:rFonts w:hint="eastAsia" w:asciiTheme="minorEastAsia" w:hAnsiTheme="minorEastAsia" w:eastAsiaTheme="minorEastAsia" w:cstheme="minorEastAsia"/>
                <w:b/>
                <w:color w:val="auto"/>
                <w:sz w:val="24"/>
                <w:szCs w:val="24"/>
              </w:rPr>
              <w:t>资格要求</w:t>
            </w:r>
          </w:p>
        </w:tc>
        <w:tc>
          <w:tcPr>
            <w:tcW w:w="3817" w:type="pct"/>
            <w:noWrap w:val="0"/>
            <w:vAlign w:val="center"/>
          </w:tcPr>
          <w:p w14:paraId="7E92880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1.满足《中华人民共和国政府采购法》第二十二条规定；</w:t>
            </w:r>
          </w:p>
          <w:p w14:paraId="40F1AB9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2.落实政府采购政策需满足的资格要求：供应商所提供的服务为中小微企业、监狱企业或残疾人福利性单位承接</w:t>
            </w:r>
            <w:r>
              <w:rPr>
                <w:rFonts w:hint="eastAsia" w:asciiTheme="minorEastAsia" w:hAnsiTheme="minorEastAsia" w:eastAsiaTheme="minorEastAsia" w:cstheme="minorEastAsia"/>
                <w:color w:val="auto"/>
                <w:sz w:val="24"/>
                <w:szCs w:val="24"/>
                <w:lang w:eastAsia="zh-CN"/>
              </w:rPr>
              <w:t>；</w:t>
            </w:r>
          </w:p>
          <w:p w14:paraId="6424A52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3.本项目的特定资格要求：</w:t>
            </w:r>
            <w:r>
              <w:rPr>
                <w:rFonts w:hint="eastAsia" w:asciiTheme="minorEastAsia" w:hAnsiTheme="minorEastAsia" w:eastAsiaTheme="minorEastAsia" w:cstheme="minorEastAsia"/>
                <w:color w:val="auto"/>
                <w:sz w:val="24"/>
                <w:szCs w:val="24"/>
                <w:lang w:val="en-US" w:eastAsia="zh-CN"/>
              </w:rPr>
              <w:t>无。</w:t>
            </w:r>
          </w:p>
        </w:tc>
      </w:tr>
      <w:tr w14:paraId="2513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82" w:type="pct"/>
            <w:noWrap w:val="0"/>
            <w:vAlign w:val="center"/>
          </w:tcPr>
          <w:p w14:paraId="4BABAB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付款方式</w:t>
            </w:r>
          </w:p>
        </w:tc>
        <w:tc>
          <w:tcPr>
            <w:tcW w:w="3817" w:type="pct"/>
            <w:noWrap w:val="0"/>
            <w:vAlign w:val="center"/>
          </w:tcPr>
          <w:p w14:paraId="0CE8E4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签订合同后预付</w:t>
            </w:r>
            <w:r>
              <w:rPr>
                <w:rFonts w:hint="eastAsia" w:asciiTheme="minorEastAsia" w:hAnsiTheme="minorEastAsia" w:eastAsiaTheme="minorEastAsia" w:cstheme="minorEastAsia"/>
                <w:color w:val="auto"/>
                <w:sz w:val="24"/>
                <w:szCs w:val="24"/>
                <w:lang w:val="en-US" w:eastAsia="zh-CN"/>
              </w:rPr>
              <w:t>40%预付款，剩余款项由</w:t>
            </w:r>
            <w:r>
              <w:rPr>
                <w:rFonts w:hint="eastAsia" w:asciiTheme="minorEastAsia" w:hAnsiTheme="minorEastAsia" w:eastAsiaTheme="minorEastAsia" w:cstheme="minorEastAsia"/>
                <w:color w:val="auto"/>
                <w:sz w:val="24"/>
                <w:szCs w:val="24"/>
              </w:rPr>
              <w:t>成交供应商将当</w:t>
            </w:r>
            <w:r>
              <w:rPr>
                <w:rFonts w:hint="eastAsia" w:asciiTheme="minorEastAsia" w:hAnsiTheme="minorEastAsia" w:eastAsiaTheme="minorEastAsia" w:cstheme="minorEastAsia"/>
                <w:color w:val="auto"/>
                <w:sz w:val="24"/>
                <w:szCs w:val="24"/>
                <w:lang w:val="en-US" w:eastAsia="zh-CN"/>
              </w:rPr>
              <w:t>年</w:t>
            </w:r>
            <w:r>
              <w:rPr>
                <w:rFonts w:hint="eastAsia" w:asciiTheme="minorEastAsia" w:hAnsiTheme="minorEastAsia" w:eastAsiaTheme="minorEastAsia" w:cstheme="minorEastAsia"/>
                <w:color w:val="auto"/>
                <w:sz w:val="24"/>
                <w:szCs w:val="24"/>
              </w:rPr>
              <w:t>回收量、回收本金、回收处置主体服务费等相关报表及单据按采购人要求进行申报，经初步审核后</w:t>
            </w:r>
            <w:r>
              <w:rPr>
                <w:rFonts w:hint="eastAsia" w:asciiTheme="minorEastAsia" w:hAnsiTheme="minorEastAsia" w:eastAsiaTheme="minorEastAsia" w:cstheme="minorEastAsia"/>
                <w:color w:val="auto"/>
                <w:sz w:val="24"/>
                <w:szCs w:val="24"/>
                <w:lang w:eastAsia="zh-CN"/>
              </w:rPr>
              <w:t>按月报结</w:t>
            </w:r>
            <w:r>
              <w:rPr>
                <w:rFonts w:hint="eastAsia" w:asciiTheme="minorEastAsia" w:hAnsiTheme="minorEastAsia" w:eastAsiaTheme="minorEastAsia" w:cstheme="minorEastAsia"/>
                <w:color w:val="auto"/>
                <w:sz w:val="24"/>
                <w:szCs w:val="24"/>
              </w:rPr>
              <w:t>至当</w:t>
            </w:r>
            <w:r>
              <w:rPr>
                <w:rFonts w:hint="eastAsia" w:asciiTheme="minorEastAsia" w:hAnsiTheme="minorEastAsia" w:eastAsiaTheme="minorEastAsia" w:cstheme="minorEastAsia"/>
                <w:color w:val="auto"/>
                <w:sz w:val="24"/>
                <w:szCs w:val="24"/>
                <w:lang w:val="en-US" w:eastAsia="zh-CN"/>
              </w:rPr>
              <w:t>年</w:t>
            </w:r>
            <w:r>
              <w:rPr>
                <w:rFonts w:hint="eastAsia" w:asciiTheme="minorEastAsia" w:hAnsiTheme="minorEastAsia" w:eastAsiaTheme="minorEastAsia" w:cstheme="minorEastAsia"/>
                <w:color w:val="auto"/>
                <w:sz w:val="24"/>
                <w:szCs w:val="24"/>
              </w:rPr>
              <w:t>回收本金及回收处置主体服务费的</w:t>
            </w:r>
            <w:r>
              <w:rPr>
                <w:rFonts w:hint="eastAsia" w:asciiTheme="minorEastAsia" w:hAnsiTheme="minorEastAsia" w:eastAsiaTheme="minorEastAsia" w:cstheme="minorEastAsia"/>
                <w:color w:val="auto"/>
                <w:sz w:val="24"/>
                <w:szCs w:val="24"/>
                <w:lang w:val="en-US" w:eastAsia="zh-CN"/>
              </w:rPr>
              <w:t>90%</w:t>
            </w:r>
            <w:r>
              <w:rPr>
                <w:rFonts w:hint="eastAsia" w:asciiTheme="minorEastAsia" w:hAnsiTheme="minorEastAsia" w:eastAsiaTheme="minorEastAsia" w:cstheme="minorEastAsia"/>
                <w:color w:val="auto"/>
                <w:sz w:val="24"/>
                <w:szCs w:val="24"/>
              </w:rPr>
              <w:t>，当年度服务期结束进行年终评审验收</w:t>
            </w:r>
            <w:r>
              <w:rPr>
                <w:rFonts w:hint="eastAsia" w:asciiTheme="minorEastAsia" w:hAnsiTheme="minorEastAsia" w:eastAsiaTheme="minorEastAsia" w:cstheme="minorEastAsia"/>
                <w:color w:val="auto"/>
                <w:sz w:val="24"/>
                <w:szCs w:val="24"/>
                <w:lang w:val="en-US" w:eastAsia="zh-CN"/>
              </w:rPr>
              <w:t>及审计</w:t>
            </w:r>
            <w:r>
              <w:rPr>
                <w:rFonts w:hint="eastAsia" w:asciiTheme="minorEastAsia" w:hAnsiTheme="minorEastAsia" w:eastAsiaTheme="minorEastAsia" w:cstheme="minorEastAsia"/>
                <w:color w:val="auto"/>
                <w:sz w:val="24"/>
                <w:szCs w:val="24"/>
              </w:rPr>
              <w:t>，完成后据实支付至年度最终结算价的100%。</w:t>
            </w:r>
          </w:p>
          <w:p w14:paraId="27CD90F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strike w:val="0"/>
                <w:dstrike w:val="0"/>
                <w:color w:val="auto"/>
                <w:kern w:val="21"/>
                <w:sz w:val="24"/>
                <w:szCs w:val="24"/>
                <w:lang w:eastAsia="en-US"/>
              </w:rPr>
              <w:t>（注：供应商应向采购人提交银行、保险公司、担保公司等金融机构出具的预付款保函或其他担保措施；在签订合同时，供应商书面明确表示无需预付款或者主动要求降低预付款比例的，采购人可不适用前述规定。）</w:t>
            </w:r>
          </w:p>
        </w:tc>
      </w:tr>
      <w:tr w14:paraId="5D22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82" w:type="pct"/>
            <w:noWrap w:val="0"/>
            <w:vAlign w:val="center"/>
          </w:tcPr>
          <w:p w14:paraId="197C4B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服务地点</w:t>
            </w:r>
          </w:p>
        </w:tc>
        <w:tc>
          <w:tcPr>
            <w:tcW w:w="3817" w:type="pct"/>
            <w:noWrap w:val="0"/>
            <w:vAlign w:val="center"/>
          </w:tcPr>
          <w:p w14:paraId="4674ABA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肥西县</w:t>
            </w:r>
            <w:r>
              <w:rPr>
                <w:rFonts w:hint="eastAsia" w:asciiTheme="minorEastAsia" w:hAnsiTheme="minorEastAsia" w:eastAsiaTheme="minorEastAsia" w:cstheme="minorEastAsia"/>
                <w:sz w:val="24"/>
                <w:szCs w:val="24"/>
              </w:rPr>
              <w:t>，具体由采购人指定</w:t>
            </w:r>
          </w:p>
        </w:tc>
      </w:tr>
      <w:tr w14:paraId="0CA4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4E1F9E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服务期限</w:t>
            </w:r>
          </w:p>
        </w:tc>
        <w:tc>
          <w:tcPr>
            <w:tcW w:w="3817" w:type="pct"/>
            <w:noWrap w:val="0"/>
            <w:vAlign w:val="center"/>
          </w:tcPr>
          <w:p w14:paraId="4287550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1+X年（X≤2），合同一年一签，每年合同履约完成后结合成交供应商履约情况及实际工作需求，在年度预算能够保障的前提下，经双方协商同意可续签下一年度合同，续签</w:t>
            </w:r>
            <w:r>
              <w:rPr>
                <w:rFonts w:hint="eastAsia" w:asciiTheme="minorEastAsia" w:hAnsiTheme="minorEastAsia" w:eastAsiaTheme="minorEastAsia" w:cstheme="minorEastAsia"/>
                <w:sz w:val="24"/>
                <w:szCs w:val="24"/>
                <w:lang w:val="en-US" w:eastAsia="zh-CN"/>
              </w:rPr>
              <w:t>处置服务费</w:t>
            </w:r>
            <w:r>
              <w:rPr>
                <w:rFonts w:hint="eastAsia" w:asciiTheme="minorEastAsia" w:hAnsiTheme="minorEastAsia" w:eastAsiaTheme="minorEastAsia" w:cstheme="minorEastAsia"/>
                <w:sz w:val="24"/>
                <w:szCs w:val="24"/>
              </w:rPr>
              <w:t>价</w:t>
            </w:r>
            <w:r>
              <w:rPr>
                <w:rFonts w:hint="eastAsia" w:asciiTheme="minorEastAsia" w:hAnsiTheme="minorEastAsia" w:eastAsiaTheme="minorEastAsia" w:cstheme="minorEastAsia"/>
                <w:sz w:val="24"/>
                <w:szCs w:val="24"/>
                <w:lang w:val="en-US" w:eastAsia="zh-CN"/>
              </w:rPr>
              <w:t>格</w:t>
            </w:r>
            <w:r>
              <w:rPr>
                <w:rFonts w:hint="eastAsia" w:asciiTheme="minorEastAsia" w:hAnsiTheme="minorEastAsia" w:eastAsiaTheme="minorEastAsia" w:cstheme="minorEastAsia"/>
                <w:sz w:val="24"/>
                <w:szCs w:val="24"/>
              </w:rPr>
              <w:t>不变</w:t>
            </w:r>
            <w:r>
              <w:rPr>
                <w:rFonts w:hint="eastAsia" w:asciiTheme="minorEastAsia" w:hAnsiTheme="minorEastAsia" w:eastAsiaTheme="minorEastAsia" w:cstheme="minorEastAsia"/>
                <w:sz w:val="24"/>
                <w:szCs w:val="24"/>
                <w:lang w:eastAsia="zh-CN"/>
              </w:rPr>
              <w:t>。</w:t>
            </w:r>
          </w:p>
        </w:tc>
      </w:tr>
      <w:tr w14:paraId="7480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2834F8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是否专门面向中小企业采购</w:t>
            </w:r>
          </w:p>
        </w:tc>
        <w:tc>
          <w:tcPr>
            <w:tcW w:w="3817" w:type="pct"/>
            <w:noWrap w:val="0"/>
            <w:vAlign w:val="center"/>
          </w:tcPr>
          <w:p w14:paraId="1F3FAC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w:t>
            </w:r>
          </w:p>
        </w:tc>
      </w:tr>
      <w:tr w14:paraId="6877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4AF4CD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预留中小企业份额占比</w:t>
            </w:r>
          </w:p>
        </w:tc>
        <w:tc>
          <w:tcPr>
            <w:tcW w:w="3817" w:type="pct"/>
            <w:noWrap w:val="0"/>
            <w:vAlign w:val="center"/>
          </w:tcPr>
          <w:p w14:paraId="7AFC68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全部预留</w:t>
            </w:r>
          </w:p>
        </w:tc>
      </w:tr>
      <w:tr w14:paraId="15A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1D890B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主要标的所属行业</w:t>
            </w:r>
          </w:p>
        </w:tc>
        <w:tc>
          <w:tcPr>
            <w:tcW w:w="3817" w:type="pct"/>
            <w:noWrap w:val="0"/>
            <w:vAlign w:val="center"/>
          </w:tcPr>
          <w:p w14:paraId="29697D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标的名称：</w:t>
            </w:r>
            <w:r>
              <w:rPr>
                <w:rFonts w:hint="eastAsia" w:asciiTheme="minorEastAsia" w:hAnsiTheme="minorEastAsia" w:eastAsiaTheme="minorEastAsia" w:cstheme="minorEastAsia"/>
                <w:color w:val="auto"/>
                <w:sz w:val="24"/>
                <w:szCs w:val="24"/>
                <w:lang w:eastAsia="zh-CN"/>
              </w:rPr>
              <w:t>肥西县</w:t>
            </w:r>
            <w:r>
              <w:rPr>
                <w:rFonts w:hint="eastAsia" w:asciiTheme="minorEastAsia" w:hAnsiTheme="minorEastAsia" w:eastAsiaTheme="minorEastAsia" w:cstheme="minorEastAsia"/>
                <w:color w:val="auto"/>
                <w:sz w:val="24"/>
                <w:szCs w:val="24"/>
              </w:rPr>
              <w:t>供销合作社联合社2026年农药包装废弃物、废旧农膜回收处置服务</w:t>
            </w:r>
          </w:p>
          <w:p w14:paraId="51AB44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所属行业：其他未列明行业</w:t>
            </w:r>
          </w:p>
        </w:tc>
      </w:tr>
      <w:tr w14:paraId="6CAB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82" w:type="pct"/>
            <w:noWrap w:val="0"/>
            <w:vAlign w:val="center"/>
          </w:tcPr>
          <w:p w14:paraId="41C6EA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拟采用的评标办法</w:t>
            </w:r>
          </w:p>
        </w:tc>
        <w:tc>
          <w:tcPr>
            <w:tcW w:w="3817" w:type="pct"/>
            <w:noWrap w:val="0"/>
            <w:vAlign w:val="center"/>
          </w:tcPr>
          <w:p w14:paraId="3CEC880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综合评分法（分值设置：技术分</w:t>
            </w:r>
            <w:r>
              <w:rPr>
                <w:rFonts w:hint="eastAsia" w:asciiTheme="minorEastAsia" w:hAnsiTheme="minorEastAsia" w:eastAsiaTheme="minorEastAsia" w:cstheme="minorEastAsia"/>
                <w:color w:val="auto"/>
                <w:sz w:val="24"/>
                <w:szCs w:val="24"/>
                <w:lang w:val="en-US" w:eastAsia="zh-CN"/>
              </w:rPr>
              <w:t>85</w:t>
            </w:r>
            <w:r>
              <w:rPr>
                <w:rFonts w:hint="eastAsia" w:asciiTheme="minorEastAsia" w:hAnsiTheme="minorEastAsia" w:eastAsiaTheme="minorEastAsia" w:cstheme="minorEastAsia"/>
                <w:color w:val="auto"/>
                <w:sz w:val="24"/>
                <w:szCs w:val="24"/>
              </w:rPr>
              <w:t>分，价格分</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分）</w:t>
            </w:r>
          </w:p>
        </w:tc>
      </w:tr>
      <w:tr w14:paraId="1B69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204" w:type="dxa"/>
            <w:noWrap w:val="0"/>
            <w:vAlign w:val="center"/>
          </w:tcPr>
          <w:p w14:paraId="19A170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kern w:val="21"/>
                <w:sz w:val="24"/>
                <w:szCs w:val="24"/>
              </w:rPr>
            </w:pPr>
            <w:r>
              <w:rPr>
                <w:rFonts w:hint="eastAsia" w:asciiTheme="minorEastAsia" w:hAnsiTheme="minorEastAsia" w:eastAsiaTheme="minorEastAsia" w:cstheme="minorEastAsia"/>
                <w:b/>
                <w:bCs/>
                <w:color w:val="auto"/>
                <w:kern w:val="21"/>
                <w:sz w:val="24"/>
                <w:szCs w:val="24"/>
              </w:rPr>
              <w:t>标前公示反馈</w:t>
            </w:r>
          </w:p>
          <w:p w14:paraId="069BA0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bCs/>
                <w:color w:val="auto"/>
                <w:kern w:val="21"/>
                <w:sz w:val="24"/>
                <w:szCs w:val="24"/>
              </w:rPr>
              <w:t>截止时间</w:t>
            </w:r>
          </w:p>
        </w:tc>
        <w:tc>
          <w:tcPr>
            <w:tcW w:w="7117" w:type="dxa"/>
            <w:noWrap w:val="0"/>
            <w:vAlign w:val="center"/>
          </w:tcPr>
          <w:p w14:paraId="79563AD0">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1"/>
                <w:sz w:val="24"/>
                <w:szCs w:val="24"/>
              </w:rPr>
              <w:t>2026年</w:t>
            </w:r>
            <w:r>
              <w:rPr>
                <w:rFonts w:hint="eastAsia" w:asciiTheme="minorEastAsia" w:hAnsiTheme="minorEastAsia" w:eastAsiaTheme="minorEastAsia" w:cstheme="minorEastAsia"/>
                <w:color w:val="auto"/>
                <w:kern w:val="21"/>
                <w:sz w:val="24"/>
                <w:szCs w:val="24"/>
                <w:lang w:val="en-US" w:eastAsia="zh-CN"/>
              </w:rPr>
              <w:t>9</w:t>
            </w:r>
            <w:r>
              <w:rPr>
                <w:rFonts w:hint="eastAsia" w:asciiTheme="minorEastAsia" w:hAnsiTheme="minorEastAsia" w:eastAsiaTheme="minorEastAsia" w:cstheme="minorEastAsia"/>
                <w:color w:val="auto"/>
                <w:kern w:val="21"/>
                <w:sz w:val="24"/>
                <w:szCs w:val="24"/>
              </w:rPr>
              <w:t>月</w:t>
            </w:r>
            <w:r>
              <w:rPr>
                <w:rFonts w:hint="eastAsia" w:asciiTheme="minorEastAsia" w:hAnsiTheme="minorEastAsia" w:eastAsiaTheme="minorEastAsia" w:cstheme="minorEastAsia"/>
                <w:color w:val="auto"/>
                <w:kern w:val="21"/>
                <w:sz w:val="24"/>
                <w:szCs w:val="24"/>
                <w:lang w:val="en-US" w:eastAsia="zh-CN"/>
              </w:rPr>
              <w:t>24</w:t>
            </w:r>
            <w:r>
              <w:rPr>
                <w:rFonts w:hint="eastAsia" w:asciiTheme="minorEastAsia" w:hAnsiTheme="minorEastAsia" w:eastAsiaTheme="minorEastAsia" w:cstheme="minorEastAsia"/>
                <w:color w:val="auto"/>
                <w:kern w:val="21"/>
                <w:sz w:val="24"/>
                <w:szCs w:val="24"/>
              </w:rPr>
              <w:t>日17时30分前（超过规定时间的视同放弃）</w:t>
            </w:r>
          </w:p>
        </w:tc>
      </w:tr>
    </w:tbl>
    <w:p w14:paraId="40C8366B">
      <w:pPr>
        <w:keepNext w:val="0"/>
        <w:keepLines w:val="0"/>
        <w:pageBreakBefore w:val="0"/>
        <w:widowControl w:val="0"/>
        <w:numPr>
          <w:ilvl w:val="0"/>
          <w:numId w:val="0"/>
        </w:numPr>
        <w:tabs>
          <w:tab w:val="left" w:pos="812"/>
          <w:tab w:val="left" w:pos="854"/>
        </w:tabs>
        <w:kinsoku/>
        <w:wordWrap/>
        <w:overflowPunct/>
        <w:topLinePunct w:val="0"/>
        <w:autoSpaceDE/>
        <w:autoSpaceDN/>
        <w:bidi w:val="0"/>
        <w:adjustRightInd/>
        <w:snapToGrid/>
        <w:spacing w:after="0" w:line="360" w:lineRule="auto"/>
        <w:ind w:left="0" w:leftChars="0" w:right="0" w:rightChars="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2"/>
          <w:sz w:val="24"/>
          <w:szCs w:val="24"/>
          <w:lang w:val="en-US" w:eastAsia="zh-CN" w:bidi="ar-SA"/>
        </w:rPr>
        <w:t>二、</w:t>
      </w:r>
      <w:r>
        <w:rPr>
          <w:rFonts w:hint="eastAsia" w:asciiTheme="minorEastAsia" w:hAnsiTheme="minorEastAsia" w:eastAsiaTheme="minorEastAsia" w:cstheme="minorEastAsia"/>
          <w:b/>
          <w:color w:val="000000"/>
          <w:sz w:val="24"/>
          <w:szCs w:val="24"/>
        </w:rPr>
        <w:t>项目概况</w:t>
      </w:r>
    </w:p>
    <w:p w14:paraId="5D3B38D1">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按照《</w:t>
      </w:r>
      <w:r>
        <w:rPr>
          <w:rFonts w:hint="eastAsia" w:asciiTheme="minorEastAsia" w:hAnsiTheme="minorEastAsia" w:eastAsiaTheme="minorEastAsia" w:cstheme="minorEastAsia"/>
          <w:color w:val="000000"/>
          <w:sz w:val="24"/>
          <w:szCs w:val="24"/>
          <w:lang w:eastAsia="zh-CN"/>
        </w:rPr>
        <w:t>肥西县</w:t>
      </w:r>
      <w:r>
        <w:rPr>
          <w:rFonts w:hint="eastAsia" w:asciiTheme="minorEastAsia" w:hAnsiTheme="minorEastAsia" w:eastAsiaTheme="minorEastAsia" w:cstheme="minorEastAsia"/>
          <w:color w:val="000000"/>
          <w:sz w:val="24"/>
          <w:szCs w:val="24"/>
        </w:rPr>
        <w:t>2026年农药包装废弃物、废旧农膜回收处置工作方案》要求，建立农药包装废弃物、废旧农膜回收与处理体系，有效控制农药包装废弃物、废旧农膜面源污染，保持环巢湖流域优良的水质和绿色清洁的田园，为改善农村人居环境，有效减少农药包装废弃物、废旧农膜等农业生产废弃物所带来的面源污染，提高农业生产生活环境保护质量，推进资源化利用。现拟采购一家服务单位，在全</w:t>
      </w:r>
      <w:r>
        <w:rPr>
          <w:rFonts w:hint="eastAsia" w:asciiTheme="minorEastAsia" w:hAnsiTheme="minorEastAsia" w:eastAsiaTheme="minorEastAsia" w:cstheme="minorEastAsia"/>
          <w:color w:val="000000"/>
          <w:sz w:val="24"/>
          <w:szCs w:val="24"/>
          <w:lang w:eastAsia="zh-CN"/>
        </w:rPr>
        <w:t>县</w:t>
      </w:r>
      <w:r>
        <w:rPr>
          <w:rFonts w:hint="eastAsia" w:asciiTheme="minorEastAsia" w:hAnsiTheme="minorEastAsia" w:eastAsiaTheme="minorEastAsia" w:cstheme="minorEastAsia"/>
          <w:color w:val="000000"/>
          <w:sz w:val="24"/>
          <w:szCs w:val="24"/>
        </w:rPr>
        <w:t>范围内承担农药包装废弃物、废旧农膜的转运归集、运输、无害化处置工作。</w:t>
      </w:r>
    </w:p>
    <w:p w14:paraId="5E28290B">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坚持“群众参与、有偿回收、集中处理”原则，通过在全</w:t>
      </w:r>
      <w:r>
        <w:rPr>
          <w:rFonts w:hint="eastAsia" w:asciiTheme="minorEastAsia" w:hAnsiTheme="minorEastAsia" w:eastAsiaTheme="minorEastAsia" w:cstheme="minorEastAsia"/>
          <w:color w:val="000000"/>
          <w:sz w:val="24"/>
          <w:szCs w:val="24"/>
          <w:lang w:eastAsia="zh-CN"/>
        </w:rPr>
        <w:t>县</w:t>
      </w:r>
      <w:r>
        <w:rPr>
          <w:rFonts w:hint="eastAsia" w:asciiTheme="minorEastAsia" w:hAnsiTheme="minorEastAsia" w:eastAsiaTheme="minorEastAsia" w:cstheme="minorEastAsia"/>
          <w:color w:val="000000"/>
          <w:sz w:val="24"/>
          <w:szCs w:val="24"/>
        </w:rPr>
        <w:t>范围内开展农药包装废弃物、废旧农膜等定点回收、分类和集中处置工作，建立以“主体回收、市场运作、财政奖补、属地管理、专业处置”为主要模式的农药包装废弃物、废旧农膜回收处置体系。</w:t>
      </w:r>
    </w:p>
    <w:p w14:paraId="6F0CF044">
      <w:pPr>
        <w:keepNext w:val="0"/>
        <w:keepLines w:val="0"/>
        <w:pageBreakBefore w:val="0"/>
        <w:widowControl w:val="0"/>
        <w:numPr>
          <w:ilvl w:val="0"/>
          <w:numId w:val="0"/>
        </w:numPr>
        <w:tabs>
          <w:tab w:val="left" w:pos="812"/>
          <w:tab w:val="left" w:pos="854"/>
        </w:tabs>
        <w:kinsoku/>
        <w:wordWrap/>
        <w:overflowPunct/>
        <w:topLinePunct w:val="0"/>
        <w:autoSpaceDE/>
        <w:autoSpaceDN/>
        <w:bidi w:val="0"/>
        <w:adjustRightInd/>
        <w:snapToGrid/>
        <w:spacing w:after="0" w:line="360" w:lineRule="auto"/>
        <w:ind w:left="0" w:leftChars="0" w:right="0" w:rightChars="0" w:firstLine="482" w:firstLineChars="200"/>
        <w:jc w:val="left"/>
        <w:textAlignment w:val="auto"/>
        <w:rPr>
          <w:rFonts w:hint="eastAsia" w:asciiTheme="minorEastAsia" w:hAnsiTheme="minorEastAsia" w:eastAsiaTheme="minorEastAsia" w:cstheme="minorEastAsia"/>
          <w:b/>
          <w:color w:val="000000"/>
          <w:kern w:val="2"/>
          <w:sz w:val="24"/>
          <w:szCs w:val="24"/>
          <w:lang w:val="en-US" w:eastAsia="zh-CN" w:bidi="ar-SA"/>
        </w:rPr>
      </w:pPr>
      <w:r>
        <w:rPr>
          <w:rFonts w:hint="eastAsia" w:asciiTheme="minorEastAsia" w:hAnsiTheme="minorEastAsia" w:eastAsiaTheme="minorEastAsia" w:cstheme="minorEastAsia"/>
          <w:b/>
          <w:color w:val="000000"/>
          <w:kern w:val="2"/>
          <w:sz w:val="24"/>
          <w:szCs w:val="24"/>
          <w:lang w:val="en-US" w:eastAsia="zh-CN" w:bidi="ar-SA"/>
        </w:rPr>
        <w:t>三、服务需求</w:t>
      </w:r>
    </w:p>
    <w:p w14:paraId="5A9B3E3B">
      <w:pPr>
        <w:keepNext w:val="0"/>
        <w:keepLines w:val="0"/>
        <w:pageBreakBefore w:val="0"/>
        <w:widowControl w:val="0"/>
        <w:numPr>
          <w:ilvl w:val="0"/>
          <w:numId w:val="0"/>
        </w:numPr>
        <w:tabs>
          <w:tab w:val="left" w:pos="812"/>
          <w:tab w:val="left" w:pos="854"/>
        </w:tabs>
        <w:kinsoku/>
        <w:wordWrap/>
        <w:overflowPunct/>
        <w:topLinePunct w:val="0"/>
        <w:autoSpaceDE/>
        <w:autoSpaceDN/>
        <w:bidi w:val="0"/>
        <w:adjustRightInd/>
        <w:snapToGrid/>
        <w:spacing w:after="0" w:line="360" w:lineRule="auto"/>
        <w:ind w:left="0" w:leftChars="0" w:right="0" w:rightChars="0" w:firstLine="482"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（一）服务覆盖范围：</w:t>
      </w:r>
      <w:r>
        <w:rPr>
          <w:rFonts w:hint="eastAsia" w:asciiTheme="minorEastAsia" w:hAnsiTheme="minorEastAsia" w:eastAsiaTheme="minorEastAsia" w:cstheme="minorEastAsia"/>
          <w:color w:val="000000"/>
          <w:sz w:val="24"/>
          <w:szCs w:val="24"/>
          <w:lang w:eastAsia="zh-CN"/>
        </w:rPr>
        <w:t>肥西县</w:t>
      </w:r>
      <w:r>
        <w:rPr>
          <w:rFonts w:hint="eastAsia" w:asciiTheme="minorEastAsia" w:hAnsiTheme="minorEastAsia" w:eastAsiaTheme="minorEastAsia" w:cstheme="minorEastAsia"/>
          <w:color w:val="000000"/>
          <w:sz w:val="24"/>
          <w:szCs w:val="24"/>
        </w:rPr>
        <w:t>行政区域内所有农业生产环节产生的农药包装废弃物（农药瓶、农药袋等）及废旧农地膜废弃物，包括各镇（街）种植基地、家庭农场、专业合作社、散户等产生的相关废弃物。</w:t>
      </w:r>
    </w:p>
    <w:p w14:paraId="040EE26E">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服务期限：</w:t>
      </w:r>
      <w:r>
        <w:rPr>
          <w:rFonts w:hint="eastAsia" w:asciiTheme="minorEastAsia" w:hAnsiTheme="minorEastAsia" w:eastAsiaTheme="minorEastAsia" w:cstheme="minorEastAsia"/>
          <w:color w:val="auto"/>
          <w:sz w:val="24"/>
          <w:szCs w:val="24"/>
          <w:lang w:val="en-US" w:eastAsia="zh-CN"/>
        </w:rPr>
        <w:t>首年为合同签订</w:t>
      </w:r>
      <w:r>
        <w:rPr>
          <w:rFonts w:hint="eastAsia" w:asciiTheme="minorEastAsia" w:hAnsiTheme="minorEastAsia" w:eastAsiaTheme="minorEastAsia" w:cstheme="minorEastAsia"/>
          <w:color w:val="auto"/>
          <w:sz w:val="24"/>
          <w:szCs w:val="24"/>
          <w:lang w:eastAsia="zh-CN"/>
        </w:rPr>
        <w:t>之日起至</w:t>
      </w:r>
      <w:r>
        <w:rPr>
          <w:rFonts w:hint="eastAsia" w:asciiTheme="minorEastAsia" w:hAnsiTheme="minorEastAsia" w:eastAsiaTheme="minorEastAsia" w:cstheme="minorEastAsia"/>
          <w:color w:val="auto"/>
          <w:sz w:val="24"/>
          <w:szCs w:val="24"/>
          <w:lang w:val="en-US" w:eastAsia="zh-CN"/>
        </w:rPr>
        <w:t>2027年5月31日。续签时间为当年度6月1日至下一年5月31日。</w:t>
      </w:r>
    </w:p>
    <w:p w14:paraId="6BCB58B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工作目标：建立“回收、转运、处置”的闭环体系，</w:t>
      </w:r>
      <w:r>
        <w:rPr>
          <w:rFonts w:hint="eastAsia" w:asciiTheme="minorEastAsia" w:hAnsiTheme="minorEastAsia" w:eastAsiaTheme="minorEastAsia" w:cstheme="minorEastAsia"/>
          <w:color w:val="auto"/>
          <w:sz w:val="24"/>
          <w:szCs w:val="24"/>
          <w:lang w:eastAsia="zh-CN"/>
        </w:rPr>
        <w:t>全县农药包装废弃物和废旧农膜实现应收尽收，</w:t>
      </w:r>
      <w:r>
        <w:rPr>
          <w:rFonts w:hint="eastAsia" w:asciiTheme="minorEastAsia" w:hAnsiTheme="minorEastAsia" w:eastAsiaTheme="minorEastAsia" w:cstheme="minorEastAsia"/>
          <w:color w:val="auto"/>
          <w:sz w:val="24"/>
          <w:szCs w:val="24"/>
          <w:lang w:val="en-US" w:eastAsia="zh-CN"/>
        </w:rPr>
        <w:t>2026</w:t>
      </w:r>
      <w:r>
        <w:rPr>
          <w:rFonts w:hint="eastAsia" w:asciiTheme="minorEastAsia" w:hAnsiTheme="minorEastAsia" w:eastAsiaTheme="minorEastAsia" w:cstheme="minorEastAsia"/>
          <w:color w:val="auto"/>
          <w:sz w:val="24"/>
          <w:szCs w:val="24"/>
          <w:lang w:eastAsia="zh-CN"/>
        </w:rPr>
        <w:t>年</w:t>
      </w:r>
      <w:r>
        <w:rPr>
          <w:rFonts w:hint="eastAsia" w:asciiTheme="minorEastAsia" w:hAnsiTheme="minorEastAsia" w:eastAsiaTheme="minorEastAsia" w:cstheme="minorEastAsia"/>
          <w:color w:val="auto"/>
          <w:sz w:val="24"/>
          <w:szCs w:val="24"/>
          <w:lang w:val="en-US" w:eastAsia="zh-CN"/>
        </w:rPr>
        <w:t>11月30日前完成年度</w:t>
      </w:r>
      <w:r>
        <w:rPr>
          <w:rFonts w:hint="eastAsia" w:asciiTheme="minorEastAsia" w:hAnsiTheme="minorEastAsia" w:eastAsiaTheme="minorEastAsia" w:cstheme="minorEastAsia"/>
          <w:color w:val="auto"/>
          <w:sz w:val="24"/>
          <w:szCs w:val="24"/>
          <w:lang w:eastAsia="zh-CN"/>
        </w:rPr>
        <w:t>回收任务</w:t>
      </w:r>
      <w:r>
        <w:rPr>
          <w:rFonts w:hint="eastAsia" w:asciiTheme="minorEastAsia" w:hAnsiTheme="minorEastAsia" w:eastAsiaTheme="minorEastAsia" w:cstheme="minorEastAsia"/>
          <w:color w:val="auto"/>
          <w:sz w:val="24"/>
          <w:szCs w:val="24"/>
          <w:lang w:val="en-US" w:eastAsia="zh-CN"/>
        </w:rPr>
        <w:t>259吨以上，其中</w:t>
      </w:r>
      <w:r>
        <w:rPr>
          <w:rFonts w:hint="eastAsia" w:asciiTheme="minorEastAsia" w:hAnsiTheme="minorEastAsia" w:eastAsiaTheme="minorEastAsia" w:cstheme="minorEastAsia"/>
          <w:color w:val="auto"/>
          <w:sz w:val="24"/>
          <w:szCs w:val="24"/>
        </w:rPr>
        <w:t>废弃</w:t>
      </w:r>
      <w:r>
        <w:rPr>
          <w:rFonts w:hint="eastAsia" w:asciiTheme="minorEastAsia" w:hAnsiTheme="minorEastAsia" w:eastAsiaTheme="minorEastAsia" w:cstheme="minorEastAsia"/>
          <w:color w:val="auto"/>
          <w:sz w:val="24"/>
          <w:szCs w:val="24"/>
          <w:lang w:eastAsia="zh-CN"/>
        </w:rPr>
        <w:t>物（农药瓶、农药袋）</w:t>
      </w:r>
      <w:r>
        <w:rPr>
          <w:rFonts w:hint="eastAsia" w:asciiTheme="minorEastAsia" w:hAnsiTheme="minorEastAsia" w:eastAsiaTheme="minorEastAsia" w:cstheme="minorEastAsia"/>
          <w:color w:val="auto"/>
          <w:sz w:val="24"/>
          <w:szCs w:val="24"/>
          <w:lang w:val="en-US" w:eastAsia="zh-CN"/>
        </w:rPr>
        <w:t>244吨以上、</w:t>
      </w:r>
      <w:r>
        <w:rPr>
          <w:rFonts w:hint="eastAsia" w:asciiTheme="minorEastAsia" w:hAnsiTheme="minorEastAsia" w:eastAsiaTheme="minorEastAsia" w:cstheme="minorEastAsia"/>
          <w:color w:val="auto"/>
          <w:sz w:val="24"/>
          <w:szCs w:val="24"/>
          <w:lang w:eastAsia="zh-CN"/>
        </w:rPr>
        <w:t>废旧</w:t>
      </w:r>
      <w:r>
        <w:rPr>
          <w:rFonts w:hint="eastAsia" w:asciiTheme="minorEastAsia" w:hAnsiTheme="minorEastAsia" w:eastAsiaTheme="minorEastAsia" w:cstheme="minorEastAsia"/>
          <w:color w:val="auto"/>
          <w:sz w:val="24"/>
          <w:szCs w:val="24"/>
        </w:rPr>
        <w:t>农地膜回收量</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吨以上</w:t>
      </w:r>
      <w:r>
        <w:rPr>
          <w:rFonts w:hint="eastAsia" w:asciiTheme="minorEastAsia" w:hAnsiTheme="minorEastAsia" w:eastAsiaTheme="minorEastAsia" w:cstheme="minorEastAsia"/>
          <w:color w:val="auto"/>
          <w:sz w:val="24"/>
          <w:szCs w:val="24"/>
          <w:lang w:eastAsia="zh-CN"/>
        </w:rPr>
        <w:t>，服务期限内</w:t>
      </w:r>
      <w:r>
        <w:rPr>
          <w:rFonts w:hint="eastAsia" w:asciiTheme="minorEastAsia" w:hAnsiTheme="minorEastAsia" w:eastAsiaTheme="minorEastAsia" w:cstheme="minorEastAsia"/>
          <w:color w:val="auto"/>
          <w:sz w:val="24"/>
          <w:szCs w:val="24"/>
          <w:lang w:val="en-US" w:eastAsia="zh-CN"/>
        </w:rPr>
        <w:t>回收本金+处置服务费，首年结算不超过220万。</w:t>
      </w:r>
      <w:r>
        <w:rPr>
          <w:rFonts w:hint="eastAsia" w:asciiTheme="minorEastAsia" w:hAnsiTheme="minorEastAsia" w:eastAsiaTheme="minorEastAsia" w:cstheme="minorEastAsia"/>
          <w:color w:val="auto"/>
          <w:sz w:val="24"/>
          <w:szCs w:val="24"/>
        </w:rPr>
        <w:t>全</w:t>
      </w:r>
      <w:r>
        <w:rPr>
          <w:rFonts w:hint="eastAsia" w:asciiTheme="minorEastAsia" w:hAnsiTheme="minorEastAsia" w:eastAsiaTheme="minorEastAsia" w:cstheme="minorEastAsia"/>
          <w:color w:val="auto"/>
          <w:sz w:val="24"/>
          <w:szCs w:val="24"/>
          <w:lang w:eastAsia="zh-CN"/>
        </w:rPr>
        <w:t>县</w:t>
      </w:r>
      <w:r>
        <w:rPr>
          <w:rFonts w:hint="eastAsia" w:asciiTheme="minorEastAsia" w:hAnsiTheme="minorEastAsia" w:eastAsiaTheme="minorEastAsia" w:cstheme="minorEastAsia"/>
          <w:color w:val="auto"/>
          <w:sz w:val="24"/>
          <w:szCs w:val="24"/>
        </w:rPr>
        <w:t>所有涉农镇（街）服务全覆盖，涉农村居（社区）回收服务覆盖率达到86%以上(其中环巢湖一级保护区内涉农村级回收服务全覆盖)；农药包装废弃物、废旧农膜回收率达86%</w:t>
      </w:r>
      <w:r>
        <w:rPr>
          <w:rFonts w:hint="eastAsia" w:asciiTheme="minorEastAsia" w:hAnsiTheme="minorEastAsia" w:eastAsiaTheme="minorEastAsia" w:cstheme="minorEastAsia"/>
          <w:color w:val="auto"/>
          <w:sz w:val="24"/>
          <w:szCs w:val="24"/>
          <w:lang w:val="en-US" w:eastAsia="zh-CN"/>
        </w:rPr>
        <w:t>以上</w:t>
      </w:r>
      <w:r>
        <w:rPr>
          <w:rFonts w:hint="eastAsia" w:asciiTheme="minorEastAsia" w:hAnsiTheme="minorEastAsia" w:eastAsiaTheme="minorEastAsia" w:cstheme="minorEastAsia"/>
          <w:color w:val="auto"/>
          <w:sz w:val="24"/>
          <w:szCs w:val="24"/>
        </w:rPr>
        <w:t>，其中一级保护区农药包装废弃物、废旧农膜回收率达90%</w:t>
      </w:r>
      <w:r>
        <w:rPr>
          <w:rFonts w:hint="eastAsia" w:asciiTheme="minorEastAsia" w:hAnsiTheme="minorEastAsia" w:eastAsiaTheme="minorEastAsia" w:cstheme="minorEastAsia"/>
          <w:color w:val="auto"/>
          <w:sz w:val="24"/>
          <w:szCs w:val="24"/>
          <w:lang w:val="en-US" w:eastAsia="zh-CN"/>
        </w:rPr>
        <w:t>以上</w:t>
      </w:r>
      <w:r>
        <w:rPr>
          <w:rFonts w:hint="eastAsia" w:asciiTheme="minorEastAsia" w:hAnsiTheme="minorEastAsia" w:eastAsiaTheme="minorEastAsia" w:cstheme="minorEastAsia"/>
          <w:color w:val="auto"/>
          <w:sz w:val="24"/>
          <w:szCs w:val="24"/>
        </w:rPr>
        <w:t>；废弃物处置需符合国家及地方环保标准，专业化处理率达到95%以上；建立完整的回收、转运、处置台账，实现全程可追溯。在农药包装废弃物回收、转运、处置等环节中做好应急处置及安全保障工作。</w:t>
      </w:r>
    </w:p>
    <w:p w14:paraId="3E9F9A7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配套要求：成交供应商配</w:t>
      </w:r>
      <w:r>
        <w:rPr>
          <w:rFonts w:hint="eastAsia" w:asciiTheme="minorEastAsia" w:hAnsiTheme="minorEastAsia" w:eastAsiaTheme="minorEastAsia" w:cstheme="minorEastAsia"/>
          <w:color w:val="auto"/>
          <w:sz w:val="24"/>
          <w:szCs w:val="24"/>
        </w:rPr>
        <w:t>备</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辆</w:t>
      </w:r>
      <w:r>
        <w:rPr>
          <w:rFonts w:hint="eastAsia" w:asciiTheme="minorEastAsia" w:hAnsiTheme="minorEastAsia" w:eastAsiaTheme="minorEastAsia" w:cstheme="minorEastAsia"/>
          <w:color w:val="auto"/>
          <w:sz w:val="24"/>
          <w:szCs w:val="24"/>
          <w:lang w:eastAsia="zh-CN"/>
        </w:rPr>
        <w:t>以上</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000000"/>
          <w:sz w:val="24"/>
          <w:szCs w:val="24"/>
        </w:rPr>
        <w:t>移动云车”；推广智能化回收方式，依托数字化管理平台，全面推行回收农户实名登记，实现源头可溯、过程可查、账实相符；推动回收处置情况与“安徽省农药数字监督管理平台”互联互通。</w:t>
      </w:r>
    </w:p>
    <w:p w14:paraId="21F7B29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（二）服务要求</w:t>
      </w:r>
    </w:p>
    <w:p w14:paraId="0E237F0D">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1、回收基础数据采集</w:t>
      </w:r>
    </w:p>
    <w:p w14:paraId="5F90050D">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成交供应商负责</w:t>
      </w:r>
      <w:r>
        <w:rPr>
          <w:rFonts w:hint="eastAsia" w:asciiTheme="minorEastAsia" w:hAnsiTheme="minorEastAsia" w:eastAsiaTheme="minorEastAsia" w:cstheme="minorEastAsia"/>
          <w:color w:val="000000"/>
          <w:sz w:val="24"/>
          <w:szCs w:val="24"/>
          <w:lang w:val="en-US" w:eastAsia="zh-CN"/>
        </w:rPr>
        <w:t>肥西县</w:t>
      </w:r>
      <w:r>
        <w:rPr>
          <w:rFonts w:hint="eastAsia" w:asciiTheme="minorEastAsia" w:hAnsiTheme="minorEastAsia" w:eastAsiaTheme="minorEastAsia" w:cstheme="minorEastAsia"/>
          <w:color w:val="000000"/>
          <w:sz w:val="24"/>
          <w:szCs w:val="24"/>
        </w:rPr>
        <w:t>域内农废的回收、归集、运输、打包、暂存、转运、处置、宣传和信息化管理服务等具体工作。以各</w:t>
      </w:r>
      <w:r>
        <w:rPr>
          <w:rFonts w:hint="eastAsia" w:asciiTheme="minorEastAsia" w:hAnsiTheme="minorEastAsia" w:eastAsiaTheme="minorEastAsia" w:cstheme="minorEastAsia"/>
          <w:color w:val="000000"/>
          <w:sz w:val="24"/>
          <w:szCs w:val="24"/>
          <w:lang w:val="en-US" w:eastAsia="zh-CN"/>
        </w:rPr>
        <w:t>乡</w:t>
      </w:r>
      <w:r>
        <w:rPr>
          <w:rFonts w:hint="eastAsia" w:asciiTheme="minorEastAsia" w:hAnsiTheme="minorEastAsia" w:eastAsiaTheme="minorEastAsia" w:cstheme="minorEastAsia"/>
          <w:color w:val="000000"/>
          <w:sz w:val="24"/>
          <w:szCs w:val="24"/>
        </w:rPr>
        <w:t>镇（</w:t>
      </w:r>
      <w:r>
        <w:rPr>
          <w:rFonts w:hint="eastAsia" w:asciiTheme="minorEastAsia" w:hAnsiTheme="minorEastAsia" w:eastAsiaTheme="minorEastAsia" w:cstheme="minorEastAsia"/>
          <w:color w:val="000000"/>
          <w:sz w:val="24"/>
          <w:szCs w:val="24"/>
          <w:lang w:val="en-US" w:eastAsia="zh-CN"/>
        </w:rPr>
        <w:t>园区</w:t>
      </w:r>
      <w:r>
        <w:rPr>
          <w:rFonts w:hint="eastAsia" w:asciiTheme="minorEastAsia" w:hAnsiTheme="minorEastAsia" w:eastAsiaTheme="minorEastAsia" w:cstheme="minorEastAsia"/>
          <w:color w:val="000000"/>
          <w:sz w:val="24"/>
          <w:szCs w:val="24"/>
        </w:rPr>
        <w:t>）为基础，积极与属地部门对接,整理</w:t>
      </w:r>
      <w:r>
        <w:rPr>
          <w:rFonts w:hint="eastAsia" w:asciiTheme="minorEastAsia" w:hAnsiTheme="minorEastAsia" w:eastAsiaTheme="minorEastAsia" w:cstheme="minorEastAsia"/>
          <w:color w:val="000000"/>
          <w:sz w:val="24"/>
          <w:szCs w:val="24"/>
          <w:lang w:val="en-US" w:eastAsia="zh-CN"/>
        </w:rPr>
        <w:t>肥西县</w:t>
      </w:r>
      <w:r>
        <w:rPr>
          <w:rFonts w:hint="eastAsia" w:asciiTheme="minorEastAsia" w:hAnsiTheme="minorEastAsia" w:eastAsiaTheme="minorEastAsia" w:cstheme="minorEastAsia"/>
          <w:color w:val="000000"/>
          <w:sz w:val="24"/>
          <w:szCs w:val="24"/>
        </w:rPr>
        <w:t>农业种植户详细信息，包括姓名、联系方式、农田面积、主要作物、历年农废回收量等基础数据，根据以上信息对农废回收量进行有效控制，以建立运作规范、制度健全的信息化回收管理体系。</w:t>
      </w:r>
    </w:p>
    <w:p w14:paraId="623CE880">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2、回收服务</w:t>
      </w:r>
    </w:p>
    <w:p w14:paraId="5B600EE9">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配</w:t>
      </w:r>
      <w:r>
        <w:rPr>
          <w:rFonts w:hint="eastAsia" w:asciiTheme="minorEastAsia" w:hAnsiTheme="minorEastAsia" w:eastAsiaTheme="minorEastAsia" w:cstheme="minorEastAsia"/>
          <w:color w:val="auto"/>
          <w:sz w:val="24"/>
          <w:szCs w:val="24"/>
        </w:rPr>
        <w:t>置</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辆</w:t>
      </w:r>
      <w:r>
        <w:rPr>
          <w:rFonts w:hint="eastAsia" w:asciiTheme="minorEastAsia" w:hAnsiTheme="minorEastAsia" w:eastAsiaTheme="minorEastAsia" w:cstheme="minorEastAsia"/>
          <w:color w:val="auto"/>
          <w:sz w:val="24"/>
          <w:szCs w:val="24"/>
          <w:lang w:eastAsia="zh-CN"/>
        </w:rPr>
        <w:t>以上</w:t>
      </w:r>
      <w:r>
        <w:rPr>
          <w:rFonts w:hint="eastAsia" w:asciiTheme="minorEastAsia" w:hAnsiTheme="minorEastAsia" w:eastAsiaTheme="minorEastAsia" w:cstheme="minorEastAsia"/>
          <w:color w:val="auto"/>
          <w:sz w:val="24"/>
          <w:szCs w:val="24"/>
        </w:rPr>
        <w:t>移</w:t>
      </w:r>
      <w:r>
        <w:rPr>
          <w:rFonts w:hint="eastAsia" w:asciiTheme="minorEastAsia" w:hAnsiTheme="minorEastAsia" w:eastAsiaTheme="minorEastAsia" w:cstheme="minorEastAsia"/>
          <w:color w:val="000000"/>
          <w:sz w:val="24"/>
          <w:szCs w:val="24"/>
        </w:rPr>
        <w:t>动回收云车，构建“云车流动作业+</w:t>
      </w:r>
      <w:r>
        <w:rPr>
          <w:rFonts w:hint="eastAsia" w:asciiTheme="minorEastAsia" w:hAnsiTheme="minorEastAsia" w:eastAsiaTheme="minorEastAsia" w:cstheme="minorEastAsia"/>
          <w:color w:val="000000"/>
          <w:sz w:val="24"/>
          <w:szCs w:val="24"/>
          <w:lang w:val="en-US" w:eastAsia="zh-CN"/>
        </w:rPr>
        <w:t>村级</w:t>
      </w:r>
      <w:r>
        <w:rPr>
          <w:rFonts w:hint="eastAsia" w:asciiTheme="minorEastAsia" w:hAnsiTheme="minorEastAsia" w:eastAsiaTheme="minorEastAsia" w:cstheme="minorEastAsia"/>
          <w:color w:val="000000"/>
          <w:sz w:val="24"/>
          <w:szCs w:val="24"/>
        </w:rPr>
        <w:t>临时点集中归集+大户上门服务”的立体化回收体系：回收期间在各</w:t>
      </w:r>
      <w:r>
        <w:rPr>
          <w:rFonts w:hint="eastAsia" w:asciiTheme="minorEastAsia" w:hAnsiTheme="minorEastAsia" w:eastAsiaTheme="minorEastAsia" w:cstheme="minorEastAsia"/>
          <w:color w:val="000000"/>
          <w:sz w:val="24"/>
          <w:szCs w:val="24"/>
          <w:lang w:val="en-US" w:eastAsia="zh-CN"/>
        </w:rPr>
        <w:t>乡</w:t>
      </w:r>
      <w:r>
        <w:rPr>
          <w:rFonts w:hint="eastAsia" w:asciiTheme="minorEastAsia" w:hAnsiTheme="minorEastAsia" w:eastAsiaTheme="minorEastAsia" w:cstheme="minorEastAsia"/>
          <w:color w:val="000000"/>
          <w:sz w:val="24"/>
          <w:szCs w:val="24"/>
        </w:rPr>
        <w:t>镇（</w:t>
      </w:r>
      <w:r>
        <w:rPr>
          <w:rFonts w:hint="eastAsia" w:asciiTheme="minorEastAsia" w:hAnsiTheme="minorEastAsia" w:eastAsiaTheme="minorEastAsia" w:cstheme="minorEastAsia"/>
          <w:color w:val="000000"/>
          <w:sz w:val="24"/>
          <w:szCs w:val="24"/>
          <w:lang w:val="en-US" w:eastAsia="zh-CN"/>
        </w:rPr>
        <w:t>园区</w:t>
      </w:r>
      <w:r>
        <w:rPr>
          <w:rFonts w:hint="eastAsia" w:asciiTheme="minorEastAsia" w:hAnsiTheme="minorEastAsia" w:eastAsiaTheme="minorEastAsia" w:cstheme="minorEastAsia"/>
          <w:color w:val="000000"/>
          <w:sz w:val="24"/>
          <w:szCs w:val="24"/>
        </w:rPr>
        <w:t>）设置临时回收点，由云车驻点开展集中回收，针对农业种植大户，提供预约式上门回收服务。推行全流程智能化回收，实现智能称重、数据自动上传、线上货币结算、资金实时到账、平台全程监管的闭环管理。严格落实环保管控要求，确保回收运输过程废弃物无泄漏、无抛洒、无二次污染。建立规范电子回收台账，完整记录废弃物来源、种类、数量、回收时间及交收人员等关键信息，每月按时向采购人报送回收统计报表。</w:t>
      </w:r>
    </w:p>
    <w:p w14:paraId="68ECC0A0">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2"/>
          <w:sz w:val="24"/>
          <w:szCs w:val="24"/>
          <w:lang w:val="en-US" w:eastAsia="zh-CN" w:bidi="ar-SA"/>
        </w:rPr>
        <w:t>3、</w:t>
      </w:r>
      <w:r>
        <w:rPr>
          <w:rFonts w:hint="eastAsia" w:asciiTheme="minorEastAsia" w:hAnsiTheme="minorEastAsia" w:eastAsiaTheme="minorEastAsia" w:cstheme="minorEastAsia"/>
          <w:b/>
          <w:color w:val="000000"/>
          <w:sz w:val="24"/>
          <w:szCs w:val="24"/>
        </w:rPr>
        <w:t>转运服务</w:t>
      </w:r>
    </w:p>
    <w:p w14:paraId="7BE645D4">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000000"/>
          <w:sz w:val="24"/>
          <w:szCs w:val="24"/>
        </w:rPr>
        <w:t>转运车辆（含移动云车）需符合安全要求，配备定位系统，实行闭环运输，避免途中抛洒、渗漏；废弃物从回收点转运至数字化贮存转运中心或处置机构的</w:t>
      </w:r>
      <w:r>
        <w:rPr>
          <w:rFonts w:hint="eastAsia" w:asciiTheme="minorEastAsia" w:hAnsiTheme="minorEastAsia" w:eastAsiaTheme="minorEastAsia" w:cstheme="minorEastAsia"/>
          <w:color w:val="auto"/>
          <w:sz w:val="24"/>
          <w:szCs w:val="24"/>
        </w:rPr>
        <w:t>周期不超过15个工作日。</w:t>
      </w:r>
    </w:p>
    <w:p w14:paraId="43532567">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4、处置服务</w:t>
      </w:r>
    </w:p>
    <w:p w14:paraId="08260935">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按照国家《农业废弃物资源化利用通则》《危险废物焚烧污染控制标准》等相关规定，对废弃物进行无害化处置或资源化利用，严禁非法倾倒、处置；每月向采购人提交处置台账，包含处置方式、处置量等信息。</w:t>
      </w:r>
    </w:p>
    <w:p w14:paraId="08AAB2E1">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5、数字化平台服务</w:t>
      </w:r>
    </w:p>
    <w:p w14:paraId="692FEC62">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构建农药包装废弃物、废旧农膜回收处置全流程数字化管理体系，搭建“两回收两利用”数字信息化平台，涵盖回收登记、客户管理、补贴流水、运输管理等功能，实现主体管理、资金查询、数据汇聚、实时监管及财务电子台账一键导出功能。平台以回收登记、清运登记、智能监管（含数据处理和数据展示）为核心，通过数字化管理强化采购人监管能力与闭环管理水平，推动与“安徽省农药数字监督管理平台”互联互通，实现对接适配，数据互通，传输安全等功能。</w:t>
      </w:r>
    </w:p>
    <w:p w14:paraId="62DCDD21">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6、宣传培训</w:t>
      </w:r>
    </w:p>
    <w:p w14:paraId="5B2A8296">
      <w:pPr>
        <w:keepNext w:val="0"/>
        <w:keepLines w:val="0"/>
        <w:pageBreakBefore w:val="0"/>
        <w:widowControl w:val="0"/>
        <w:tabs>
          <w:tab w:val="left" w:pos="812"/>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成交供应商每半年至少组织1次面向镇、村及种植户的废弃物回收宣传培训活动，普及回收知识及相关政策，提高农户参与积极性。</w:t>
      </w:r>
    </w:p>
    <w:p w14:paraId="17820A8F">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7、配合监管</w:t>
      </w:r>
    </w:p>
    <w:p w14:paraId="1A336E27">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成交供应商应服从各</w:t>
      </w:r>
      <w:r>
        <w:rPr>
          <w:rFonts w:hint="eastAsia" w:asciiTheme="minorEastAsia" w:hAnsiTheme="minorEastAsia" w:eastAsiaTheme="minorEastAsia" w:cstheme="minorEastAsia"/>
          <w:color w:val="auto"/>
          <w:sz w:val="24"/>
          <w:szCs w:val="24"/>
          <w:lang w:val="en-US" w:eastAsia="zh-CN"/>
        </w:rPr>
        <w:t>乡</w:t>
      </w:r>
      <w:r>
        <w:rPr>
          <w:rFonts w:hint="eastAsia" w:asciiTheme="minorEastAsia" w:hAnsiTheme="minorEastAsia" w:eastAsiaTheme="minorEastAsia" w:cstheme="minorEastAsia"/>
          <w:color w:val="auto"/>
          <w:sz w:val="24"/>
          <w:szCs w:val="24"/>
        </w:rPr>
        <w:t>镇(</w:t>
      </w:r>
      <w:r>
        <w:rPr>
          <w:rFonts w:hint="eastAsia" w:asciiTheme="minorEastAsia" w:hAnsiTheme="minorEastAsia" w:eastAsiaTheme="minorEastAsia" w:cstheme="minorEastAsia"/>
          <w:color w:val="auto"/>
          <w:sz w:val="24"/>
          <w:szCs w:val="24"/>
          <w:lang w:val="en-US" w:eastAsia="zh-CN"/>
        </w:rPr>
        <w:t>园区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及基层社</w:t>
      </w:r>
      <w:r>
        <w:rPr>
          <w:rFonts w:hint="eastAsia" w:asciiTheme="minorEastAsia" w:hAnsiTheme="minorEastAsia" w:eastAsiaTheme="minorEastAsia" w:cstheme="minorEastAsia"/>
          <w:color w:val="auto"/>
          <w:sz w:val="24"/>
          <w:szCs w:val="24"/>
        </w:rPr>
        <w:t>的监督管理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积极做好农药包装废弃物、废旧农膜收集、统计、核实、接收、运输等全过程的监管及环境保护工作</w:t>
      </w:r>
      <w:r>
        <w:rPr>
          <w:rFonts w:hint="eastAsia" w:asciiTheme="minorEastAsia" w:hAnsiTheme="minorEastAsia" w:eastAsiaTheme="minorEastAsia" w:cstheme="minorEastAsia"/>
          <w:color w:val="auto"/>
          <w:sz w:val="24"/>
          <w:szCs w:val="24"/>
          <w:lang w:eastAsia="zh-CN"/>
        </w:rPr>
        <w:t>，全县农药包装废弃物和废旧农膜实现应收尽收，</w:t>
      </w:r>
      <w:r>
        <w:rPr>
          <w:rFonts w:hint="eastAsia" w:asciiTheme="minorEastAsia" w:hAnsiTheme="minorEastAsia" w:eastAsiaTheme="minorEastAsia" w:cstheme="minorEastAsia"/>
          <w:color w:val="auto"/>
          <w:sz w:val="24"/>
          <w:szCs w:val="24"/>
          <w:lang w:val="en-US" w:eastAsia="zh-CN"/>
        </w:rPr>
        <w:t>2026</w:t>
      </w:r>
      <w:r>
        <w:rPr>
          <w:rFonts w:hint="eastAsia" w:asciiTheme="minorEastAsia" w:hAnsiTheme="minorEastAsia" w:eastAsiaTheme="minorEastAsia" w:cstheme="minorEastAsia"/>
          <w:color w:val="auto"/>
          <w:sz w:val="24"/>
          <w:szCs w:val="24"/>
          <w:lang w:eastAsia="zh-CN"/>
        </w:rPr>
        <w:t>年</w:t>
      </w:r>
      <w:r>
        <w:rPr>
          <w:rFonts w:hint="eastAsia" w:asciiTheme="minorEastAsia" w:hAnsiTheme="minorEastAsia" w:eastAsiaTheme="minorEastAsia" w:cstheme="minorEastAsia"/>
          <w:color w:val="auto"/>
          <w:sz w:val="24"/>
          <w:szCs w:val="24"/>
          <w:lang w:val="en-US" w:eastAsia="zh-CN"/>
        </w:rPr>
        <w:t>11月30日前完成年度</w:t>
      </w:r>
      <w:r>
        <w:rPr>
          <w:rFonts w:hint="eastAsia" w:asciiTheme="minorEastAsia" w:hAnsiTheme="minorEastAsia" w:eastAsiaTheme="minorEastAsia" w:cstheme="minorEastAsia"/>
          <w:color w:val="auto"/>
          <w:sz w:val="24"/>
          <w:szCs w:val="24"/>
          <w:lang w:eastAsia="zh-CN"/>
        </w:rPr>
        <w:t>回收任务</w:t>
      </w:r>
      <w:r>
        <w:rPr>
          <w:rFonts w:hint="eastAsia" w:asciiTheme="minorEastAsia" w:hAnsiTheme="minorEastAsia" w:eastAsiaTheme="minorEastAsia" w:cstheme="minorEastAsia"/>
          <w:color w:val="auto"/>
          <w:sz w:val="24"/>
          <w:szCs w:val="24"/>
          <w:lang w:val="en-US" w:eastAsia="zh-CN"/>
        </w:rPr>
        <w:t>259吨以上，其中</w:t>
      </w:r>
      <w:r>
        <w:rPr>
          <w:rFonts w:hint="eastAsia" w:asciiTheme="minorEastAsia" w:hAnsiTheme="minorEastAsia" w:eastAsiaTheme="minorEastAsia" w:cstheme="minorEastAsia"/>
          <w:color w:val="auto"/>
          <w:sz w:val="24"/>
          <w:szCs w:val="24"/>
        </w:rPr>
        <w:t>废弃</w:t>
      </w:r>
      <w:r>
        <w:rPr>
          <w:rFonts w:hint="eastAsia" w:asciiTheme="minorEastAsia" w:hAnsiTheme="minorEastAsia" w:eastAsiaTheme="minorEastAsia" w:cstheme="minorEastAsia"/>
          <w:color w:val="auto"/>
          <w:sz w:val="24"/>
          <w:szCs w:val="24"/>
          <w:lang w:eastAsia="zh-CN"/>
        </w:rPr>
        <w:t>物（农药瓶、农药袋）</w:t>
      </w:r>
      <w:r>
        <w:rPr>
          <w:rFonts w:hint="eastAsia" w:asciiTheme="minorEastAsia" w:hAnsiTheme="minorEastAsia" w:eastAsiaTheme="minorEastAsia" w:cstheme="minorEastAsia"/>
          <w:color w:val="auto"/>
          <w:sz w:val="24"/>
          <w:szCs w:val="24"/>
          <w:lang w:val="en-US" w:eastAsia="zh-CN"/>
        </w:rPr>
        <w:t>244吨以上、</w:t>
      </w:r>
      <w:r>
        <w:rPr>
          <w:rFonts w:hint="eastAsia" w:asciiTheme="minorEastAsia" w:hAnsiTheme="minorEastAsia" w:eastAsiaTheme="minorEastAsia" w:cstheme="minorEastAsia"/>
          <w:color w:val="auto"/>
          <w:sz w:val="24"/>
          <w:szCs w:val="24"/>
          <w:lang w:eastAsia="zh-CN"/>
        </w:rPr>
        <w:t>废旧</w:t>
      </w:r>
      <w:r>
        <w:rPr>
          <w:rFonts w:hint="eastAsia" w:asciiTheme="minorEastAsia" w:hAnsiTheme="minorEastAsia" w:eastAsiaTheme="minorEastAsia" w:cstheme="minorEastAsia"/>
          <w:color w:val="auto"/>
          <w:sz w:val="24"/>
          <w:szCs w:val="24"/>
        </w:rPr>
        <w:t>农地膜回收量</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吨以上</w:t>
      </w:r>
      <w:r>
        <w:rPr>
          <w:rFonts w:hint="eastAsia" w:asciiTheme="minorEastAsia" w:hAnsiTheme="minorEastAsia" w:eastAsiaTheme="minorEastAsia" w:cstheme="minorEastAsia"/>
          <w:color w:val="auto"/>
          <w:sz w:val="24"/>
          <w:szCs w:val="24"/>
          <w:lang w:eastAsia="zh-CN"/>
        </w:rPr>
        <w:t>，服务期限内</w:t>
      </w:r>
      <w:r>
        <w:rPr>
          <w:rFonts w:hint="eastAsia" w:asciiTheme="minorEastAsia" w:hAnsiTheme="minorEastAsia" w:eastAsiaTheme="minorEastAsia" w:cstheme="minorEastAsia"/>
          <w:color w:val="auto"/>
          <w:sz w:val="24"/>
          <w:szCs w:val="24"/>
          <w:lang w:val="en-US" w:eastAsia="zh-CN"/>
        </w:rPr>
        <w:t>回收本金+处置服务费，首年结算不超过220万。</w:t>
      </w:r>
      <w:r>
        <w:rPr>
          <w:rFonts w:hint="eastAsia" w:asciiTheme="minorEastAsia" w:hAnsiTheme="minorEastAsia" w:eastAsiaTheme="minorEastAsia" w:cstheme="minorEastAsia"/>
          <w:color w:val="auto"/>
          <w:sz w:val="24"/>
          <w:szCs w:val="24"/>
        </w:rPr>
        <w:t>采购人有权在任何环节对成交供应商进行监管，有权在实施无害化处置环节对农药包装废弃物、废旧农膜的重量进行核查，发现弄虚作假行为的，成交供应商须按照本项目合同专用条款约定承担违约责任，情节严重的，采购人有权书面通知其解除合同，并上报监督管理部门，由此造成的一切责任由成交供应商承担。</w:t>
      </w:r>
    </w:p>
    <w:p w14:paraId="4C2DAC73">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（三）服务质量标准</w:t>
      </w:r>
    </w:p>
    <w:p w14:paraId="616F328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按采购人要求合法合规按</w:t>
      </w:r>
      <w:r>
        <w:rPr>
          <w:rFonts w:hint="eastAsia" w:asciiTheme="minorEastAsia" w:hAnsiTheme="minorEastAsia" w:eastAsiaTheme="minorEastAsia" w:cstheme="minorEastAsia"/>
          <w:color w:val="000000"/>
          <w:sz w:val="24"/>
          <w:szCs w:val="24"/>
          <w:lang w:val="en-US" w:eastAsia="zh-CN"/>
        </w:rPr>
        <w:t>时按</w:t>
      </w:r>
      <w:r>
        <w:rPr>
          <w:rFonts w:hint="eastAsia" w:asciiTheme="minorEastAsia" w:hAnsiTheme="minorEastAsia" w:eastAsiaTheme="minorEastAsia" w:cstheme="minorEastAsia"/>
          <w:color w:val="000000"/>
          <w:sz w:val="24"/>
          <w:szCs w:val="24"/>
        </w:rPr>
        <w:t>质按量完成工作</w:t>
      </w:r>
      <w:r>
        <w:rPr>
          <w:rFonts w:hint="eastAsia" w:asciiTheme="minorEastAsia" w:hAnsiTheme="minorEastAsia" w:eastAsiaTheme="minorEastAsia" w:cstheme="minorEastAsia"/>
          <w:color w:val="000000"/>
          <w:sz w:val="24"/>
          <w:szCs w:val="24"/>
          <w:lang w:eastAsia="zh-CN"/>
        </w:rPr>
        <w:t>。</w:t>
      </w:r>
    </w:p>
    <w:p w14:paraId="2BB7A83E">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（四）人员配备</w:t>
      </w:r>
    </w:p>
    <w:p w14:paraId="20C2AB5F">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1、成交供应商须为本项目配备项目负责人1名负责统筹安排、调度指挥人员作业，</w:t>
      </w:r>
      <w:r>
        <w:rPr>
          <w:rFonts w:hint="eastAsia" w:asciiTheme="minorEastAsia" w:hAnsiTheme="minorEastAsia" w:eastAsiaTheme="minorEastAsia" w:cstheme="minorEastAsia"/>
          <w:b w:val="0"/>
          <w:bCs w:val="0"/>
          <w:color w:val="000000"/>
          <w:sz w:val="24"/>
          <w:szCs w:val="24"/>
          <w:lang w:val="en-US" w:eastAsia="zh-CN"/>
        </w:rPr>
        <w:t>2</w:t>
      </w:r>
      <w:r>
        <w:rPr>
          <w:rFonts w:hint="eastAsia" w:asciiTheme="minorEastAsia" w:hAnsiTheme="minorEastAsia" w:eastAsiaTheme="minorEastAsia" w:cstheme="minorEastAsia"/>
          <w:b w:val="0"/>
          <w:bCs w:val="0"/>
          <w:color w:val="000000"/>
          <w:sz w:val="24"/>
          <w:szCs w:val="24"/>
        </w:rPr>
        <w:t>名技术人员、</w:t>
      </w: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名</w:t>
      </w:r>
      <w:r>
        <w:rPr>
          <w:rFonts w:hint="eastAsia" w:asciiTheme="minorEastAsia" w:hAnsiTheme="minorEastAsia" w:eastAsiaTheme="minorEastAsia" w:cstheme="minorEastAsia"/>
          <w:b w:val="0"/>
          <w:bCs w:val="0"/>
          <w:color w:val="000000"/>
          <w:sz w:val="24"/>
          <w:szCs w:val="24"/>
          <w:lang w:val="en-US" w:eastAsia="zh-CN"/>
        </w:rPr>
        <w:t>以上</w:t>
      </w:r>
      <w:r>
        <w:rPr>
          <w:rFonts w:hint="eastAsia" w:asciiTheme="minorEastAsia" w:hAnsiTheme="minorEastAsia" w:eastAsiaTheme="minorEastAsia" w:cstheme="minorEastAsia"/>
          <w:b w:val="0"/>
          <w:bCs w:val="0"/>
          <w:color w:val="000000"/>
          <w:sz w:val="24"/>
          <w:szCs w:val="24"/>
        </w:rPr>
        <w:t>专职回收人员负责日常系统维护及现场回收工作。</w:t>
      </w:r>
    </w:p>
    <w:p w14:paraId="5B182966">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2、成交供应商在服务期内必须按国家法律法规规定与员工确立合法的劳动关系，签定规范的劳动合同，为员工办理养老、医疗等基本社会保险，建议为员工购买意外伤害保险。若员工发生事故，必须按国家有关规定处理，一切经济损失和各项费用由成交供应商自行承担。</w:t>
      </w:r>
    </w:p>
    <w:p w14:paraId="126BB5C8">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四、报价要求</w:t>
      </w:r>
    </w:p>
    <w:p w14:paraId="0AFE2EA5">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（一）回收处置费用</w:t>
      </w:r>
    </w:p>
    <w:p w14:paraId="4AC280B1">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lang w:eastAsia="zh-CN"/>
        </w:rPr>
      </w:pPr>
      <w:r>
        <w:rPr>
          <w:rFonts w:hint="eastAsia" w:asciiTheme="minorEastAsia" w:hAnsiTheme="minorEastAsia" w:eastAsiaTheme="minorEastAsia" w:cstheme="minorEastAsia"/>
          <w:b w:val="0"/>
          <w:bCs w:val="0"/>
          <w:color w:val="000000"/>
          <w:sz w:val="24"/>
          <w:szCs w:val="24"/>
        </w:rPr>
        <w:t>本项目预算为</w:t>
      </w:r>
      <w:r>
        <w:rPr>
          <w:rFonts w:hint="eastAsia" w:asciiTheme="minorEastAsia" w:hAnsiTheme="minorEastAsia" w:eastAsiaTheme="minorEastAsia" w:cstheme="minorEastAsia"/>
          <w:b w:val="0"/>
          <w:bCs w:val="0"/>
          <w:color w:val="000000"/>
          <w:sz w:val="24"/>
          <w:szCs w:val="24"/>
          <w:lang w:val="en-US" w:eastAsia="zh-CN"/>
        </w:rPr>
        <w:t>220</w:t>
      </w:r>
      <w:r>
        <w:rPr>
          <w:rFonts w:hint="eastAsia" w:asciiTheme="minorEastAsia" w:hAnsiTheme="minorEastAsia" w:eastAsiaTheme="minorEastAsia" w:cstheme="minorEastAsia"/>
          <w:b w:val="0"/>
          <w:bCs w:val="0"/>
          <w:color w:val="000000"/>
          <w:sz w:val="24"/>
          <w:szCs w:val="24"/>
        </w:rPr>
        <w:t>万元/年，包含农药包装废弃物、废旧农膜的回收本金</w:t>
      </w:r>
      <w:r>
        <w:rPr>
          <w:rFonts w:hint="eastAsia" w:asciiTheme="minorEastAsia" w:hAnsiTheme="minorEastAsia" w:eastAsiaTheme="minorEastAsia" w:cstheme="minorEastAsia"/>
          <w:b w:val="0"/>
          <w:bCs w:val="0"/>
          <w:color w:val="000000"/>
          <w:sz w:val="24"/>
          <w:szCs w:val="24"/>
          <w:lang w:val="en-US" w:eastAsia="zh-CN"/>
        </w:rPr>
        <w:t>及</w:t>
      </w:r>
      <w:r>
        <w:rPr>
          <w:rFonts w:hint="eastAsia" w:asciiTheme="minorEastAsia" w:hAnsiTheme="minorEastAsia" w:eastAsiaTheme="minorEastAsia" w:cstheme="minorEastAsia"/>
          <w:b w:val="0"/>
          <w:bCs w:val="0"/>
          <w:color w:val="000000"/>
          <w:sz w:val="24"/>
          <w:szCs w:val="24"/>
        </w:rPr>
        <w:t>回收处置主体服务费等一切费用，以上费用具体按实际发生</w:t>
      </w:r>
      <w:r>
        <w:rPr>
          <w:rFonts w:hint="eastAsia" w:asciiTheme="minorEastAsia" w:hAnsiTheme="minorEastAsia" w:eastAsiaTheme="minorEastAsia" w:cstheme="minorEastAsia"/>
          <w:b w:val="0"/>
          <w:bCs w:val="0"/>
          <w:color w:val="000000"/>
          <w:sz w:val="24"/>
          <w:szCs w:val="24"/>
          <w:lang w:val="en-US" w:eastAsia="zh-CN"/>
        </w:rPr>
        <w:t>吨</w:t>
      </w:r>
      <w:r>
        <w:rPr>
          <w:rFonts w:hint="eastAsia" w:asciiTheme="minorEastAsia" w:hAnsiTheme="minorEastAsia" w:eastAsiaTheme="minorEastAsia" w:cstheme="minorEastAsia"/>
          <w:b w:val="0"/>
          <w:bCs w:val="0"/>
          <w:color w:val="000000"/>
          <w:sz w:val="24"/>
          <w:szCs w:val="24"/>
        </w:rPr>
        <w:t>数</w:t>
      </w:r>
      <w:r>
        <w:rPr>
          <w:rFonts w:hint="eastAsia" w:asciiTheme="minorEastAsia" w:hAnsiTheme="minorEastAsia" w:eastAsiaTheme="minorEastAsia" w:cstheme="minorEastAsia"/>
          <w:b w:val="0"/>
          <w:bCs w:val="0"/>
          <w:color w:val="000000"/>
          <w:sz w:val="24"/>
          <w:szCs w:val="24"/>
          <w:lang w:val="en-US" w:eastAsia="zh-CN"/>
        </w:rPr>
        <w:t>计算</w:t>
      </w:r>
      <w:r>
        <w:rPr>
          <w:rFonts w:hint="eastAsia" w:asciiTheme="minorEastAsia" w:hAnsiTheme="minorEastAsia" w:eastAsiaTheme="minorEastAsia" w:cstheme="minorEastAsia"/>
          <w:b w:val="0"/>
          <w:bCs w:val="0"/>
          <w:color w:val="000000"/>
          <w:sz w:val="24"/>
          <w:szCs w:val="24"/>
        </w:rPr>
        <w:t>为准，但年度最终结算费用原则上不得超过本项目年度预算,每项费用具体情况如下</w:t>
      </w:r>
      <w:r>
        <w:rPr>
          <w:rFonts w:hint="eastAsia" w:asciiTheme="minorEastAsia" w:hAnsiTheme="minorEastAsia" w:eastAsiaTheme="minorEastAsia" w:cstheme="minorEastAsia"/>
          <w:b w:val="0"/>
          <w:bCs w:val="0"/>
          <w:color w:val="000000"/>
          <w:sz w:val="24"/>
          <w:szCs w:val="24"/>
          <w:lang w:eastAsia="zh-CN"/>
        </w:rPr>
        <w:t>：</w:t>
      </w:r>
    </w:p>
    <w:p w14:paraId="51E02855">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1、回收本金</w:t>
      </w:r>
    </w:p>
    <w:tbl>
      <w:tblPr>
        <w:tblStyle w:val="6"/>
        <w:tblW w:w="8416" w:type="dxa"/>
        <w:jc w:val="center"/>
        <w:tblLayout w:type="fixed"/>
        <w:tblCellMar>
          <w:top w:w="0" w:type="dxa"/>
          <w:left w:w="108" w:type="dxa"/>
          <w:bottom w:w="0" w:type="dxa"/>
          <w:right w:w="108" w:type="dxa"/>
        </w:tblCellMar>
      </w:tblPr>
      <w:tblGrid>
        <w:gridCol w:w="700"/>
        <w:gridCol w:w="1938"/>
        <w:gridCol w:w="1286"/>
        <w:gridCol w:w="4492"/>
      </w:tblGrid>
      <w:tr w14:paraId="10DB13EE">
        <w:tblPrEx>
          <w:tblCellMar>
            <w:top w:w="0" w:type="dxa"/>
            <w:left w:w="108" w:type="dxa"/>
            <w:bottom w:w="0" w:type="dxa"/>
            <w:right w:w="108" w:type="dxa"/>
          </w:tblCellMar>
        </w:tblPrEx>
        <w:trPr>
          <w:trHeight w:val="23" w:hRule="atLeast"/>
          <w:jc w:val="center"/>
        </w:trPr>
        <w:tc>
          <w:tcPr>
            <w:tcW w:w="700"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42BCE45B">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序号</w:t>
            </w:r>
          </w:p>
        </w:tc>
        <w:tc>
          <w:tcPr>
            <w:tcW w:w="1938"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65BDC72A">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回收产品</w:t>
            </w:r>
          </w:p>
        </w:tc>
        <w:tc>
          <w:tcPr>
            <w:tcW w:w="1286"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2654A628">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回收价格</w:t>
            </w:r>
          </w:p>
        </w:tc>
        <w:tc>
          <w:tcPr>
            <w:tcW w:w="4492"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7DCEE994">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备注</w:t>
            </w:r>
          </w:p>
        </w:tc>
      </w:tr>
      <w:tr w14:paraId="4E1323DE">
        <w:tblPrEx>
          <w:tblCellMar>
            <w:top w:w="0" w:type="dxa"/>
            <w:left w:w="108" w:type="dxa"/>
            <w:bottom w:w="0" w:type="dxa"/>
            <w:right w:w="108" w:type="dxa"/>
          </w:tblCellMar>
        </w:tblPrEx>
        <w:trPr>
          <w:trHeight w:val="23" w:hRule="atLeast"/>
          <w:jc w:val="center"/>
        </w:trPr>
        <w:tc>
          <w:tcPr>
            <w:tcW w:w="700"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12B26A3D">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w:t>
            </w:r>
          </w:p>
        </w:tc>
        <w:tc>
          <w:tcPr>
            <w:tcW w:w="1938"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11FFAC7A">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废弃农药包装瓶</w:t>
            </w:r>
          </w:p>
        </w:tc>
        <w:tc>
          <w:tcPr>
            <w:tcW w:w="1286"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37F586E6">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元/公斤</w:t>
            </w:r>
          </w:p>
        </w:tc>
        <w:tc>
          <w:tcPr>
            <w:tcW w:w="4492"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7E1C6A00">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瓶内无异物，须为废弃农药包装瓶，不得掺杂其他包装瓶。</w:t>
            </w:r>
          </w:p>
        </w:tc>
      </w:tr>
      <w:tr w14:paraId="32EED824">
        <w:tblPrEx>
          <w:tblCellMar>
            <w:top w:w="0" w:type="dxa"/>
            <w:left w:w="108" w:type="dxa"/>
            <w:bottom w:w="0" w:type="dxa"/>
            <w:right w:w="108" w:type="dxa"/>
          </w:tblCellMar>
        </w:tblPrEx>
        <w:trPr>
          <w:trHeight w:val="23" w:hRule="atLeast"/>
          <w:jc w:val="center"/>
        </w:trPr>
        <w:tc>
          <w:tcPr>
            <w:tcW w:w="700"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079DFECB">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w:t>
            </w:r>
          </w:p>
        </w:tc>
        <w:tc>
          <w:tcPr>
            <w:tcW w:w="1938"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66A009F6">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废弃农药包装袋</w:t>
            </w:r>
          </w:p>
        </w:tc>
        <w:tc>
          <w:tcPr>
            <w:tcW w:w="1286"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7FFDABEA">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3元/公斤</w:t>
            </w:r>
          </w:p>
        </w:tc>
        <w:tc>
          <w:tcPr>
            <w:tcW w:w="4492"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68535A7D">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农药包装袋外形须基本完整，袋内无异物，须为废弃农药包装袋，不得掺杂其他包装袋。</w:t>
            </w:r>
          </w:p>
        </w:tc>
      </w:tr>
      <w:tr w14:paraId="6816F131">
        <w:tblPrEx>
          <w:tblCellMar>
            <w:top w:w="0" w:type="dxa"/>
            <w:left w:w="108" w:type="dxa"/>
            <w:bottom w:w="0" w:type="dxa"/>
            <w:right w:w="108" w:type="dxa"/>
          </w:tblCellMar>
        </w:tblPrEx>
        <w:trPr>
          <w:trHeight w:val="23" w:hRule="atLeast"/>
          <w:jc w:val="center"/>
        </w:trPr>
        <w:tc>
          <w:tcPr>
            <w:tcW w:w="700"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73D4819B">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w:t>
            </w:r>
          </w:p>
        </w:tc>
        <w:tc>
          <w:tcPr>
            <w:tcW w:w="1938"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5BEE58F2">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废旧农膜</w:t>
            </w:r>
          </w:p>
        </w:tc>
        <w:tc>
          <w:tcPr>
            <w:tcW w:w="1286"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630F6409">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1元/公斤</w:t>
            </w:r>
          </w:p>
        </w:tc>
        <w:tc>
          <w:tcPr>
            <w:tcW w:w="4492" w:type="dxa"/>
            <w:tcBorders>
              <w:top w:val="single" w:color="000000" w:sz="2" w:space="0"/>
              <w:left w:val="single" w:color="000000" w:sz="2" w:space="0"/>
              <w:bottom w:val="single" w:color="000000" w:sz="2" w:space="0"/>
              <w:right w:val="single" w:color="000000" w:sz="2" w:space="0"/>
            </w:tcBorders>
            <w:noWrap w:val="0"/>
            <w:tcMar>
              <w:left w:w="0" w:type="dxa"/>
              <w:right w:w="0" w:type="dxa"/>
            </w:tcMar>
            <w:vAlign w:val="center"/>
          </w:tcPr>
          <w:p w14:paraId="2377408D">
            <w:pPr>
              <w:keepNext w:val="0"/>
              <w:keepLines w:val="0"/>
              <w:pageBreakBefore w:val="0"/>
              <w:widowControl w:val="0"/>
              <w:kinsoku/>
              <w:wordWrap/>
              <w:overflowPunct/>
              <w:topLinePunct w:val="0"/>
              <w:autoSpaceDE/>
              <w:autoSpaceDN/>
              <w:bidi w:val="0"/>
              <w:adjustRightInd/>
              <w:snapToGrid/>
              <w:spacing w:after="0" w:line="360" w:lineRule="auto"/>
              <w:ind w:left="0" w:right="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对严重沾水、沾土、混入杂草、杂物无法清理的废旧农膜，在回收时根据实际情况打折计算。</w:t>
            </w:r>
          </w:p>
        </w:tc>
      </w:tr>
    </w:tbl>
    <w:p w14:paraId="155E5129">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注：成交供应商统一按此标准进行回收</w:t>
      </w:r>
      <w:r>
        <w:rPr>
          <w:rFonts w:hint="eastAsia" w:asciiTheme="minorEastAsia" w:hAnsiTheme="minorEastAsia" w:eastAsiaTheme="minorEastAsia" w:cstheme="minorEastAsia"/>
          <w:b/>
          <w:bCs/>
          <w:color w:val="000000"/>
          <w:sz w:val="24"/>
          <w:szCs w:val="24"/>
          <w:lang w:val="en-US" w:eastAsia="zh-CN"/>
        </w:rPr>
        <w:t>兑付</w:t>
      </w:r>
      <w:r>
        <w:rPr>
          <w:rFonts w:hint="eastAsia" w:asciiTheme="minorEastAsia" w:hAnsiTheme="minorEastAsia" w:eastAsiaTheme="minorEastAsia" w:cstheme="minorEastAsia"/>
          <w:b/>
          <w:bCs/>
          <w:color w:val="000000"/>
          <w:sz w:val="24"/>
          <w:szCs w:val="24"/>
        </w:rPr>
        <w:t>，回收价格必须严格按上述标准执行</w:t>
      </w:r>
    </w:p>
    <w:p w14:paraId="7D660CCE">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2、回收处置主体服务费</w:t>
      </w:r>
    </w:p>
    <w:p w14:paraId="502B7D0B">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成交供应商的回收处置主体服务费，包括除回收本金以外的人员工资、社保费用、意外伤害保险费用、归集保管费用、无害化处置费用、临时储存费、统一物资支出费用、宣传费、管理费用、一切税费(包括增值税发票)等完成磋商文件要求的服务内容所包含的一切应有费用。</w:t>
      </w:r>
    </w:p>
    <w:p w14:paraId="7D629BD1">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（1）归集保管费用</w:t>
      </w:r>
    </w:p>
    <w:p w14:paraId="15316591">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智能化两回收两利用平台搭建、移动云车等各类回收所需的平台及设备购买安装费用，用于废弃物分拣包装、运输、保管、工时等费用支出，以上费用成交供应商应综合考虑包含在回收处置主体服务费报价中，成交后采购人不再另行支付。</w:t>
      </w:r>
    </w:p>
    <w:p w14:paraId="2C0ED036">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（2）临时储存费</w:t>
      </w:r>
    </w:p>
    <w:p w14:paraId="38CD8FE3">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采购人可根据工作需要，要求成交供应商建立专用仓库，回收归集的农药包装废弃物、废旧农膜，需临时储存在专用仓库内，该专用仓库可为成交供应商自有或租赁，专用仓库</w:t>
      </w:r>
      <w:r>
        <w:rPr>
          <w:rFonts w:hint="eastAsia" w:asciiTheme="minorEastAsia" w:hAnsiTheme="minorEastAsia" w:eastAsiaTheme="minorEastAsia" w:cstheme="minorEastAsia"/>
          <w:b w:val="0"/>
          <w:bCs w:val="0"/>
          <w:color w:val="000000"/>
          <w:sz w:val="24"/>
          <w:szCs w:val="24"/>
          <w:lang w:val="en-US" w:eastAsia="zh-CN"/>
        </w:rPr>
        <w:t>应满足转运需求</w:t>
      </w:r>
      <w:r>
        <w:rPr>
          <w:rFonts w:hint="eastAsia" w:asciiTheme="minorEastAsia" w:hAnsiTheme="minorEastAsia" w:eastAsiaTheme="minorEastAsia" w:cstheme="minorEastAsia"/>
          <w:b w:val="0"/>
          <w:bCs w:val="0"/>
          <w:color w:val="000000"/>
          <w:sz w:val="24"/>
          <w:szCs w:val="24"/>
        </w:rPr>
        <w:t>且防火、密封性能好，该费用成交供应商应综合考虑包含在回收处置主体服务费报价中，成交后采购人不再另行支付。成交供应商在响应文件中无须提供上述专用仓库的相关证明材料，签订合同后进场服务前，成交供应商应将租赁协议或成交供应商自有的产权证明递交采购人核查，逾期视为不能履约，采购人有权书面通知成交供应商解除合同，并上报监督管理部门，由此造成的一切责任由成交供应商承担。</w:t>
      </w:r>
    </w:p>
    <w:p w14:paraId="616396F5">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（3）统一物资支出费用</w:t>
      </w:r>
    </w:p>
    <w:p w14:paraId="1F0CFA42">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对农药包装废弃物、废旧农膜因使用台账簿、交接单据、专用包装袋、收集箱（桶）、规范标识牌等统一配置使用物资所产生的费用，由供应商综合考虑包含在回收处置主体服务费报价中，成交后采购人不再另行支付。</w:t>
      </w:r>
    </w:p>
    <w:p w14:paraId="47EAF03D">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（4）无害化处置费用</w:t>
      </w:r>
    </w:p>
    <w:p w14:paraId="3AA44617">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农药包装废弃物、废旧农膜的无害化处置费用（含运输费），经采购人同意，按相关规定进行处置，无害化处置所产生的费用，由供应商应综合考虑包含在回收处置主体服务费报价中，成交后采购人不再另行支付。</w:t>
      </w:r>
    </w:p>
    <w:p w14:paraId="1C07EFA9">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（二）报价</w:t>
      </w:r>
    </w:p>
    <w:p w14:paraId="4DAC9F9A">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本项目仅对回收处置主体服务费单价进行报价，报价不得高于3.5元/公斤。</w:t>
      </w:r>
    </w:p>
    <w:p w14:paraId="4854A71E">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（三）结算</w:t>
      </w:r>
    </w:p>
    <w:p w14:paraId="36957830">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1.</w:t>
      </w:r>
      <w:r>
        <w:rPr>
          <w:rFonts w:hint="eastAsia" w:asciiTheme="minorEastAsia" w:hAnsiTheme="minorEastAsia" w:eastAsiaTheme="minorEastAsia" w:cstheme="minorEastAsia"/>
          <w:b w:val="0"/>
          <w:bCs w:val="0"/>
          <w:color w:val="000000"/>
          <w:sz w:val="24"/>
          <w:szCs w:val="24"/>
        </w:rPr>
        <w:t>回收本金：按照统一回收价格，经采购人核实的回收重量据实结算。</w:t>
      </w:r>
    </w:p>
    <w:p w14:paraId="758D578E">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2</w:t>
      </w:r>
      <w:r>
        <w:rPr>
          <w:rFonts w:hint="eastAsia" w:asciiTheme="minorEastAsia" w:hAnsiTheme="minorEastAsia" w:eastAsiaTheme="minorEastAsia" w:cstheme="minorEastAsia"/>
          <w:b w:val="0"/>
          <w:bCs w:val="0"/>
          <w:color w:val="000000"/>
          <w:sz w:val="24"/>
          <w:szCs w:val="24"/>
          <w:lang w:val="en-US" w:eastAsia="zh-CN"/>
        </w:rPr>
        <w:t>.</w:t>
      </w:r>
      <w:r>
        <w:rPr>
          <w:rFonts w:hint="eastAsia" w:asciiTheme="minorEastAsia" w:hAnsiTheme="minorEastAsia" w:eastAsiaTheme="minorEastAsia" w:cstheme="minorEastAsia"/>
          <w:b w:val="0"/>
          <w:bCs w:val="0"/>
          <w:color w:val="000000"/>
          <w:sz w:val="24"/>
          <w:szCs w:val="24"/>
        </w:rPr>
        <w:t>回收处置主体服务费：据实结算，例如：年度回收废弃农药瓶</w:t>
      </w:r>
      <w:r>
        <w:rPr>
          <w:rFonts w:hint="eastAsia" w:asciiTheme="minorEastAsia" w:hAnsiTheme="minorEastAsia" w:eastAsiaTheme="minorEastAsia" w:cstheme="minorEastAsia"/>
          <w:b w:val="0"/>
          <w:bCs w:val="0"/>
          <w:color w:val="000000"/>
          <w:sz w:val="24"/>
          <w:szCs w:val="24"/>
          <w:lang w:val="en-US" w:eastAsia="zh-CN"/>
        </w:rPr>
        <w:t>100</w:t>
      </w:r>
      <w:r>
        <w:rPr>
          <w:rFonts w:hint="eastAsia" w:asciiTheme="minorEastAsia" w:hAnsiTheme="minorEastAsia" w:eastAsiaTheme="minorEastAsia" w:cstheme="minorEastAsia"/>
          <w:b w:val="0"/>
          <w:bCs w:val="0"/>
          <w:color w:val="000000"/>
          <w:sz w:val="24"/>
          <w:szCs w:val="24"/>
        </w:rPr>
        <w:t>吨、废弃农药袋</w:t>
      </w:r>
      <w:r>
        <w:rPr>
          <w:rFonts w:hint="eastAsia" w:asciiTheme="minorEastAsia" w:hAnsiTheme="minorEastAsia" w:eastAsiaTheme="minorEastAsia" w:cstheme="minorEastAsia"/>
          <w:b w:val="0"/>
          <w:bCs w:val="0"/>
          <w:color w:val="000000"/>
          <w:sz w:val="24"/>
          <w:szCs w:val="24"/>
          <w:lang w:val="en-US" w:eastAsia="zh-CN"/>
        </w:rPr>
        <w:t>100</w:t>
      </w:r>
      <w:r>
        <w:rPr>
          <w:rFonts w:hint="eastAsia" w:asciiTheme="minorEastAsia" w:hAnsiTheme="minorEastAsia" w:eastAsiaTheme="minorEastAsia" w:cstheme="minorEastAsia"/>
          <w:b w:val="0"/>
          <w:bCs w:val="0"/>
          <w:color w:val="000000"/>
          <w:sz w:val="24"/>
          <w:szCs w:val="24"/>
        </w:rPr>
        <w:t>吨，废旧农膜10吨，本次项目成交回收处置主体服务费为：</w:t>
      </w: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元/公斤，即本次回收处置主体服务费最终结算金额为（100000+100000+10000）</w:t>
      </w: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color w:val="000000"/>
          <w:sz w:val="24"/>
          <w:szCs w:val="24"/>
          <w:lang w:val="en-US" w:eastAsia="zh-CN"/>
        </w:rPr>
        <w:t>630000元</w:t>
      </w:r>
      <w:r>
        <w:rPr>
          <w:rFonts w:hint="eastAsia" w:asciiTheme="minorEastAsia" w:hAnsiTheme="minorEastAsia" w:eastAsiaTheme="minorEastAsia" w:cstheme="minorEastAsia"/>
          <w:b w:val="0"/>
          <w:bCs w:val="0"/>
          <w:color w:val="000000"/>
          <w:sz w:val="24"/>
          <w:szCs w:val="24"/>
        </w:rPr>
        <w:t>。</w:t>
      </w:r>
    </w:p>
    <w:p w14:paraId="52CB206B">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3、最终结算价=实际回收本金+实际回收处置主体服务费用，但最终结算价原则上不得超过本项目预算价。报价为完成本次采购项目的全部费用，回收处置主体服务费包括但不仅限于内部人员费用（工资、福利、差旅、社会保险等），服务所用设备（移动云车</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相关设备、软件、材料消耗费用、机械配合费用、管理费用、利润、政策性文件规定及合同包含的所有风险、责任等各项回收处置过程中各项应有费用的支出。</w:t>
      </w:r>
    </w:p>
    <w:p w14:paraId="587A7243">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五、验收要求</w:t>
      </w:r>
    </w:p>
    <w:p w14:paraId="76468340">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本项目验收要求详见附件“</w:t>
      </w:r>
      <w:r>
        <w:rPr>
          <w:rFonts w:hint="eastAsia" w:asciiTheme="minorEastAsia" w:hAnsiTheme="minorEastAsia" w:eastAsiaTheme="minorEastAsia" w:cstheme="minorEastAsia"/>
          <w:b w:val="0"/>
          <w:bCs w:val="0"/>
          <w:color w:val="000000"/>
          <w:sz w:val="24"/>
          <w:szCs w:val="24"/>
          <w:lang w:eastAsia="zh-CN"/>
        </w:rPr>
        <w:t>肥西县</w:t>
      </w:r>
      <w:r>
        <w:rPr>
          <w:rFonts w:hint="eastAsia" w:asciiTheme="minorEastAsia" w:hAnsiTheme="minorEastAsia" w:eastAsiaTheme="minorEastAsia" w:cstheme="minorEastAsia"/>
          <w:b w:val="0"/>
          <w:bCs w:val="0"/>
          <w:color w:val="000000"/>
          <w:sz w:val="24"/>
          <w:szCs w:val="24"/>
        </w:rPr>
        <w:t>农药包装废弃物、废旧农膜回收处置主体考评制度”。</w:t>
      </w:r>
    </w:p>
    <w:p w14:paraId="7C1F5DCF">
      <w:pPr>
        <w:keepNext w:val="0"/>
        <w:keepLines w:val="0"/>
        <w:pageBreakBefore w:val="0"/>
        <w:widowControl w:val="0"/>
        <w:tabs>
          <w:tab w:val="left" w:pos="812"/>
          <w:tab w:val="left" w:pos="854"/>
        </w:tabs>
        <w:kinsoku/>
        <w:wordWrap/>
        <w:overflowPunct/>
        <w:topLinePunct w:val="0"/>
        <w:autoSpaceDE/>
        <w:autoSpaceDN/>
        <w:bidi w:val="0"/>
        <w:adjustRightInd/>
        <w:snapToGrid/>
        <w:spacing w:before="0" w:after="0" w:line="360" w:lineRule="auto"/>
        <w:ind w:left="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附件：</w:t>
      </w:r>
    </w:p>
    <w:p w14:paraId="28971D8C">
      <w:pPr>
        <w:keepNext w:val="0"/>
        <w:keepLines w:val="0"/>
        <w:pageBreakBefore w:val="0"/>
        <w:widowControl w:val="0"/>
        <w:tabs>
          <w:tab w:val="left" w:pos="854"/>
          <w:tab w:val="left" w:pos="1500"/>
        </w:tabs>
        <w:kinsoku/>
        <w:wordWrap/>
        <w:overflowPunct/>
        <w:topLinePunct w:val="0"/>
        <w:autoSpaceDE/>
        <w:autoSpaceDN/>
        <w:bidi w:val="0"/>
        <w:adjustRightInd/>
        <w:snapToGrid/>
        <w:spacing w:before="0" w:after="0" w:line="360" w:lineRule="auto"/>
        <w:ind w:left="0" w:right="0" w:firstLine="0"/>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eastAsia="zh-CN"/>
        </w:rPr>
        <w:t>肥西县</w:t>
      </w:r>
      <w:r>
        <w:rPr>
          <w:rFonts w:hint="eastAsia" w:asciiTheme="minorEastAsia" w:hAnsiTheme="minorEastAsia" w:eastAsiaTheme="minorEastAsia" w:cstheme="minorEastAsia"/>
          <w:b/>
          <w:color w:val="auto"/>
          <w:sz w:val="24"/>
          <w:szCs w:val="24"/>
        </w:rPr>
        <w:t>农药包装废弃物、废旧农膜回收处置主体考评制度</w:t>
      </w:r>
    </w:p>
    <w:p w14:paraId="55C50110">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为规范</w:t>
      </w:r>
      <w:r>
        <w:rPr>
          <w:rFonts w:hint="eastAsia" w:asciiTheme="minorEastAsia" w:hAnsiTheme="minorEastAsia" w:eastAsiaTheme="minorEastAsia" w:cstheme="minorEastAsia"/>
          <w:b w:val="0"/>
          <w:bCs w:val="0"/>
          <w:color w:val="000000"/>
          <w:sz w:val="24"/>
          <w:szCs w:val="24"/>
          <w:lang w:eastAsia="zh-CN"/>
        </w:rPr>
        <w:t>肥西县</w:t>
      </w:r>
      <w:r>
        <w:rPr>
          <w:rFonts w:hint="eastAsia" w:asciiTheme="minorEastAsia" w:hAnsiTheme="minorEastAsia" w:eastAsiaTheme="minorEastAsia" w:cstheme="minorEastAsia"/>
          <w:b w:val="0"/>
          <w:bCs w:val="0"/>
          <w:color w:val="000000"/>
          <w:sz w:val="24"/>
          <w:szCs w:val="24"/>
        </w:rPr>
        <w:t>农药包装废弃物、废旧农膜回收处置主体（以下简称</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回收处置主体）回收处置工作，结合各</w:t>
      </w:r>
      <w:r>
        <w:rPr>
          <w:rFonts w:hint="eastAsia" w:asciiTheme="minorEastAsia" w:hAnsiTheme="minorEastAsia" w:eastAsiaTheme="minorEastAsia" w:cstheme="minorEastAsia"/>
          <w:b w:val="0"/>
          <w:bCs w:val="0"/>
          <w:color w:val="000000"/>
          <w:sz w:val="24"/>
          <w:szCs w:val="24"/>
          <w:lang w:val="en-US" w:eastAsia="zh-CN"/>
        </w:rPr>
        <w:t>乡</w:t>
      </w:r>
      <w:r>
        <w:rPr>
          <w:rFonts w:hint="eastAsia" w:asciiTheme="minorEastAsia" w:hAnsiTheme="minorEastAsia" w:eastAsiaTheme="minorEastAsia" w:cstheme="minorEastAsia"/>
          <w:b w:val="0"/>
          <w:bCs w:val="0"/>
          <w:color w:val="000000"/>
          <w:sz w:val="24"/>
          <w:szCs w:val="24"/>
        </w:rPr>
        <w:t>镇（</w:t>
      </w:r>
      <w:r>
        <w:rPr>
          <w:rFonts w:hint="eastAsia" w:asciiTheme="minorEastAsia" w:hAnsiTheme="minorEastAsia" w:eastAsiaTheme="minorEastAsia" w:cstheme="minorEastAsia"/>
          <w:b w:val="0"/>
          <w:bCs w:val="0"/>
          <w:color w:val="000000"/>
          <w:sz w:val="24"/>
          <w:szCs w:val="24"/>
          <w:lang w:val="en-US" w:eastAsia="zh-CN"/>
        </w:rPr>
        <w:t>园区</w:t>
      </w:r>
      <w:r>
        <w:rPr>
          <w:rFonts w:hint="eastAsia" w:asciiTheme="minorEastAsia" w:hAnsiTheme="minorEastAsia" w:eastAsiaTheme="minorEastAsia" w:cstheme="minorEastAsia"/>
          <w:b w:val="0"/>
          <w:bCs w:val="0"/>
          <w:color w:val="000000"/>
          <w:sz w:val="24"/>
          <w:szCs w:val="24"/>
        </w:rPr>
        <w:t>）实际，制定本制度。</w:t>
      </w:r>
    </w:p>
    <w:p w14:paraId="59F0EC71">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1、</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级回收处置主体应在全</w:t>
      </w:r>
      <w:r>
        <w:rPr>
          <w:rFonts w:hint="eastAsia" w:asciiTheme="minorEastAsia" w:hAnsiTheme="minorEastAsia" w:eastAsiaTheme="minorEastAsia" w:cstheme="minorEastAsia"/>
          <w:b w:val="0"/>
          <w:bCs w:val="0"/>
          <w:color w:val="000000"/>
          <w:sz w:val="24"/>
          <w:szCs w:val="24"/>
          <w:lang w:val="en-US" w:eastAsia="zh-CN"/>
        </w:rPr>
        <w:t>县</w:t>
      </w:r>
      <w:r>
        <w:rPr>
          <w:rFonts w:hint="eastAsia" w:asciiTheme="minorEastAsia" w:hAnsiTheme="minorEastAsia" w:eastAsiaTheme="minorEastAsia" w:cstheme="minorEastAsia"/>
          <w:b w:val="0"/>
          <w:bCs w:val="0"/>
          <w:color w:val="000000"/>
          <w:sz w:val="24"/>
          <w:szCs w:val="24"/>
        </w:rPr>
        <w:t>范围建立回收体系，负责落实和监督农药废弃包装物的回收管理工作。</w:t>
      </w:r>
    </w:p>
    <w:p w14:paraId="234E191E">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2、</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级回收处置主体要对所有工作人员要进行岗前培训，尤其是直接接触废弃包装物人员要学习有毒有害物质接触性防范知识，并做好学习培训记录。</w:t>
      </w:r>
    </w:p>
    <w:p w14:paraId="124F3A06">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3、</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回收处置主体应督促回收、装运人员务必做好防护措施，并做好回收、转运台账及相关图片资料。</w:t>
      </w:r>
    </w:p>
    <w:p w14:paraId="7238CC89">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4、</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回收处置主体应做好回收的废弃农药包装物保管及出入库台账资料整理工作，所有回收的废弃农药包装物不得擅自改用他途。</w:t>
      </w:r>
    </w:p>
    <w:p w14:paraId="7EC077D5">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5、</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回收处置主体收集的农药包装废弃物要按环保部门要求进行无害化处理，不得随意填埋、焚烧、堆积。</w:t>
      </w:r>
    </w:p>
    <w:p w14:paraId="1681C120">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6、</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回收处置主体如发现各</w:t>
      </w:r>
      <w:r>
        <w:rPr>
          <w:rFonts w:hint="eastAsia" w:asciiTheme="minorEastAsia" w:hAnsiTheme="minorEastAsia" w:eastAsiaTheme="minorEastAsia" w:cstheme="minorEastAsia"/>
          <w:b w:val="0"/>
          <w:bCs w:val="0"/>
          <w:color w:val="000000"/>
          <w:sz w:val="24"/>
          <w:szCs w:val="24"/>
          <w:lang w:val="en-US" w:eastAsia="zh-CN"/>
        </w:rPr>
        <w:t>乡</w:t>
      </w:r>
      <w:r>
        <w:rPr>
          <w:rFonts w:hint="eastAsia" w:asciiTheme="minorEastAsia" w:hAnsiTheme="minorEastAsia" w:eastAsiaTheme="minorEastAsia" w:cstheme="minorEastAsia"/>
          <w:b w:val="0"/>
          <w:bCs w:val="0"/>
          <w:color w:val="000000"/>
          <w:sz w:val="24"/>
          <w:szCs w:val="24"/>
        </w:rPr>
        <w:t>镇（</w:t>
      </w:r>
      <w:r>
        <w:rPr>
          <w:rFonts w:hint="eastAsia" w:asciiTheme="minorEastAsia" w:hAnsiTheme="minorEastAsia" w:eastAsiaTheme="minorEastAsia" w:cstheme="minorEastAsia"/>
          <w:b w:val="0"/>
          <w:bCs w:val="0"/>
          <w:color w:val="000000"/>
          <w:sz w:val="24"/>
          <w:szCs w:val="24"/>
          <w:lang w:val="en-US" w:eastAsia="zh-CN"/>
        </w:rPr>
        <w:t>园区</w:t>
      </w:r>
      <w:r>
        <w:rPr>
          <w:rFonts w:hint="eastAsia" w:asciiTheme="minorEastAsia" w:hAnsiTheme="minorEastAsia" w:eastAsiaTheme="minorEastAsia" w:cstheme="minorEastAsia"/>
          <w:b w:val="0"/>
          <w:bCs w:val="0"/>
          <w:color w:val="000000"/>
          <w:sz w:val="24"/>
          <w:szCs w:val="24"/>
        </w:rPr>
        <w:t>）利用工作便利收集非农药包装废弃物以牟私利，要及时上报，依法依规处理。</w:t>
      </w:r>
    </w:p>
    <w:p w14:paraId="5836852A">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7、</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回收处置主体工作人员职务变动时必须做好交接手续，尤其是对前期回收的农药包装废弃物的所有台账及图片资料经交接双方确认后交由相关负责人保管，并签字认可。</w:t>
      </w:r>
    </w:p>
    <w:p w14:paraId="78287E14">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8、本制度自下发之日起实行，</w:t>
      </w:r>
      <w:r>
        <w:rPr>
          <w:rFonts w:hint="eastAsia" w:asciiTheme="minorEastAsia" w:hAnsiTheme="minorEastAsia" w:eastAsiaTheme="minorEastAsia" w:cstheme="minorEastAsia"/>
          <w:b w:val="0"/>
          <w:bCs w:val="0"/>
          <w:color w:val="000000"/>
          <w:sz w:val="24"/>
          <w:szCs w:val="24"/>
          <w:lang w:eastAsia="zh-CN"/>
        </w:rPr>
        <w:t>县</w:t>
      </w:r>
      <w:r>
        <w:rPr>
          <w:rFonts w:hint="eastAsia" w:asciiTheme="minorEastAsia" w:hAnsiTheme="minorEastAsia" w:eastAsiaTheme="minorEastAsia" w:cstheme="minorEastAsia"/>
          <w:b w:val="0"/>
          <w:bCs w:val="0"/>
          <w:color w:val="000000"/>
          <w:sz w:val="24"/>
          <w:szCs w:val="24"/>
        </w:rPr>
        <w:t>回收处置主体如违反规定要及时整改，如不能在规定期限内整改到位将取消下年度回收处置资格。</w:t>
      </w:r>
    </w:p>
    <w:p w14:paraId="20169124">
      <w:pPr>
        <w:keepNext w:val="0"/>
        <w:keepLines w:val="0"/>
        <w:pageBreakBefore w:val="0"/>
        <w:widowControl w:val="0"/>
        <w:tabs>
          <w:tab w:val="left" w:pos="854"/>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六、评分细则</w:t>
      </w:r>
    </w:p>
    <w:p w14:paraId="3A63C669">
      <w:pP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本项目综合评分满分为1</w:t>
      </w:r>
      <w:r>
        <w:rPr>
          <w:rFonts w:asciiTheme="minorEastAsia" w:hAnsiTheme="minorEastAsia" w:eastAsiaTheme="minorEastAsia"/>
          <w:sz w:val="24"/>
          <w:highlight w:val="none"/>
        </w:rPr>
        <w:t>00</w:t>
      </w:r>
      <w:r>
        <w:rPr>
          <w:rFonts w:hint="eastAsia" w:asciiTheme="minorEastAsia" w:hAnsiTheme="minorEastAsia" w:eastAsiaTheme="minorEastAsia"/>
          <w:sz w:val="24"/>
          <w:highlight w:val="none"/>
        </w:rPr>
        <w:t>分，其中：技术资信分值占总分值的权重为</w:t>
      </w:r>
      <w:r>
        <w:rPr>
          <w:rFonts w:hint="eastAsia" w:asciiTheme="minorEastAsia" w:hAnsiTheme="minorEastAsia" w:eastAsiaTheme="minorEastAsia"/>
          <w:sz w:val="24"/>
          <w:highlight w:val="none"/>
          <w:u w:val="single"/>
          <w:lang w:val="en-US" w:eastAsia="zh-CN"/>
        </w:rPr>
        <w:t>85</w:t>
      </w:r>
      <w:r>
        <w:rPr>
          <w:rFonts w:asciiTheme="minorEastAsia" w:hAnsiTheme="minorEastAsia" w:eastAsiaTheme="minorEastAsia"/>
          <w:sz w:val="24"/>
          <w:highlight w:val="none"/>
        </w:rPr>
        <w:t>%，价格分值占总分值的权重为</w:t>
      </w:r>
      <w:r>
        <w:rPr>
          <w:rFonts w:hint="eastAsia" w:asciiTheme="minorEastAsia" w:hAnsiTheme="minorEastAsia" w:eastAsiaTheme="minorEastAsia"/>
          <w:sz w:val="24"/>
          <w:highlight w:val="none"/>
          <w:lang w:val="en-US" w:eastAsia="zh-CN"/>
        </w:rPr>
        <w:t>15</w:t>
      </w:r>
      <w:r>
        <w:rPr>
          <w:rFonts w:asciiTheme="minorEastAsia" w:hAnsiTheme="minorEastAsia" w:eastAsiaTheme="minorEastAsia"/>
          <w:sz w:val="24"/>
          <w:highlight w:val="none"/>
        </w:rPr>
        <w:t>%。具体评分细则如下：</w:t>
      </w:r>
    </w:p>
    <w:tbl>
      <w:tblPr>
        <w:tblStyle w:val="6"/>
        <w:tblW w:w="51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1719"/>
        <w:gridCol w:w="4429"/>
        <w:gridCol w:w="1200"/>
      </w:tblGrid>
      <w:tr w14:paraId="774C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tcBorders>
              <w:top w:val="single" w:color="auto" w:sz="4" w:space="0"/>
              <w:left w:val="single" w:color="auto" w:sz="4" w:space="0"/>
              <w:bottom w:val="single" w:color="auto" w:sz="4" w:space="0"/>
              <w:right w:val="single" w:color="auto" w:sz="4" w:space="0"/>
            </w:tcBorders>
            <w:vAlign w:val="center"/>
          </w:tcPr>
          <w:p w14:paraId="45D6D12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类别</w:t>
            </w:r>
          </w:p>
        </w:tc>
        <w:tc>
          <w:tcPr>
            <w:tcW w:w="974" w:type="pct"/>
            <w:tcBorders>
              <w:top w:val="single" w:color="auto" w:sz="4" w:space="0"/>
              <w:left w:val="single" w:color="auto" w:sz="4" w:space="0"/>
              <w:bottom w:val="single" w:color="auto" w:sz="4" w:space="0"/>
              <w:right w:val="single" w:color="auto" w:sz="4" w:space="0"/>
            </w:tcBorders>
            <w:vAlign w:val="center"/>
          </w:tcPr>
          <w:p w14:paraId="4A3D7C00">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评分内容</w:t>
            </w:r>
          </w:p>
        </w:tc>
        <w:tc>
          <w:tcPr>
            <w:tcW w:w="2509" w:type="pct"/>
            <w:tcBorders>
              <w:top w:val="single" w:color="auto" w:sz="4" w:space="0"/>
              <w:left w:val="single" w:color="auto" w:sz="4" w:space="0"/>
              <w:bottom w:val="single" w:color="auto" w:sz="4" w:space="0"/>
              <w:right w:val="single" w:color="auto" w:sz="4" w:space="0"/>
            </w:tcBorders>
            <w:vAlign w:val="center"/>
          </w:tcPr>
          <w:p w14:paraId="4E8D77AC">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评分标准</w:t>
            </w:r>
          </w:p>
        </w:tc>
        <w:tc>
          <w:tcPr>
            <w:tcW w:w="679" w:type="pct"/>
            <w:tcBorders>
              <w:top w:val="single" w:color="auto" w:sz="4" w:space="0"/>
              <w:left w:val="single" w:color="auto" w:sz="4" w:space="0"/>
              <w:bottom w:val="single" w:color="auto" w:sz="4" w:space="0"/>
              <w:right w:val="single" w:color="auto" w:sz="4" w:space="0"/>
            </w:tcBorders>
            <w:vAlign w:val="center"/>
          </w:tcPr>
          <w:p w14:paraId="3881A1AE">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分值范围</w:t>
            </w:r>
          </w:p>
        </w:tc>
      </w:tr>
      <w:tr w14:paraId="1DD1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restart"/>
            <w:tcBorders>
              <w:top w:val="single" w:color="auto" w:sz="4" w:space="0"/>
              <w:left w:val="single" w:color="auto" w:sz="4" w:space="0"/>
              <w:right w:val="single" w:color="auto" w:sz="4" w:space="0"/>
            </w:tcBorders>
            <w:vAlign w:val="center"/>
          </w:tcPr>
          <w:p w14:paraId="3517FFD0">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技术资信分</w:t>
            </w:r>
          </w:p>
          <w:p w14:paraId="77126FC9">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85</w:t>
            </w:r>
            <w:r>
              <w:rPr>
                <w:rFonts w:hint="eastAsia" w:asciiTheme="minorEastAsia" w:hAnsiTheme="minorEastAsia" w:eastAsiaTheme="minorEastAsia" w:cstheme="minorEastAsia"/>
                <w:color w:val="auto"/>
                <w:sz w:val="24"/>
                <w:szCs w:val="24"/>
                <w:highlight w:val="none"/>
              </w:rPr>
              <w:t>分）</w:t>
            </w:r>
          </w:p>
        </w:tc>
        <w:tc>
          <w:tcPr>
            <w:tcW w:w="974" w:type="pct"/>
            <w:tcBorders>
              <w:top w:val="single" w:color="auto" w:sz="4" w:space="0"/>
              <w:left w:val="single" w:color="auto" w:sz="4" w:space="0"/>
              <w:bottom w:val="single" w:color="auto" w:sz="4" w:space="0"/>
              <w:right w:val="single" w:color="auto" w:sz="4" w:space="0"/>
            </w:tcBorders>
            <w:vAlign w:val="center"/>
          </w:tcPr>
          <w:p w14:paraId="67E04D0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rPr>
              <w:t>整体实施方案</w:t>
            </w:r>
          </w:p>
        </w:tc>
        <w:tc>
          <w:tcPr>
            <w:tcW w:w="2509" w:type="pct"/>
            <w:tcBorders>
              <w:top w:val="single" w:color="auto" w:sz="4" w:space="0"/>
              <w:left w:val="single" w:color="auto" w:sz="4" w:space="0"/>
              <w:bottom w:val="single" w:color="auto" w:sz="4" w:space="0"/>
              <w:right w:val="single" w:color="auto" w:sz="4" w:space="0"/>
            </w:tcBorders>
            <w:vAlign w:val="center"/>
          </w:tcPr>
          <w:p w14:paraId="05A93B1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提供的整体实施方案情况，包含整体作业规划、具体作业环节的步骤和程序等内容进行综合评分：</w:t>
            </w:r>
          </w:p>
          <w:p w14:paraId="52CC7AC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1.对本项目特点和难点理解准确，方案优于本项目采购需求，完整详细，可行性、实用性、针对性强，得5分；</w:t>
            </w:r>
          </w:p>
          <w:p w14:paraId="6BC08C7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2.对本项目特点和难点理解基本准确，方案适合本项目采购需求，完整详细，具有可行性、实用性、针对性，得3分；</w:t>
            </w:r>
          </w:p>
          <w:p w14:paraId="26B3471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3.对本项目特点和难点理解有待提升，可行性、实用性、针对性有待改善，得1分；</w:t>
            </w:r>
          </w:p>
          <w:p w14:paraId="05029C0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5A1C029C">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w:t>
            </w:r>
          </w:p>
        </w:tc>
      </w:tr>
      <w:tr w14:paraId="2C17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2C58DE9C">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7570075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数字化平台业务流程分析</w:t>
            </w:r>
          </w:p>
        </w:tc>
        <w:tc>
          <w:tcPr>
            <w:tcW w:w="2509" w:type="pct"/>
            <w:tcBorders>
              <w:top w:val="single" w:color="auto" w:sz="4" w:space="0"/>
              <w:left w:val="single" w:color="auto" w:sz="4" w:space="0"/>
              <w:bottom w:val="single" w:color="auto" w:sz="4" w:space="0"/>
              <w:right w:val="single" w:color="auto" w:sz="4" w:space="0"/>
            </w:tcBorders>
            <w:vAlign w:val="center"/>
          </w:tcPr>
          <w:p w14:paraId="0C08798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提供的数字化平台业务流程分析情况，梳理平台总体业务流程，围绕收集、贮存、转运、处置等内容进行综合评分：</w:t>
            </w:r>
          </w:p>
          <w:p w14:paraId="6094077F">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1.对本项目特点和难点理解准确，业务流程分析优于本项目采购需求，完整详细，可行性、实用性、针对性强，得5分；</w:t>
            </w:r>
          </w:p>
          <w:p w14:paraId="104ACA0A">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2.对本项目特点和难点理解基本准确，业务流程分析适合本项目采购需求，完整详细，具有可行性、实用性、针对性，得3分；</w:t>
            </w:r>
          </w:p>
          <w:p w14:paraId="040411F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3.对本项目特点和难点理解有待提升，可行性、实用性、针对性有待改善，得1分；</w:t>
            </w:r>
          </w:p>
          <w:p w14:paraId="6EB6145B">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0BE7F2D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w:t>
            </w:r>
          </w:p>
        </w:tc>
      </w:tr>
      <w:tr w14:paraId="5C8C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560FC6EC">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09B7256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回收网点设立方案</w:t>
            </w:r>
          </w:p>
        </w:tc>
        <w:tc>
          <w:tcPr>
            <w:tcW w:w="2509" w:type="pct"/>
            <w:tcBorders>
              <w:top w:val="single" w:color="auto" w:sz="4" w:space="0"/>
              <w:left w:val="single" w:color="auto" w:sz="4" w:space="0"/>
              <w:bottom w:val="single" w:color="auto" w:sz="4" w:space="0"/>
              <w:right w:val="single" w:color="auto" w:sz="4" w:space="0"/>
            </w:tcBorders>
            <w:vAlign w:val="center"/>
          </w:tcPr>
          <w:p w14:paraId="0020902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提供的回收网点设立方案情况，进行综合评分：</w:t>
            </w:r>
          </w:p>
          <w:p w14:paraId="2B2BCF7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7F0876C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7730288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1BBD4FC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1369D8B4">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w:t>
            </w:r>
          </w:p>
        </w:tc>
      </w:tr>
      <w:tr w14:paraId="782B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0A2FECDF">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439828D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回收转运处置实施方案</w:t>
            </w:r>
          </w:p>
        </w:tc>
        <w:tc>
          <w:tcPr>
            <w:tcW w:w="2509" w:type="pct"/>
            <w:tcBorders>
              <w:top w:val="single" w:color="auto" w:sz="4" w:space="0"/>
              <w:left w:val="single" w:color="auto" w:sz="4" w:space="0"/>
              <w:bottom w:val="single" w:color="auto" w:sz="4" w:space="0"/>
              <w:right w:val="single" w:color="auto" w:sz="4" w:space="0"/>
            </w:tcBorders>
            <w:vAlign w:val="center"/>
          </w:tcPr>
          <w:p w14:paraId="28290244">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提供的回收转运处置实施方案情况，进行综合评分：</w:t>
            </w:r>
          </w:p>
          <w:p w14:paraId="0F6B543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6290569C">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44129BE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67BAA6D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1B772B2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0-5分</w:t>
            </w:r>
          </w:p>
        </w:tc>
      </w:tr>
      <w:tr w14:paraId="4DD5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5C6E05A7">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180A5A4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rPr>
              <w:t>重难点分析和应对方案</w:t>
            </w:r>
          </w:p>
        </w:tc>
        <w:tc>
          <w:tcPr>
            <w:tcW w:w="2509" w:type="pct"/>
            <w:tcBorders>
              <w:top w:val="single" w:color="auto" w:sz="4" w:space="0"/>
              <w:left w:val="single" w:color="auto" w:sz="4" w:space="0"/>
              <w:bottom w:val="single" w:color="auto" w:sz="4" w:space="0"/>
              <w:right w:val="single" w:color="auto" w:sz="4" w:space="0"/>
            </w:tcBorders>
            <w:vAlign w:val="center"/>
          </w:tcPr>
          <w:p w14:paraId="310C226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提供的重难点分析和应对方案情况，包含但不限于对服务过程中的重点难点分析、应对措施、处置方法等内容，进行综合评分：</w:t>
            </w:r>
          </w:p>
          <w:p w14:paraId="3B52CF8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1.对本项目特点和难点理解准确，方案优于本项目采购需求，完整详细，可行性、实用性、针对性强，得5分；</w:t>
            </w:r>
          </w:p>
          <w:p w14:paraId="74312DA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2.对本项目特点和难点理解基本准确，方案适合本项目采购需求，完整详细，具有可行性、实用性和针对性，得3分；</w:t>
            </w:r>
          </w:p>
          <w:p w14:paraId="630A264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3.对本项目特点和难点理解有待提升，方案基本适合本项目采购需求，可行性、实用性、针对性有待改善，得1分；</w:t>
            </w:r>
          </w:p>
          <w:p w14:paraId="4E2CF96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31D0F45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0-5分</w:t>
            </w:r>
          </w:p>
        </w:tc>
      </w:tr>
      <w:tr w14:paraId="2762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18FC877A">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191984AF">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人员配备方案</w:t>
            </w:r>
          </w:p>
        </w:tc>
        <w:tc>
          <w:tcPr>
            <w:tcW w:w="2509" w:type="pct"/>
            <w:tcBorders>
              <w:top w:val="single" w:color="auto" w:sz="4" w:space="0"/>
              <w:left w:val="single" w:color="auto" w:sz="4" w:space="0"/>
              <w:bottom w:val="single" w:color="auto" w:sz="4" w:space="0"/>
              <w:right w:val="single" w:color="auto" w:sz="4" w:space="0"/>
            </w:tcBorders>
            <w:vAlign w:val="center"/>
          </w:tcPr>
          <w:p w14:paraId="1E8DED9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提供的人员配备方案情况，包括不限于人员数量、岗位分布、工作职责、年龄结构、工作经验等，进行综合评分：</w:t>
            </w:r>
          </w:p>
          <w:p w14:paraId="31116F6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1.对本项目特点和难点理解准确，人员配备方案优于本项目采购需求，完整详细，可行性、实用性、针对性强，得5分；</w:t>
            </w:r>
          </w:p>
          <w:p w14:paraId="2C29CF02">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2.对本项目特点和难点理解基本准确，人员配备方案适合本项目采购需求，完整详细，具有可行性、实用性、针对性，得3分；</w:t>
            </w:r>
          </w:p>
          <w:p w14:paraId="6F009F9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3.对本项目特点和难点理解有待提升，人员配备方案基本适合本项目采购需求，可行性、实用性、针对性有待改善，得1分；</w:t>
            </w:r>
          </w:p>
          <w:p w14:paraId="63A2E09E">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0CFF691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rPr>
              <w:t>0-5分</w:t>
            </w:r>
          </w:p>
        </w:tc>
      </w:tr>
      <w:tr w14:paraId="6F73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jc w:val="center"/>
        </w:trPr>
        <w:tc>
          <w:tcPr>
            <w:tcW w:w="836" w:type="pct"/>
            <w:vMerge w:val="continue"/>
            <w:tcBorders>
              <w:left w:val="single" w:color="auto" w:sz="4" w:space="0"/>
              <w:right w:val="single" w:color="auto" w:sz="4" w:space="0"/>
            </w:tcBorders>
            <w:vAlign w:val="center"/>
          </w:tcPr>
          <w:p w14:paraId="1BADC57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2F2C0B01">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人员培训方案</w:t>
            </w:r>
          </w:p>
        </w:tc>
        <w:tc>
          <w:tcPr>
            <w:tcW w:w="2509" w:type="pct"/>
            <w:tcBorders>
              <w:top w:val="single" w:color="auto" w:sz="4" w:space="0"/>
              <w:left w:val="single" w:color="auto" w:sz="4" w:space="0"/>
              <w:bottom w:val="single" w:color="auto" w:sz="4" w:space="0"/>
              <w:right w:val="single" w:color="auto" w:sz="4" w:space="0"/>
            </w:tcBorders>
            <w:vAlign w:val="center"/>
          </w:tcPr>
          <w:p w14:paraId="78F9128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根据投标人提供的人员培训方案情况，针对标准化回收网点回收人员、运输人员以及暂存仓储管理人员培训方案，包括但不限于岗前职责、岗位培训、行为规范、操作规范、安全防护等培训内容，进行综合评分：</w:t>
            </w:r>
            <w:r>
              <w:rPr>
                <w:color w:val="auto"/>
              </w:rPr>
              <w:br w:type="textWrapping"/>
            </w: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74EB637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2F08A7F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6123C33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lg0HW3av+SimSun" w:hAnsi="lg0HW3av+SimSun" w:eastAsia="lg0HW3av+SimSun"/>
                <w:color w:val="auto"/>
                <w:sz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195BDF8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0-5分</w:t>
            </w:r>
          </w:p>
        </w:tc>
      </w:tr>
      <w:tr w14:paraId="75C8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5A0F42EA">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7E36685C">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管理制度与措施</w:t>
            </w:r>
          </w:p>
        </w:tc>
        <w:tc>
          <w:tcPr>
            <w:tcW w:w="2509" w:type="pct"/>
            <w:tcBorders>
              <w:top w:val="single" w:color="auto" w:sz="4" w:space="0"/>
              <w:left w:val="single" w:color="auto" w:sz="4" w:space="0"/>
              <w:bottom w:val="single" w:color="auto" w:sz="4" w:space="0"/>
              <w:right w:val="single" w:color="auto" w:sz="4" w:space="0"/>
            </w:tcBorders>
            <w:vAlign w:val="center"/>
          </w:tcPr>
          <w:p w14:paraId="30B667E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提供的管理制度与措施情况，包含但不限于安全管理制度、监督检查制度、人员行为规范管理制度等内容，进行综合评分：</w:t>
            </w:r>
          </w:p>
          <w:p w14:paraId="505ADC6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572B942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4B82D3D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0C7E8E7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10D56D3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0-5分</w:t>
            </w:r>
          </w:p>
        </w:tc>
      </w:tr>
      <w:tr w14:paraId="7E6B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245D508B">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64BB501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台账登记管理方案</w:t>
            </w:r>
          </w:p>
        </w:tc>
        <w:tc>
          <w:tcPr>
            <w:tcW w:w="2509" w:type="pct"/>
            <w:tcBorders>
              <w:top w:val="single" w:color="auto" w:sz="4" w:space="0"/>
              <w:left w:val="single" w:color="auto" w:sz="4" w:space="0"/>
              <w:bottom w:val="single" w:color="auto" w:sz="4" w:space="0"/>
              <w:right w:val="single" w:color="auto" w:sz="4" w:space="0"/>
            </w:tcBorders>
            <w:vAlign w:val="center"/>
          </w:tcPr>
          <w:p w14:paraId="600A580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提供的台账登记管理方案情况，进行综合评分：</w:t>
            </w:r>
          </w:p>
          <w:p w14:paraId="2F60C38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0A11DD7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5AE4554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5BD7671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30FD36A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0-5分</w:t>
            </w:r>
          </w:p>
        </w:tc>
      </w:tr>
      <w:tr w14:paraId="3DB2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321B7ED1">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68C4196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污染环境控制与环境保护措施</w:t>
            </w:r>
          </w:p>
        </w:tc>
        <w:tc>
          <w:tcPr>
            <w:tcW w:w="2509" w:type="pct"/>
            <w:tcBorders>
              <w:top w:val="single" w:color="auto" w:sz="4" w:space="0"/>
              <w:left w:val="single" w:color="auto" w:sz="4" w:space="0"/>
              <w:bottom w:val="single" w:color="auto" w:sz="4" w:space="0"/>
              <w:right w:val="single" w:color="auto" w:sz="4" w:space="0"/>
            </w:tcBorders>
            <w:vAlign w:val="center"/>
          </w:tcPr>
          <w:p w14:paraId="0735D1A6">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根据采购文件要求及</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提供的污染环境控制与环境保护措施情况，包括但不限于污染防治措施、环境风险应急预案、生态保护措施等，进行综合评分：</w:t>
            </w:r>
          </w:p>
          <w:p w14:paraId="6E091B0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1.方案内容完整详细，符合本项目项目实际，可行性、实用性、针对性强，得5分；</w:t>
            </w:r>
          </w:p>
          <w:p w14:paraId="0F743920">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2.方案内容完整，适合本项目项目实际，具有可行性、实用性、针对性，得3分；</w:t>
            </w:r>
          </w:p>
          <w:p w14:paraId="16C363DF">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3.方案内容有待提升，可行性、实用性、针对性有待改善，得1分；</w:t>
            </w:r>
          </w:p>
          <w:p w14:paraId="49D490E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577F40A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0-5分</w:t>
            </w:r>
          </w:p>
        </w:tc>
      </w:tr>
      <w:tr w14:paraId="6FAD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0F9688DE">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230C73A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应急处置方案</w:t>
            </w:r>
          </w:p>
        </w:tc>
        <w:tc>
          <w:tcPr>
            <w:tcW w:w="2509" w:type="pct"/>
            <w:tcBorders>
              <w:top w:val="single" w:color="auto" w:sz="4" w:space="0"/>
              <w:left w:val="single" w:color="auto" w:sz="4" w:space="0"/>
              <w:bottom w:val="single" w:color="auto" w:sz="4" w:space="0"/>
              <w:right w:val="single" w:color="auto" w:sz="4" w:space="0"/>
            </w:tcBorders>
            <w:vAlign w:val="center"/>
          </w:tcPr>
          <w:p w14:paraId="0A2C2BF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根据</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提供的应急处置方案情况，包括但不限于针对农药包装废弃物及废旧农地膜在回收、暂存、运输、处置过程中可能发生的泄漏、火灾、环境污染、设备故障及重大舆情等突发事件的应急处置方案，进行综合评分：</w:t>
            </w:r>
          </w:p>
          <w:p w14:paraId="338D222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应急处置方案内容完整详细，涵盖风险识别、组织机构、响应流程、处置措施、善后处理及演练机制等全要素；针对农药废弃物有毒有害特性制定了专项防护措施；应急响应时间明确，可行性、实用性、针对性强，得5分；</w:t>
            </w:r>
          </w:p>
          <w:p w14:paraId="706E172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2.应急处置方案内容完整，主要风险点覆盖全面，具备基本的组织机构和响应流程，针对本项目的特性有一定的防护措施，具有可行性、实用性和针对性，得3分；</w:t>
            </w:r>
          </w:p>
          <w:p w14:paraId="118C13D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3.应急处置方案内容有待提升，可行性、实用性、针对性有待改善，得1分；</w:t>
            </w:r>
          </w:p>
          <w:p w14:paraId="6E70B84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4.方案不可行或者未提供得0分。</w:t>
            </w:r>
          </w:p>
        </w:tc>
        <w:tc>
          <w:tcPr>
            <w:tcW w:w="679" w:type="pct"/>
            <w:tcBorders>
              <w:top w:val="single" w:color="auto" w:sz="4" w:space="0"/>
              <w:left w:val="single" w:color="auto" w:sz="4" w:space="0"/>
              <w:bottom w:val="single" w:color="auto" w:sz="4" w:space="0"/>
              <w:right w:val="single" w:color="auto" w:sz="4" w:space="0"/>
            </w:tcBorders>
            <w:vAlign w:val="center"/>
          </w:tcPr>
          <w:p w14:paraId="090D318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0-5分</w:t>
            </w:r>
          </w:p>
        </w:tc>
      </w:tr>
      <w:tr w14:paraId="2B0B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1BDDAC01">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469A12B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业绩</w:t>
            </w:r>
          </w:p>
        </w:tc>
        <w:tc>
          <w:tcPr>
            <w:tcW w:w="2509" w:type="pct"/>
            <w:tcBorders>
              <w:top w:val="single" w:color="auto" w:sz="4" w:space="0"/>
              <w:left w:val="single" w:color="auto" w:sz="4" w:space="0"/>
              <w:bottom w:val="single" w:color="auto" w:sz="4" w:space="0"/>
              <w:right w:val="single" w:color="auto" w:sz="4" w:space="0"/>
            </w:tcBorders>
            <w:vAlign w:val="center"/>
          </w:tcPr>
          <w:p w14:paraId="6554C64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自2021年1月1日以来（以合同签订时间为准），</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具有农药包装废弃物（废旧农膜</w:t>
            </w:r>
            <w:r>
              <w:rPr>
                <w:rFonts w:hint="eastAsia" w:asciiTheme="minorEastAsia" w:hAnsiTheme="minorEastAsia" w:eastAsiaTheme="minorEastAsia" w:cstheme="minorEastAsia"/>
                <w:color w:val="auto"/>
                <w:sz w:val="24"/>
                <w:szCs w:val="24"/>
                <w:lang w:eastAsia="zh-CN"/>
              </w:rPr>
              <w:t>或农村垃圾收运服务</w:t>
            </w:r>
            <w:r>
              <w:rPr>
                <w:rFonts w:hint="eastAsia" w:asciiTheme="minorEastAsia" w:hAnsiTheme="minorEastAsia" w:eastAsiaTheme="minorEastAsia" w:cstheme="minorEastAsia"/>
                <w:color w:val="auto"/>
                <w:sz w:val="24"/>
                <w:szCs w:val="24"/>
              </w:rPr>
              <w:t>）回收处置服务业绩的，每提供一个业绩得5分，满分15分。</w:t>
            </w:r>
          </w:p>
          <w:p w14:paraId="245A9561">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注：1.投标文件中须同时提供业绩合同和中标（成交）通知书的扫描件，如业绩合同中无法体现签订时间、合同内容等评审因素，须另提供业主单位（或合同甲方）出具的证明材料扫描件，未提供或提供不全不得分；</w:t>
            </w:r>
          </w:p>
          <w:p w14:paraId="3785293B">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2.已履约完毕或正在履约业绩均认可，同一项目不同年度续签的合同业绩不累计计分，仅计一次分；</w:t>
            </w:r>
          </w:p>
          <w:p w14:paraId="62F6265D">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3.同一项目不同包别的业绩不重复计分，仅按一次计分。</w:t>
            </w:r>
          </w:p>
        </w:tc>
        <w:tc>
          <w:tcPr>
            <w:tcW w:w="679" w:type="pct"/>
            <w:tcBorders>
              <w:top w:val="single" w:color="auto" w:sz="4" w:space="0"/>
              <w:left w:val="single" w:color="auto" w:sz="4" w:space="0"/>
              <w:bottom w:val="single" w:color="auto" w:sz="4" w:space="0"/>
              <w:right w:val="single" w:color="auto" w:sz="4" w:space="0"/>
            </w:tcBorders>
            <w:vAlign w:val="center"/>
          </w:tcPr>
          <w:p w14:paraId="23E1111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0-15分</w:t>
            </w:r>
          </w:p>
        </w:tc>
      </w:tr>
      <w:tr w14:paraId="246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4BAFD88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03CB52A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履约评价</w:t>
            </w:r>
          </w:p>
        </w:tc>
        <w:tc>
          <w:tcPr>
            <w:tcW w:w="2509" w:type="pct"/>
            <w:tcBorders>
              <w:top w:val="single" w:color="auto" w:sz="4" w:space="0"/>
              <w:left w:val="single" w:color="auto" w:sz="4" w:space="0"/>
              <w:bottom w:val="single" w:color="auto" w:sz="4" w:space="0"/>
              <w:right w:val="single" w:color="auto" w:sz="4" w:space="0"/>
            </w:tcBorders>
            <w:vAlign w:val="center"/>
          </w:tcPr>
          <w:p w14:paraId="38B27D5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上述</w:t>
            </w:r>
            <w:r>
              <w:rPr>
                <w:rFonts w:hint="eastAsia" w:asciiTheme="minorEastAsia" w:hAnsiTheme="minorEastAsia" w:eastAsiaTheme="minorEastAsia" w:cstheme="minorEastAsia"/>
                <w:color w:val="auto"/>
                <w:sz w:val="24"/>
                <w:szCs w:val="24"/>
              </w:rPr>
              <w:t>经磋商小组认可的“供应商业绩”被业主单位（或合同甲方）评价为良好（或满意）及以上的，每提供一个履约评价得</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分，最高得</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分。</w:t>
            </w:r>
          </w:p>
          <w:p w14:paraId="3D0EE0A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注：</w:t>
            </w:r>
            <w:r>
              <w:rPr>
                <w:rFonts w:hint="eastAsia" w:asciiTheme="minorEastAsia" w:hAnsiTheme="minorEastAsia" w:eastAsiaTheme="minorEastAsia" w:cstheme="minorEastAsia"/>
                <w:b/>
                <w:bCs/>
                <w:color w:val="auto"/>
                <w:sz w:val="24"/>
                <w:szCs w:val="24"/>
                <w:lang w:val="en-US" w:eastAsia="zh-CN"/>
              </w:rPr>
              <w:t>(1)响应文件中提供业主单位（或合同甲方）出具并加盖业主单位（或合同甲方）公章的履约评价材料扫描件，履约评价材料中须体现项目名称、评价情况，未提供或提供不全不得分；(2)同一业绩具有多个履约评价仅计一次分。</w:t>
            </w:r>
          </w:p>
        </w:tc>
        <w:tc>
          <w:tcPr>
            <w:tcW w:w="679" w:type="pct"/>
            <w:tcBorders>
              <w:top w:val="single" w:color="auto" w:sz="4" w:space="0"/>
              <w:left w:val="single" w:color="auto" w:sz="4" w:space="0"/>
              <w:bottom w:val="single" w:color="auto" w:sz="4" w:space="0"/>
              <w:right w:val="single" w:color="auto" w:sz="4" w:space="0"/>
            </w:tcBorders>
            <w:vAlign w:val="center"/>
          </w:tcPr>
          <w:p w14:paraId="2D5AF22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分</w:t>
            </w:r>
          </w:p>
        </w:tc>
      </w:tr>
      <w:tr w14:paraId="52B1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vMerge w:val="continue"/>
            <w:tcBorders>
              <w:left w:val="single" w:color="auto" w:sz="4" w:space="0"/>
              <w:right w:val="single" w:color="auto" w:sz="4" w:space="0"/>
            </w:tcBorders>
            <w:vAlign w:val="center"/>
          </w:tcPr>
          <w:p w14:paraId="46965A84">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p>
        </w:tc>
        <w:tc>
          <w:tcPr>
            <w:tcW w:w="974" w:type="pct"/>
            <w:tcBorders>
              <w:top w:val="single" w:color="auto" w:sz="4" w:space="0"/>
              <w:left w:val="single" w:color="auto" w:sz="4" w:space="0"/>
              <w:bottom w:val="single" w:color="auto" w:sz="4" w:space="0"/>
              <w:right w:val="single" w:color="auto" w:sz="4" w:space="0"/>
            </w:tcBorders>
            <w:vAlign w:val="center"/>
          </w:tcPr>
          <w:p w14:paraId="56D6593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i w:val="0"/>
                <w:iCs w:val="0"/>
                <w:color w:val="auto"/>
                <w:sz w:val="24"/>
                <w:szCs w:val="24"/>
                <w:lang w:eastAsia="zh-CN"/>
              </w:rPr>
              <w:t>项目负责人业绩</w:t>
            </w:r>
          </w:p>
        </w:tc>
        <w:tc>
          <w:tcPr>
            <w:tcW w:w="2509" w:type="pct"/>
            <w:tcBorders>
              <w:top w:val="single" w:color="auto" w:sz="4" w:space="0"/>
              <w:left w:val="single" w:color="auto" w:sz="4" w:space="0"/>
              <w:bottom w:val="single" w:color="auto" w:sz="4" w:space="0"/>
              <w:right w:val="single" w:color="auto" w:sz="4" w:space="0"/>
            </w:tcBorders>
            <w:vAlign w:val="center"/>
          </w:tcPr>
          <w:p w14:paraId="517820C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自2021年1月1日以来（以合同签订时间为准），供应商拟为本项目配备的项目负责人具有农药包装废弃物（废旧农膜</w:t>
            </w:r>
            <w:r>
              <w:rPr>
                <w:rFonts w:hint="eastAsia" w:asciiTheme="minorEastAsia" w:hAnsiTheme="minorEastAsia" w:eastAsiaTheme="minorEastAsia" w:cstheme="minorEastAsia"/>
                <w:color w:val="auto"/>
                <w:sz w:val="24"/>
                <w:szCs w:val="24"/>
                <w:lang w:eastAsia="zh-CN"/>
              </w:rPr>
              <w:t>或农村垃圾收运服务</w:t>
            </w:r>
            <w:r>
              <w:rPr>
                <w:rFonts w:hint="eastAsia" w:asciiTheme="minorEastAsia" w:hAnsiTheme="minorEastAsia" w:eastAsiaTheme="minorEastAsia" w:cstheme="minorEastAsia"/>
                <w:color w:val="auto"/>
                <w:sz w:val="24"/>
                <w:szCs w:val="24"/>
              </w:rPr>
              <w:t>）回收处置服务的合同业绩，每提供一个合同业绩得5分，最高得</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w:t>
            </w:r>
          </w:p>
          <w:p w14:paraId="07BF385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注：(1)供应商拟为本项目配备的项目负责人须在对应业绩中担任项目负责人职务，否则不予认可；</w:t>
            </w:r>
          </w:p>
          <w:p w14:paraId="74D1AE6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(2)响应文件中须同时提供业绩合同和中标（成交）通知书的扫描件及供应商为项目负责人缴纳近半年内任意一个月的社保证明材料</w:t>
            </w:r>
            <w:r>
              <w:rPr>
                <w:rFonts w:hint="eastAsia" w:asciiTheme="minorEastAsia" w:hAnsiTheme="minorEastAsia" w:eastAsiaTheme="minorEastAsia" w:cstheme="minorEastAsia"/>
                <w:b/>
                <w:color w:val="auto"/>
                <w:sz w:val="24"/>
                <w:szCs w:val="24"/>
                <w:lang w:eastAsia="zh-CN"/>
              </w:rPr>
              <w:t>，</w:t>
            </w:r>
            <w:r>
              <w:rPr>
                <w:rFonts w:hint="eastAsia" w:asciiTheme="minorEastAsia" w:hAnsiTheme="minorEastAsia" w:eastAsiaTheme="minorEastAsia" w:cstheme="minorEastAsia"/>
                <w:b/>
                <w:color w:val="auto"/>
                <w:sz w:val="24"/>
                <w:szCs w:val="24"/>
              </w:rPr>
              <w:t>如业绩合同中无法体现签订时间、合同内容、项目负责人姓名等评审因素，须另提供业主单位（或合同甲方）出具的证明材料扫描件，未提供或提供不全不得分；</w:t>
            </w:r>
          </w:p>
          <w:p w14:paraId="10969A9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(3)已履约完毕或正在履约业绩均认可，同一项目不同年度续签的合同业绩不累计计分，仅计一次分；</w:t>
            </w:r>
          </w:p>
          <w:p w14:paraId="73C623D4">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(4)同一项目不同包别的业绩不重复计分，仅按一次计分；</w:t>
            </w:r>
          </w:p>
          <w:p w14:paraId="58D70F9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(5)项目负责人业绩可与供应商业绩重复计分。</w:t>
            </w:r>
          </w:p>
        </w:tc>
        <w:tc>
          <w:tcPr>
            <w:tcW w:w="679" w:type="pct"/>
            <w:tcBorders>
              <w:top w:val="single" w:color="auto" w:sz="4" w:space="0"/>
              <w:left w:val="single" w:color="auto" w:sz="4" w:space="0"/>
              <w:bottom w:val="single" w:color="auto" w:sz="4" w:space="0"/>
              <w:right w:val="single" w:color="auto" w:sz="4" w:space="0"/>
            </w:tcBorders>
            <w:vAlign w:val="center"/>
          </w:tcPr>
          <w:p w14:paraId="4BC006D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分</w:t>
            </w:r>
          </w:p>
        </w:tc>
      </w:tr>
      <w:tr w14:paraId="0036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6" w:type="pct"/>
            <w:tcBorders>
              <w:left w:val="single" w:color="auto" w:sz="4" w:space="0"/>
              <w:right w:val="single" w:color="auto" w:sz="4" w:space="0"/>
            </w:tcBorders>
            <w:vAlign w:val="center"/>
          </w:tcPr>
          <w:p w14:paraId="08C48B21">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w:t>
            </w:r>
          </w:p>
          <w:p w14:paraId="4F93AAD9">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分）</w:t>
            </w:r>
          </w:p>
        </w:tc>
        <w:tc>
          <w:tcPr>
            <w:tcW w:w="4163" w:type="pct"/>
            <w:gridSpan w:val="3"/>
            <w:tcBorders>
              <w:top w:val="single" w:color="auto" w:sz="4" w:space="0"/>
              <w:left w:val="single" w:color="auto" w:sz="4" w:space="0"/>
              <w:bottom w:val="single" w:color="auto" w:sz="4" w:space="0"/>
              <w:right w:val="single" w:color="auto" w:sz="4" w:space="0"/>
            </w:tcBorders>
            <w:vAlign w:val="center"/>
          </w:tcPr>
          <w:p w14:paraId="033A460C">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分。其他供应商的价格分统一按照下列公式计算：</w:t>
            </w:r>
          </w:p>
          <w:p w14:paraId="4B827750">
            <w:pPr>
              <w:keepNext w:val="0"/>
              <w:keepLines w:val="0"/>
              <w:pageBreakBefore w:val="0"/>
              <w:widowControl w:val="0"/>
              <w:kinsoku/>
              <w:wordWrap/>
              <w:overflowPunct/>
              <w:topLinePunct w:val="0"/>
              <w:autoSpaceDE/>
              <w:autoSpaceDN/>
              <w:bidi w:val="0"/>
              <w:adjustRightInd/>
              <w:snapToGrid/>
              <w:spacing w:line="360" w:lineRule="auto"/>
              <w:ind w:left="0" w:leftChars="0" w:right="0" w:firstLine="0"/>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磋商报价得分＝（磋商基准价/最后磋商报价）×</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％×100</w:t>
            </w:r>
          </w:p>
        </w:tc>
      </w:tr>
    </w:tbl>
    <w:p w14:paraId="366FD1BE">
      <w:pPr>
        <w:rPr>
          <w:color w:val="auto"/>
        </w:rPr>
      </w:pPr>
    </w:p>
    <w:p w14:paraId="097A054A">
      <w:pPr>
        <w:rPr>
          <w:rFonts w:hint="default" w:eastAsia="宋体"/>
          <w:lang w:val="en-US" w:eastAsia="zh-CN"/>
        </w:rPr>
      </w:pPr>
      <w:r>
        <w:rPr>
          <w:rFonts w:hint="eastAsia"/>
          <w:color w:val="auto"/>
          <w:lang w:eastAsia="zh-CN"/>
        </w:rPr>
        <w:t>审核人：</w:t>
      </w:r>
      <w:r>
        <w:rPr>
          <w:rFonts w:hint="eastAsia"/>
          <w:color w:val="auto"/>
          <w:lang w:val="en-US" w:eastAsia="zh-CN"/>
        </w:rPr>
        <w:t xml:space="preserve">                            年    月    日</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1" w:fontKey="{965B65FA-6DBB-48E1-9851-E42D33E7ADA3}"/>
  </w:font>
  <w:font w:name="lg0HW3av+SimSun">
    <w:altName w:val="Microsoft YaHei UI Light"/>
    <w:panose1 w:val="02000500000000000000"/>
    <w:charset w:val="00"/>
    <w:family w:val="auto"/>
    <w:pitch w:val="default"/>
    <w:sig w:usb0="00000000" w:usb1="00000000" w:usb2="00000016" w:usb3="00000000" w:csb0="0004001F" w:csb1="00000000"/>
    <w:embedRegular r:id="rId2" w:fontKey="{D3DCE1E8-E714-4B68-A4FE-737EE2137739}"/>
  </w:font>
  <w:font w:name="Microsoft YaHei UI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6492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A757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6A757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E02048"/>
    <w:rsid w:val="03196F07"/>
    <w:rsid w:val="05283431"/>
    <w:rsid w:val="089322C7"/>
    <w:rsid w:val="08CC0577"/>
    <w:rsid w:val="0E15476E"/>
    <w:rsid w:val="12920162"/>
    <w:rsid w:val="12DC585B"/>
    <w:rsid w:val="1303591D"/>
    <w:rsid w:val="137D4E72"/>
    <w:rsid w:val="183D6D9C"/>
    <w:rsid w:val="21562C7C"/>
    <w:rsid w:val="230C035C"/>
    <w:rsid w:val="23FF185B"/>
    <w:rsid w:val="2435126F"/>
    <w:rsid w:val="246851A0"/>
    <w:rsid w:val="24AF2DCF"/>
    <w:rsid w:val="25C603D0"/>
    <w:rsid w:val="266C5EE9"/>
    <w:rsid w:val="27005B64"/>
    <w:rsid w:val="2BDA01A2"/>
    <w:rsid w:val="2FE60E51"/>
    <w:rsid w:val="30991A10"/>
    <w:rsid w:val="31694894"/>
    <w:rsid w:val="32095D5D"/>
    <w:rsid w:val="32560D2E"/>
    <w:rsid w:val="33995C00"/>
    <w:rsid w:val="36E52680"/>
    <w:rsid w:val="37C4673A"/>
    <w:rsid w:val="38451629"/>
    <w:rsid w:val="38651CCB"/>
    <w:rsid w:val="38DD5D05"/>
    <w:rsid w:val="3A3A0F35"/>
    <w:rsid w:val="3B916781"/>
    <w:rsid w:val="3BBF5AF6"/>
    <w:rsid w:val="3CADA338"/>
    <w:rsid w:val="3E7A5DA4"/>
    <w:rsid w:val="3F8F4CD6"/>
    <w:rsid w:val="3FDEF4E7"/>
    <w:rsid w:val="3FFF7B1D"/>
    <w:rsid w:val="4182569C"/>
    <w:rsid w:val="41B94E35"/>
    <w:rsid w:val="42E934F8"/>
    <w:rsid w:val="4339622E"/>
    <w:rsid w:val="434150E2"/>
    <w:rsid w:val="46FB70BA"/>
    <w:rsid w:val="4DC20CD7"/>
    <w:rsid w:val="4EAF5539"/>
    <w:rsid w:val="545D78A2"/>
    <w:rsid w:val="547156B9"/>
    <w:rsid w:val="55540CA5"/>
    <w:rsid w:val="55F67FAE"/>
    <w:rsid w:val="56101070"/>
    <w:rsid w:val="570A5ABF"/>
    <w:rsid w:val="59E720E8"/>
    <w:rsid w:val="5C1D4FEC"/>
    <w:rsid w:val="5EAC41F5"/>
    <w:rsid w:val="5FC99706"/>
    <w:rsid w:val="6254011E"/>
    <w:rsid w:val="66BF4FDC"/>
    <w:rsid w:val="67DC03BC"/>
    <w:rsid w:val="68CD2DF1"/>
    <w:rsid w:val="69A973BA"/>
    <w:rsid w:val="6C9D9456"/>
    <w:rsid w:val="6DF20D7C"/>
    <w:rsid w:val="6EFEE8C1"/>
    <w:rsid w:val="6F6618A9"/>
    <w:rsid w:val="6F7B2BA1"/>
    <w:rsid w:val="6FE3114C"/>
    <w:rsid w:val="745C2DDD"/>
    <w:rsid w:val="7533222E"/>
    <w:rsid w:val="77BFB8D1"/>
    <w:rsid w:val="78B2790D"/>
    <w:rsid w:val="7BC260B9"/>
    <w:rsid w:val="7C73397A"/>
    <w:rsid w:val="7CD442F6"/>
    <w:rsid w:val="7DA93EBE"/>
    <w:rsid w:val="7DE40569"/>
    <w:rsid w:val="7F7AE9CB"/>
    <w:rsid w:val="7FFE8F8F"/>
    <w:rsid w:val="8C7F8A52"/>
    <w:rsid w:val="9DF702FC"/>
    <w:rsid w:val="ABBFFBF4"/>
    <w:rsid w:val="BAF9DD93"/>
    <w:rsid w:val="CBE02048"/>
    <w:rsid w:val="CFBCE360"/>
    <w:rsid w:val="D7EAE0FF"/>
    <w:rsid w:val="E9EBD596"/>
    <w:rsid w:val="F0DF0890"/>
    <w:rsid w:val="F36FE2C9"/>
    <w:rsid w:val="F6FB4F53"/>
    <w:rsid w:val="FE2FF6DD"/>
    <w:rsid w:val="FEAE61E0"/>
    <w:rsid w:val="FF7FBA81"/>
    <w:rsid w:val="FFB72C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Strong"/>
    <w:basedOn w:val="7"/>
    <w:qFormat/>
    <w:uiPriority w:val="0"/>
    <w:rPr>
      <w:b/>
      <w:bCs/>
    </w:rPr>
  </w:style>
  <w:style w:type="character" w:styleId="9">
    <w:name w:val="FollowedHyperlink"/>
    <w:basedOn w:val="7"/>
    <w:qFormat/>
    <w:uiPriority w:val="0"/>
    <w:rPr>
      <w:color w:val="800080"/>
      <w:u w:val="none"/>
    </w:rPr>
  </w:style>
  <w:style w:type="character" w:styleId="10">
    <w:name w:val="Emphasis"/>
    <w:basedOn w:val="7"/>
    <w:qFormat/>
    <w:uiPriority w:val="0"/>
  </w:style>
  <w:style w:type="character" w:styleId="11">
    <w:name w:val="HTML Definition"/>
    <w:basedOn w:val="7"/>
    <w:qFormat/>
    <w:uiPriority w:val="0"/>
  </w:style>
  <w:style w:type="character" w:styleId="12">
    <w:name w:val="HTML Typewriter"/>
    <w:basedOn w:val="7"/>
    <w:qFormat/>
    <w:uiPriority w:val="0"/>
    <w:rPr>
      <w:rFonts w:hint="default" w:ascii="monospace" w:hAnsi="monospace" w:eastAsia="monospace" w:cs="monospace"/>
      <w:sz w:val="20"/>
    </w:rPr>
  </w:style>
  <w:style w:type="character" w:styleId="13">
    <w:name w:val="HTML Acronym"/>
    <w:basedOn w:val="7"/>
    <w:qFormat/>
    <w:uiPriority w:val="0"/>
  </w:style>
  <w:style w:type="character" w:styleId="14">
    <w:name w:val="HTML Variable"/>
    <w:basedOn w:val="7"/>
    <w:qFormat/>
    <w:uiPriority w:val="0"/>
  </w:style>
  <w:style w:type="character" w:styleId="15">
    <w:name w:val="Hyperlink"/>
    <w:basedOn w:val="7"/>
    <w:qFormat/>
    <w:uiPriority w:val="0"/>
    <w:rPr>
      <w:color w:val="0000FF"/>
      <w:u w:val="none"/>
    </w:rPr>
  </w:style>
  <w:style w:type="character" w:styleId="16">
    <w:name w:val="HTML Code"/>
    <w:basedOn w:val="7"/>
    <w:qFormat/>
    <w:uiPriority w:val="0"/>
    <w:rPr>
      <w:rFonts w:hint="default" w:ascii="monospace" w:hAnsi="monospace" w:eastAsia="monospace" w:cs="monospace"/>
      <w:sz w:val="20"/>
    </w:rPr>
  </w:style>
  <w:style w:type="character" w:styleId="17">
    <w:name w:val="HTML Cite"/>
    <w:basedOn w:val="7"/>
    <w:qFormat/>
    <w:uiPriority w:val="0"/>
  </w:style>
  <w:style w:type="character" w:styleId="18">
    <w:name w:val="HTML Keyboard"/>
    <w:basedOn w:val="7"/>
    <w:qFormat/>
    <w:uiPriority w:val="0"/>
    <w:rPr>
      <w:rFonts w:ascii="monospace" w:hAnsi="monospace" w:eastAsia="monospace" w:cs="monospace"/>
      <w:sz w:val="20"/>
    </w:rPr>
  </w:style>
  <w:style w:type="character" w:styleId="19">
    <w:name w:val="HTML Sample"/>
    <w:basedOn w:val="7"/>
    <w:qFormat/>
    <w:uiPriority w:val="0"/>
    <w:rPr>
      <w:rFonts w:hint="default" w:ascii="monospace" w:hAnsi="monospace" w:eastAsia="monospace" w:cs="monospace"/>
    </w:rPr>
  </w:style>
  <w:style w:type="character" w:customStyle="1" w:styleId="20">
    <w:name w:val="first-child"/>
    <w:basedOn w:val="7"/>
    <w:qFormat/>
    <w:uiPriority w:val="0"/>
  </w:style>
  <w:style w:type="character" w:customStyle="1" w:styleId="21">
    <w:name w:val="layui-layer-tabnow"/>
    <w:basedOn w:val="7"/>
    <w:qFormat/>
    <w:uiPriority w:val="0"/>
    <w:rPr>
      <w:bdr w:val="single" w:color="CCCCCC" w:sz="6" w:space="0"/>
      <w:shd w:val="clear" w:fill="FFFFFF"/>
    </w:rPr>
  </w:style>
  <w:style w:type="paragraph" w:customStyle="1" w:styleId="22">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5334</Words>
  <Characters>5470</Characters>
  <Lines>0</Lines>
  <Paragraphs>0</Paragraphs>
  <TotalTime>14</TotalTime>
  <ScaleCrop>false</ScaleCrop>
  <LinksUpToDate>false</LinksUpToDate>
  <CharactersWithSpaces>5477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2023-06-11T08:24:00Z</dcterms:created>
  <dc:creator>user</dc:creator>
  <cp:lastModifiedBy>符媛媛</cp:lastModifiedBy>
  <dcterms:modified xsi:type="dcterms:W3CDTF">2026-09-21T06:56:13Z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eyJoZGlkIjoiNmNhMDBhYmYwMzZjMzU4MGZhODRkNzIzMzU5MTU2NzAiLCJ1c2VySWQiOiIxNTY1MjI4MjU3In0=</vt:lpwstr>
  </property>
  <property fmtid="{D5CDD505-2E9C-101B-9397-08002B2CF9AE}" pid="4" name="ICV">
    <vt:lpwstr>7333D6A973534541ACF38F7FB595EDA8_12</vt:lpwstr>
  </property>
</Properties>
</file>