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990EE">
      <w:pPr>
        <w:pStyle w:val="2"/>
        <w:jc w:val="center"/>
        <w:rPr>
          <w:rFonts w:hint="eastAsia"/>
        </w:rPr>
      </w:pPr>
      <w:r>
        <w:rPr>
          <w:rFonts w:hint="eastAsia"/>
          <w:b/>
          <w:sz w:val="28"/>
          <w:szCs w:val="36"/>
          <w:lang w:val="en-US" w:eastAsia="zh-CN"/>
        </w:rPr>
        <w:t>成交</w:t>
      </w:r>
      <w:r>
        <w:rPr>
          <w:rFonts w:hint="eastAsia" w:ascii="宋体" w:hAnsi="宋体"/>
          <w:b/>
          <w:sz w:val="28"/>
          <w:szCs w:val="36"/>
          <w:lang w:val="en-US" w:eastAsia="zh-CN"/>
        </w:rPr>
        <w:t>候选</w:t>
      </w:r>
      <w:r>
        <w:rPr>
          <w:rFonts w:hint="eastAsia" w:ascii="宋体" w:hAnsi="宋体"/>
          <w:b/>
          <w:sz w:val="28"/>
          <w:szCs w:val="36"/>
        </w:rPr>
        <w:t>人信息表</w:t>
      </w:r>
    </w:p>
    <w:tbl>
      <w:tblPr>
        <w:tblStyle w:val="10"/>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4"/>
        <w:gridCol w:w="6486"/>
      </w:tblGrid>
      <w:tr w14:paraId="7DE9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8960" w:type="dxa"/>
            <w:gridSpan w:val="2"/>
            <w:vAlign w:val="center"/>
          </w:tcPr>
          <w:p w14:paraId="62FA5291">
            <w:pPr>
              <w:pStyle w:val="2"/>
              <w:jc w:val="center"/>
              <w:rPr>
                <w:rFonts w:hint="default" w:ascii="宋体" w:hAnsi="宋体" w:eastAsia="宋体" w:cs="宋体"/>
                <w:b w:val="0"/>
                <w:bCs w:val="0"/>
                <w:sz w:val="24"/>
                <w:szCs w:val="24"/>
                <w:vertAlign w:val="baseline"/>
                <w:lang w:val="en-US" w:eastAsia="zh-CN"/>
              </w:rPr>
            </w:pPr>
            <w:r>
              <w:rPr>
                <w:rFonts w:hint="eastAsia" w:cs="宋体"/>
                <w:b/>
                <w:bCs/>
                <w:sz w:val="24"/>
                <w:szCs w:val="24"/>
                <w:vertAlign w:val="baseline"/>
                <w:lang w:val="en-US" w:eastAsia="zh-CN"/>
              </w:rPr>
              <w:t>成交候选</w:t>
            </w:r>
            <w:r>
              <w:rPr>
                <w:rFonts w:hint="eastAsia" w:ascii="宋体" w:hAnsi="宋体" w:eastAsia="宋体" w:cs="宋体"/>
                <w:b/>
                <w:bCs/>
                <w:sz w:val="24"/>
                <w:szCs w:val="24"/>
                <w:vertAlign w:val="baseline"/>
                <w:lang w:val="en-US" w:eastAsia="zh-CN"/>
              </w:rPr>
              <w:t>人名称</w:t>
            </w:r>
            <w:r>
              <w:rPr>
                <w:rFonts w:hint="eastAsia" w:cs="宋体"/>
                <w:b/>
                <w:bCs/>
                <w:sz w:val="24"/>
                <w:szCs w:val="24"/>
                <w:vertAlign w:val="baseline"/>
                <w:lang w:val="en-US" w:eastAsia="zh-CN"/>
              </w:rPr>
              <w:t>：</w:t>
            </w:r>
            <w:r>
              <w:rPr>
                <w:rFonts w:hint="eastAsia" w:ascii="宋体" w:hAnsi="宋体" w:eastAsia="宋体" w:cs="宋体"/>
                <w:b/>
                <w:bCs/>
                <w:sz w:val="24"/>
                <w:szCs w:val="24"/>
                <w:vertAlign w:val="baseline"/>
              </w:rPr>
              <w:t>中铁合肥建筑市政工程设计研究院</w:t>
            </w:r>
            <w:r>
              <w:rPr>
                <w:rFonts w:hint="eastAsia" w:cs="宋体"/>
                <w:b/>
                <w:bCs/>
                <w:sz w:val="24"/>
                <w:szCs w:val="24"/>
                <w:vertAlign w:val="baseline"/>
                <w:lang w:val="en-US" w:eastAsia="zh-CN"/>
              </w:rPr>
              <w:t>有限公司</w:t>
            </w:r>
            <w:bookmarkStart w:id="0" w:name="_GoBack"/>
            <w:bookmarkEnd w:id="0"/>
          </w:p>
        </w:tc>
      </w:tr>
      <w:tr w14:paraId="1D9D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2474" w:type="dxa"/>
            <w:vAlign w:val="center"/>
          </w:tcPr>
          <w:p w14:paraId="4E124C03">
            <w:pPr>
              <w:pStyle w:val="2"/>
              <w:jc w:val="left"/>
              <w:rPr>
                <w:rFonts w:hint="eastAsia" w:ascii="宋体" w:hAnsi="宋体" w:eastAsia="宋体" w:cs="宋体"/>
                <w:b w:val="0"/>
                <w:bCs w:val="0"/>
                <w:sz w:val="24"/>
                <w:szCs w:val="24"/>
                <w:vertAlign w:val="baseline"/>
                <w:lang w:val="en-US" w:eastAsia="zh-CN"/>
              </w:rPr>
            </w:pPr>
            <w:r>
              <w:rPr>
                <w:rFonts w:hint="eastAsia" w:cs="宋体"/>
                <w:b w:val="0"/>
                <w:bCs w:val="0"/>
                <w:kern w:val="0"/>
                <w:sz w:val="24"/>
                <w:szCs w:val="24"/>
                <w:lang w:val="en-US" w:eastAsia="zh-CN"/>
              </w:rPr>
              <w:t>供应商</w:t>
            </w:r>
            <w:r>
              <w:rPr>
                <w:rFonts w:hint="eastAsia" w:ascii="宋体" w:hAnsi="宋体" w:eastAsia="宋体" w:cs="宋体"/>
                <w:b w:val="0"/>
                <w:bCs w:val="0"/>
                <w:kern w:val="0"/>
                <w:sz w:val="24"/>
                <w:szCs w:val="24"/>
              </w:rPr>
              <w:t>响应</w:t>
            </w:r>
            <w:r>
              <w:rPr>
                <w:rFonts w:hint="eastAsia" w:cs="宋体"/>
                <w:b w:val="0"/>
                <w:bCs w:val="0"/>
                <w:kern w:val="0"/>
                <w:sz w:val="24"/>
                <w:szCs w:val="24"/>
                <w:lang w:val="en-US" w:eastAsia="zh-CN"/>
              </w:rPr>
              <w:t>磋商</w:t>
            </w:r>
            <w:r>
              <w:rPr>
                <w:rFonts w:hint="eastAsia" w:ascii="宋体" w:hAnsi="宋体" w:eastAsia="宋体" w:cs="宋体"/>
                <w:b w:val="0"/>
                <w:bCs w:val="0"/>
                <w:kern w:val="0"/>
                <w:sz w:val="24"/>
                <w:szCs w:val="24"/>
              </w:rPr>
              <w:t>文件要求的资格能力条件</w:t>
            </w:r>
          </w:p>
        </w:tc>
        <w:tc>
          <w:tcPr>
            <w:tcW w:w="6486" w:type="dxa"/>
            <w:vAlign w:val="center"/>
          </w:tcPr>
          <w:p w14:paraId="1252492F">
            <w:pPr>
              <w:pStyle w:val="2"/>
              <w:jc w:val="left"/>
              <w:rPr>
                <w:rFonts w:hint="default" w:cs="宋体"/>
                <w:b w:val="0"/>
                <w:bCs w:val="0"/>
                <w:sz w:val="24"/>
                <w:szCs w:val="24"/>
                <w:vertAlign w:val="baseline"/>
                <w:lang w:val="en-US" w:eastAsia="zh-CN"/>
              </w:rPr>
            </w:pPr>
            <w:r>
              <w:rPr>
                <w:rFonts w:hint="eastAsia" w:cs="宋体"/>
                <w:b w:val="0"/>
                <w:bCs w:val="0"/>
                <w:sz w:val="24"/>
                <w:szCs w:val="24"/>
                <w:vertAlign w:val="baseline"/>
                <w:lang w:val="en-US" w:eastAsia="zh-CN"/>
              </w:rPr>
              <w:t>同时具备</w:t>
            </w:r>
          </w:p>
          <w:p w14:paraId="0A7A011B">
            <w:pPr>
              <w:pStyle w:val="2"/>
              <w:jc w:val="left"/>
              <w:rPr>
                <w:rFonts w:hint="eastAsia" w:cs="宋体"/>
                <w:b w:val="0"/>
                <w:bCs w:val="0"/>
                <w:sz w:val="24"/>
                <w:szCs w:val="24"/>
                <w:vertAlign w:val="baseline"/>
                <w:lang w:val="en-US" w:eastAsia="zh-CN"/>
              </w:rPr>
            </w:pPr>
            <w:r>
              <w:rPr>
                <w:rFonts w:hint="eastAsia" w:cs="宋体"/>
                <w:b w:val="0"/>
                <w:bCs w:val="0"/>
                <w:sz w:val="24"/>
                <w:szCs w:val="24"/>
                <w:vertAlign w:val="baseline"/>
                <w:lang w:val="en-US" w:eastAsia="zh-CN"/>
              </w:rPr>
              <w:t>①城乡规划编制专业甲级资质；</w:t>
            </w:r>
          </w:p>
          <w:p w14:paraId="5B58E342">
            <w:pPr>
              <w:pStyle w:val="2"/>
              <w:jc w:val="left"/>
              <w:rPr>
                <w:rFonts w:hint="eastAsia" w:ascii="宋体" w:hAnsi="宋体" w:eastAsia="宋体" w:cs="宋体"/>
                <w:b w:val="0"/>
                <w:bCs w:val="0"/>
                <w:sz w:val="24"/>
                <w:szCs w:val="24"/>
                <w:vertAlign w:val="baseline"/>
              </w:rPr>
            </w:pPr>
            <w:r>
              <w:rPr>
                <w:rFonts w:hint="eastAsia" w:cs="宋体"/>
                <w:b w:val="0"/>
                <w:bCs w:val="0"/>
                <w:sz w:val="24"/>
                <w:szCs w:val="24"/>
                <w:vertAlign w:val="baseline"/>
                <w:lang w:val="en-US" w:eastAsia="zh-CN"/>
              </w:rPr>
              <w:t>②市政行业(道路工程和排水工程）甲级工程设计资质</w:t>
            </w:r>
          </w:p>
        </w:tc>
      </w:tr>
      <w:tr w14:paraId="4416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jc w:val="center"/>
        </w:trPr>
        <w:tc>
          <w:tcPr>
            <w:tcW w:w="2474" w:type="dxa"/>
            <w:vAlign w:val="center"/>
          </w:tcPr>
          <w:p w14:paraId="2F8488F4">
            <w:pPr>
              <w:jc w:val="left"/>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通过评审的得分业绩</w:t>
            </w:r>
          </w:p>
        </w:tc>
        <w:tc>
          <w:tcPr>
            <w:tcW w:w="6486" w:type="dxa"/>
            <w:vAlign w:val="center"/>
          </w:tcPr>
          <w:p w14:paraId="31C0F6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1.</w:t>
            </w:r>
            <w:r>
              <w:rPr>
                <w:rFonts w:hint="eastAsia" w:ascii="宋体" w:hAnsi="宋体" w:eastAsia="宋体" w:cs="宋体"/>
                <w:b w:val="0"/>
                <w:bCs w:val="0"/>
                <w:kern w:val="0"/>
                <w:sz w:val="24"/>
                <w:szCs w:val="24"/>
                <w:lang w:val="en-US" w:eastAsia="zh-CN"/>
              </w:rPr>
              <w:t>杨庙镇马郢社区乡村振兴示范园节点提升及附属设施工程设计施工一体化</w:t>
            </w:r>
          </w:p>
          <w:p w14:paraId="5C0131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2.</w:t>
            </w:r>
            <w:r>
              <w:rPr>
                <w:rFonts w:hint="eastAsia" w:ascii="宋体" w:hAnsi="宋体" w:eastAsia="宋体" w:cs="宋体"/>
                <w:b w:val="0"/>
                <w:bCs w:val="0"/>
                <w:kern w:val="0"/>
                <w:sz w:val="24"/>
                <w:szCs w:val="24"/>
                <w:lang w:val="en-US" w:eastAsia="zh-CN"/>
              </w:rPr>
              <w:t>含北片区昭关镇人居环境整治暨美丽乡村建设工程</w:t>
            </w:r>
          </w:p>
          <w:p w14:paraId="7515CC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3.</w:t>
            </w:r>
            <w:r>
              <w:rPr>
                <w:rFonts w:hint="eastAsia" w:ascii="宋体" w:hAnsi="宋体" w:eastAsia="宋体" w:cs="宋体"/>
                <w:b w:val="0"/>
                <w:bCs w:val="0"/>
                <w:kern w:val="0"/>
                <w:sz w:val="24"/>
                <w:szCs w:val="24"/>
                <w:lang w:val="en-US" w:eastAsia="zh-CN"/>
              </w:rPr>
              <w:t>合肥市长丰县岗集镇青峰岭和美乡村精品示范村建设</w:t>
            </w:r>
          </w:p>
          <w:p w14:paraId="51016F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4.</w:t>
            </w:r>
            <w:r>
              <w:rPr>
                <w:rFonts w:hint="eastAsia" w:ascii="宋体" w:hAnsi="宋体" w:eastAsia="宋体" w:cs="宋体"/>
                <w:b w:val="0"/>
                <w:bCs w:val="0"/>
                <w:kern w:val="0"/>
                <w:sz w:val="24"/>
                <w:szCs w:val="24"/>
                <w:lang w:val="en-US" w:eastAsia="zh-CN"/>
              </w:rPr>
              <w:t>南陵县弋江镇奚滩行政村西梅中心村、永久中心村和美乡村建设规划设计项目</w:t>
            </w:r>
          </w:p>
          <w:p w14:paraId="5D3976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5.</w:t>
            </w:r>
            <w:r>
              <w:rPr>
                <w:rFonts w:hint="eastAsia" w:ascii="宋体" w:hAnsi="宋体" w:eastAsia="宋体" w:cs="宋体"/>
                <w:b w:val="0"/>
                <w:bCs w:val="0"/>
                <w:kern w:val="0"/>
                <w:sz w:val="24"/>
                <w:szCs w:val="24"/>
                <w:lang w:val="en-US" w:eastAsia="zh-CN"/>
              </w:rPr>
              <w:t>元氏县国省干线人居环境综合整治工程EPC总承包一标段</w:t>
            </w:r>
          </w:p>
          <w:p w14:paraId="2F8AA8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r>
              <w:rPr>
                <w:rFonts w:hint="eastAsia" w:ascii="宋体" w:hAnsi="宋体" w:cs="宋体"/>
                <w:b w:val="0"/>
                <w:bCs w:val="0"/>
                <w:kern w:val="0"/>
                <w:sz w:val="24"/>
                <w:szCs w:val="24"/>
                <w:lang w:val="en-US" w:eastAsia="zh-CN"/>
              </w:rPr>
              <w:t>6.</w:t>
            </w:r>
            <w:r>
              <w:rPr>
                <w:rFonts w:hint="eastAsia" w:ascii="宋体" w:hAnsi="宋体" w:eastAsia="宋体" w:cs="宋体"/>
                <w:b w:val="0"/>
                <w:bCs w:val="0"/>
                <w:kern w:val="0"/>
                <w:sz w:val="24"/>
                <w:szCs w:val="24"/>
                <w:lang w:val="en-US" w:eastAsia="zh-CN"/>
              </w:rPr>
              <w:t>长丰县庄墓镇2023年刘浅社区姚大郢中心村美丽乡村建设项目</w:t>
            </w:r>
          </w:p>
        </w:tc>
      </w:tr>
      <w:tr w14:paraId="77E1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2474" w:type="dxa"/>
            <w:vAlign w:val="center"/>
          </w:tcPr>
          <w:p w14:paraId="41E75A78">
            <w:pPr>
              <w:pStyle w:val="2"/>
              <w:jc w:val="left"/>
              <w:rPr>
                <w:rFonts w:hint="eastAsia" w:ascii="宋体" w:hAnsi="宋体" w:eastAsia="宋体" w:cs="宋体"/>
                <w:b w:val="0"/>
                <w:bCs w:val="0"/>
                <w:sz w:val="24"/>
                <w:szCs w:val="24"/>
                <w:vertAlign w:val="baseline"/>
                <w:lang w:val="en-US" w:eastAsia="zh-CN"/>
              </w:rPr>
            </w:pPr>
            <w:r>
              <w:rPr>
                <w:rFonts w:hint="eastAsia" w:cs="宋体"/>
                <w:b w:val="0"/>
                <w:bCs w:val="0"/>
                <w:sz w:val="24"/>
                <w:szCs w:val="24"/>
                <w:vertAlign w:val="baseline"/>
                <w:lang w:val="en-US" w:eastAsia="zh-CN"/>
              </w:rPr>
              <w:t>磋商</w:t>
            </w:r>
            <w:r>
              <w:rPr>
                <w:rFonts w:hint="eastAsia" w:ascii="宋体" w:hAnsi="宋体" w:eastAsia="宋体" w:cs="宋体"/>
                <w:b w:val="0"/>
                <w:bCs w:val="0"/>
                <w:sz w:val="24"/>
                <w:szCs w:val="24"/>
                <w:vertAlign w:val="baseline"/>
                <w:lang w:val="en-US" w:eastAsia="zh-CN"/>
              </w:rPr>
              <w:t>保证金及电子交易服务费缴纳形式</w:t>
            </w:r>
          </w:p>
        </w:tc>
        <w:tc>
          <w:tcPr>
            <w:tcW w:w="6486" w:type="dxa"/>
            <w:vAlign w:val="center"/>
          </w:tcPr>
          <w:p w14:paraId="19A2817C">
            <w:pPr>
              <w:pStyle w:val="2"/>
              <w:jc w:val="left"/>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银行转账</w:t>
            </w:r>
          </w:p>
        </w:tc>
      </w:tr>
    </w:tbl>
    <w:p w14:paraId="6E6171F1">
      <w:pPr>
        <w:rPr>
          <w:rFonts w:hint="eastAsia" w:ascii="宋体" w:hAnsi="宋体"/>
          <w:b/>
          <w:sz w:val="36"/>
          <w:szCs w:val="44"/>
        </w:rPr>
      </w:pPr>
      <w:r>
        <w:rPr>
          <w:rFonts w:hint="eastAsia" w:ascii="宋体" w:hAnsi="宋体" w:cs="宋体"/>
          <w:b w:val="0"/>
          <w:bCs w:val="0"/>
          <w:color w:val="000000" w:themeColor="text1"/>
          <w:kern w:val="0"/>
          <w:sz w:val="28"/>
          <w:szCs w:val="28"/>
          <w14:textFill>
            <w14:solidFill>
              <w14:schemeClr w14:val="tx1"/>
            </w14:solidFill>
          </w14:textFill>
        </w:rPr>
        <w:br w:type="page"/>
      </w:r>
    </w:p>
    <w:p w14:paraId="339D11B2">
      <w:pPr>
        <w:spacing w:line="576" w:lineRule="exact"/>
        <w:jc w:val="center"/>
        <w:outlineLvl w:val="1"/>
        <w:rPr>
          <w:rFonts w:hint="eastAsia" w:ascii="宋体" w:hAnsi="宋体" w:cs="宋体"/>
          <w:b w:val="0"/>
          <w:bCs w:val="0"/>
          <w:color w:val="000000" w:themeColor="text1"/>
          <w:kern w:val="0"/>
          <w:sz w:val="28"/>
          <w:szCs w:val="28"/>
          <w14:textFill>
            <w14:solidFill>
              <w14:schemeClr w14:val="tx1"/>
            </w14:solidFill>
          </w14:textFill>
        </w:rPr>
      </w:pPr>
      <w:r>
        <w:rPr>
          <w:rFonts w:hint="eastAsia" w:ascii="宋体" w:hAnsi="宋体"/>
          <w:b/>
          <w:sz w:val="36"/>
          <w:szCs w:val="44"/>
        </w:rPr>
        <w:t>评审情况一览表</w:t>
      </w:r>
    </w:p>
    <w:p w14:paraId="4B298266">
      <w:pPr>
        <w:rPr>
          <w:rFonts w:hint="eastAsia" w:ascii="宋体" w:hAnsi="宋体" w:cs="宋体"/>
          <w:b w:val="0"/>
          <w:bCs w:val="0"/>
          <w:color w:val="000000" w:themeColor="text1"/>
          <w:kern w:val="0"/>
          <w:sz w:val="28"/>
          <w:szCs w:val="28"/>
          <w14:textFill>
            <w14:solidFill>
              <w14:schemeClr w14:val="tx1"/>
            </w14:solidFill>
          </w14:textFill>
        </w:rPr>
      </w:pPr>
      <w:r>
        <w:rPr>
          <w:rFonts w:hint="eastAsia" w:ascii="宋体" w:hAnsi="宋体" w:cs="宋体"/>
          <w:b w:val="0"/>
          <w:bCs w:val="0"/>
          <w:color w:val="000000" w:themeColor="text1"/>
          <w:kern w:val="0"/>
          <w:sz w:val="28"/>
          <w:szCs w:val="28"/>
          <w14:textFill>
            <w14:solidFill>
              <w14:schemeClr w14:val="tx1"/>
            </w14:solidFill>
          </w14:textFill>
        </w:rPr>
        <w:t>项目名称：柿树岗乡周楼杨桥片区和美乡村精品示范村建设项目设计</w:t>
      </w:r>
    </w:p>
    <w:p w14:paraId="74371CAE">
      <w:pPr>
        <w:pStyle w:val="2"/>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8"/>
          <w:szCs w:val="28"/>
          <w:lang w:val="en-US" w:eastAsia="zh-CN" w:bidi="ar-SA"/>
          <w14:textFill>
            <w14:solidFill>
              <w14:schemeClr w14:val="tx1"/>
            </w14:solidFill>
          </w14:textFill>
        </w:rPr>
        <w:t>项目编号：2026PHBQ389</w:t>
      </w:r>
    </w:p>
    <w:tbl>
      <w:tblPr>
        <w:tblStyle w:val="9"/>
        <w:tblW w:w="9646" w:type="dxa"/>
        <w:tblCellSpacing w:w="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3510"/>
        <w:gridCol w:w="1472"/>
        <w:gridCol w:w="1623"/>
        <w:gridCol w:w="1350"/>
        <w:gridCol w:w="1691"/>
      </w:tblGrid>
      <w:tr w14:paraId="49044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12"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906813">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sz w:val="24"/>
                <w:szCs w:val="24"/>
              </w:rPr>
            </w:pPr>
            <w:r>
              <w:rPr>
                <w:rFonts w:hint="eastAsia" w:ascii="宋体" w:hAnsi="宋体" w:eastAsia="宋体" w:cs="宋体"/>
                <w:b/>
                <w:bCs/>
                <w:color w:val="000000"/>
                <w:sz w:val="24"/>
                <w:szCs w:val="24"/>
              </w:rPr>
              <w:t>供应商</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302DA4">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报价（元）</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8B845D">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sz w:val="24"/>
                <w:szCs w:val="24"/>
              </w:rPr>
            </w:pPr>
            <w:r>
              <w:rPr>
                <w:rFonts w:hint="eastAsia" w:ascii="宋体" w:hAnsi="宋体" w:eastAsia="宋体" w:cs="宋体"/>
                <w:b/>
                <w:bCs/>
                <w:color w:val="000000"/>
                <w:sz w:val="24"/>
                <w:szCs w:val="24"/>
              </w:rPr>
              <w:t>初步评审</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F96390">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sz w:val="24"/>
                <w:szCs w:val="24"/>
              </w:rPr>
            </w:pPr>
            <w:r>
              <w:rPr>
                <w:rFonts w:hint="eastAsia" w:ascii="宋体" w:hAnsi="宋体" w:eastAsia="宋体" w:cs="宋体"/>
                <w:b/>
                <w:bCs/>
                <w:color w:val="000000"/>
                <w:sz w:val="24"/>
                <w:szCs w:val="24"/>
              </w:rPr>
              <w:t>总得分</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D822A7">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sz w:val="24"/>
                <w:szCs w:val="24"/>
              </w:rPr>
            </w:pPr>
            <w:r>
              <w:rPr>
                <w:rFonts w:hint="eastAsia" w:ascii="宋体" w:hAnsi="宋体" w:eastAsia="宋体" w:cs="宋体"/>
                <w:b/>
                <w:bCs/>
                <w:color w:val="000000"/>
                <w:sz w:val="24"/>
                <w:szCs w:val="24"/>
              </w:rPr>
              <w:t>备注</w:t>
            </w:r>
          </w:p>
        </w:tc>
      </w:tr>
      <w:tr w14:paraId="2B37B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40"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D71CE7">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中铁合肥建筑市政工程设计研究院有限公司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0B3FFC">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387000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5FB623">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2350C7">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85.5</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81CF52">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成交候选人</w:t>
            </w:r>
          </w:p>
        </w:tc>
      </w:tr>
      <w:tr w14:paraId="0BCE8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431A39">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安徽笔木建设科技集团有限公司</w:t>
            </w:r>
            <w:r>
              <w:rPr>
                <w:rFonts w:hint="eastAsia" w:ascii="宋体" w:hAnsi="宋体" w:eastAsia="宋体" w:cs="宋体"/>
                <w:color w:val="000000"/>
                <w:sz w:val="24"/>
                <w:szCs w:val="24"/>
                <w:lang w:eastAsia="zh-CN"/>
              </w:rPr>
              <w:t>、湖北天工建筑勘察设计有限公司</w:t>
            </w:r>
            <w:r>
              <w:rPr>
                <w:rFonts w:hint="eastAsia" w:ascii="宋体" w:hAnsi="宋体" w:eastAsia="宋体" w:cs="宋体"/>
                <w:color w:val="000000"/>
                <w:sz w:val="24"/>
                <w:szCs w:val="24"/>
                <w:lang w:val="en-US" w:eastAsia="zh-CN"/>
              </w:rPr>
              <w:t>联合体</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0202D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405000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80916C">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DFB76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82.35</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DFAB90">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54380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30198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中科瑞城设计有限公司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E55E6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418888</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2F2B6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7508E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81.53</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73047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32CC0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06EED4">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安徽省金田建筑设计咨询有限责任公司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F1FA1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292500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BB0CFD">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8A1E5A">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79.5</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BF374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7C7F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33CF7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中合一工程设计有限公司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140DB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398000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132213">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6EE13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79.17</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A1EB64">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2C574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A3D20E">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美华建筑设计有限公司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C4A571D">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398500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8E908E">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C88B5E">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78.83</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92B09D">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0F9D6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8"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3C74D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思城设计集团有限公司</w:t>
            </w:r>
            <w:r>
              <w:rPr>
                <w:rFonts w:hint="eastAsia" w:ascii="宋体" w:hAnsi="宋体" w:eastAsia="宋体" w:cs="宋体"/>
                <w:color w:val="000000"/>
                <w:sz w:val="24"/>
                <w:szCs w:val="24"/>
                <w:lang w:eastAsia="zh-CN"/>
              </w:rPr>
              <w:t>、泽圣勘察设计有限公司</w:t>
            </w:r>
            <w:r>
              <w:rPr>
                <w:rFonts w:hint="eastAsia" w:ascii="宋体" w:hAnsi="宋体" w:eastAsia="宋体" w:cs="宋体"/>
                <w:color w:val="000000"/>
                <w:sz w:val="24"/>
                <w:szCs w:val="24"/>
                <w:lang w:val="en-US" w:eastAsia="zh-CN"/>
              </w:rPr>
              <w:t>联合体</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7F49E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426800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45FC0A">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E31776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75.42</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5341A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37894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743C64">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国昇设计有限责任公司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BA7B46A">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402000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E5D437">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C73476">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70.60</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B30C2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19556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BF2A52">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中联合创设计有限公司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80CA9E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355700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CA3D5A">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04101C">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66.83</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FB81F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6AF54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F81CEA">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广州亚泰建筑设计院有限公司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7C9E4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440000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D01D32">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9E43FE">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63.07</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ECAE33">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7A480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63"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F61950">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中述设计集团有限公司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ECB29F">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435000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8284C5">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ECF951F">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61.50</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EBE1B0">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r w14:paraId="5718D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72" w:hRule="atLeast"/>
          <w:tblCellSpacing w:w="0" w:type="dxa"/>
        </w:trPr>
        <w:tc>
          <w:tcPr>
            <w:tcW w:w="351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68A028">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中弘设计集团有限公司</w:t>
            </w:r>
          </w:p>
        </w:tc>
        <w:tc>
          <w:tcPr>
            <w:tcW w:w="14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A26E7C">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429000</w:t>
            </w:r>
          </w:p>
        </w:tc>
        <w:tc>
          <w:tcPr>
            <w:tcW w:w="16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EC4326">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通过</w:t>
            </w:r>
          </w:p>
        </w:tc>
        <w:tc>
          <w:tcPr>
            <w:tcW w:w="13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3FA8DB">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38.63</w:t>
            </w:r>
          </w:p>
        </w:tc>
        <w:tc>
          <w:tcPr>
            <w:tcW w:w="169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165581">
            <w:pPr>
              <w:pStyle w:val="8"/>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20" w:beforeAutospacing="0" w:after="120" w:afterAutospacing="0"/>
              <w:rPr>
                <w:rFonts w:hint="eastAsia" w:ascii="宋体" w:hAnsi="宋体" w:eastAsia="宋体" w:cs="宋体"/>
                <w:color w:val="000000"/>
                <w:sz w:val="24"/>
                <w:szCs w:val="24"/>
              </w:rPr>
            </w:pPr>
            <w:r>
              <w:rPr>
                <w:rFonts w:hint="eastAsia" w:ascii="宋体" w:hAnsi="宋体" w:eastAsia="宋体" w:cs="宋体"/>
                <w:color w:val="000000"/>
                <w:sz w:val="24"/>
                <w:szCs w:val="24"/>
              </w:rPr>
              <w:t> </w:t>
            </w:r>
          </w:p>
        </w:tc>
      </w:tr>
    </w:tbl>
    <w:p w14:paraId="2BFAAE93">
      <w:pPr>
        <w:pStyle w:val="2"/>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p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A8011">
    <w:pPr>
      <w:pStyle w:val="7"/>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xNDQwOTJlOTZmYjhiNDUxNTRiMjI4OGUzYzEwYjMifQ=="/>
  </w:docVars>
  <w:rsids>
    <w:rsidRoot w:val="37BA19F1"/>
    <w:rsid w:val="00001359"/>
    <w:rsid w:val="00023E35"/>
    <w:rsid w:val="000539FC"/>
    <w:rsid w:val="000553D8"/>
    <w:rsid w:val="000B06C3"/>
    <w:rsid w:val="001254FD"/>
    <w:rsid w:val="001538C1"/>
    <w:rsid w:val="00165BE1"/>
    <w:rsid w:val="00166ACD"/>
    <w:rsid w:val="00191D8D"/>
    <w:rsid w:val="0019419F"/>
    <w:rsid w:val="001A2F2A"/>
    <w:rsid w:val="001A5AA6"/>
    <w:rsid w:val="001B0A7C"/>
    <w:rsid w:val="001B550D"/>
    <w:rsid w:val="001D6E37"/>
    <w:rsid w:val="001F1C82"/>
    <w:rsid w:val="002368EC"/>
    <w:rsid w:val="0026434D"/>
    <w:rsid w:val="002840EC"/>
    <w:rsid w:val="002942C3"/>
    <w:rsid w:val="002B0812"/>
    <w:rsid w:val="003428D5"/>
    <w:rsid w:val="00344A10"/>
    <w:rsid w:val="00394717"/>
    <w:rsid w:val="003A2B75"/>
    <w:rsid w:val="0040384F"/>
    <w:rsid w:val="00404E81"/>
    <w:rsid w:val="00423D6B"/>
    <w:rsid w:val="00461EDA"/>
    <w:rsid w:val="004A098D"/>
    <w:rsid w:val="004A1AEC"/>
    <w:rsid w:val="004F7CA8"/>
    <w:rsid w:val="00512541"/>
    <w:rsid w:val="00523707"/>
    <w:rsid w:val="00553A92"/>
    <w:rsid w:val="00556A48"/>
    <w:rsid w:val="0059751C"/>
    <w:rsid w:val="005A0B0C"/>
    <w:rsid w:val="005A1D11"/>
    <w:rsid w:val="005B08D0"/>
    <w:rsid w:val="005F5171"/>
    <w:rsid w:val="005F56A9"/>
    <w:rsid w:val="0068785B"/>
    <w:rsid w:val="00690597"/>
    <w:rsid w:val="006B3111"/>
    <w:rsid w:val="006E488B"/>
    <w:rsid w:val="0070672E"/>
    <w:rsid w:val="00710C32"/>
    <w:rsid w:val="00740DE0"/>
    <w:rsid w:val="00751DFF"/>
    <w:rsid w:val="0077081E"/>
    <w:rsid w:val="007740C2"/>
    <w:rsid w:val="00782F64"/>
    <w:rsid w:val="007851CC"/>
    <w:rsid w:val="007928E2"/>
    <w:rsid w:val="007F11D0"/>
    <w:rsid w:val="007F2AC4"/>
    <w:rsid w:val="007F68B9"/>
    <w:rsid w:val="008154C4"/>
    <w:rsid w:val="00826E83"/>
    <w:rsid w:val="00875AA8"/>
    <w:rsid w:val="00881375"/>
    <w:rsid w:val="008907FB"/>
    <w:rsid w:val="008A202D"/>
    <w:rsid w:val="008A53B6"/>
    <w:rsid w:val="008B7868"/>
    <w:rsid w:val="008E02C7"/>
    <w:rsid w:val="008E088D"/>
    <w:rsid w:val="008E5723"/>
    <w:rsid w:val="00911127"/>
    <w:rsid w:val="0092297A"/>
    <w:rsid w:val="00925EFF"/>
    <w:rsid w:val="00943CA5"/>
    <w:rsid w:val="00966D29"/>
    <w:rsid w:val="00982421"/>
    <w:rsid w:val="009A0442"/>
    <w:rsid w:val="009D4F6B"/>
    <w:rsid w:val="009F3473"/>
    <w:rsid w:val="00A73BDB"/>
    <w:rsid w:val="00A76C01"/>
    <w:rsid w:val="00A9565D"/>
    <w:rsid w:val="00AF03FB"/>
    <w:rsid w:val="00AF27BB"/>
    <w:rsid w:val="00B2540E"/>
    <w:rsid w:val="00B33527"/>
    <w:rsid w:val="00B56941"/>
    <w:rsid w:val="00B60506"/>
    <w:rsid w:val="00BD5FF8"/>
    <w:rsid w:val="00BF792E"/>
    <w:rsid w:val="00C0775E"/>
    <w:rsid w:val="00C269FF"/>
    <w:rsid w:val="00C2734B"/>
    <w:rsid w:val="00C70F38"/>
    <w:rsid w:val="00C9493A"/>
    <w:rsid w:val="00CB3F3C"/>
    <w:rsid w:val="00CE217E"/>
    <w:rsid w:val="00CE5CD4"/>
    <w:rsid w:val="00D06EC3"/>
    <w:rsid w:val="00D135C8"/>
    <w:rsid w:val="00D16315"/>
    <w:rsid w:val="00D4052E"/>
    <w:rsid w:val="00D52F53"/>
    <w:rsid w:val="00D65862"/>
    <w:rsid w:val="00DA0F8B"/>
    <w:rsid w:val="00DC6292"/>
    <w:rsid w:val="00DE07DD"/>
    <w:rsid w:val="00DE71DC"/>
    <w:rsid w:val="00E13E82"/>
    <w:rsid w:val="00E40EA8"/>
    <w:rsid w:val="00E50885"/>
    <w:rsid w:val="00EA045C"/>
    <w:rsid w:val="00EA43DA"/>
    <w:rsid w:val="00EB0D3C"/>
    <w:rsid w:val="00EB5E54"/>
    <w:rsid w:val="00EC21D0"/>
    <w:rsid w:val="00ED02E9"/>
    <w:rsid w:val="00EF6518"/>
    <w:rsid w:val="00F2396E"/>
    <w:rsid w:val="00F54688"/>
    <w:rsid w:val="00FC0DBD"/>
    <w:rsid w:val="00FC6EC9"/>
    <w:rsid w:val="00FD775B"/>
    <w:rsid w:val="00FF127A"/>
    <w:rsid w:val="00FF6315"/>
    <w:rsid w:val="017E6F26"/>
    <w:rsid w:val="02E867F5"/>
    <w:rsid w:val="02F323B6"/>
    <w:rsid w:val="03924358"/>
    <w:rsid w:val="0CBE2615"/>
    <w:rsid w:val="0E4C1B61"/>
    <w:rsid w:val="158F2A88"/>
    <w:rsid w:val="15BC3568"/>
    <w:rsid w:val="172A1A24"/>
    <w:rsid w:val="1A6C313A"/>
    <w:rsid w:val="1C29279D"/>
    <w:rsid w:val="1CBD1D5E"/>
    <w:rsid w:val="1D9036D5"/>
    <w:rsid w:val="20D919B5"/>
    <w:rsid w:val="245529D6"/>
    <w:rsid w:val="24577DB0"/>
    <w:rsid w:val="251104E4"/>
    <w:rsid w:val="26D86A74"/>
    <w:rsid w:val="26F21A77"/>
    <w:rsid w:val="28D45B25"/>
    <w:rsid w:val="2A465F84"/>
    <w:rsid w:val="2E127C0A"/>
    <w:rsid w:val="2FF40303"/>
    <w:rsid w:val="30372C1B"/>
    <w:rsid w:val="31056081"/>
    <w:rsid w:val="31313BA7"/>
    <w:rsid w:val="31C75F5D"/>
    <w:rsid w:val="34E84BAD"/>
    <w:rsid w:val="36245E08"/>
    <w:rsid w:val="37BA19F1"/>
    <w:rsid w:val="3A2F7338"/>
    <w:rsid w:val="3BD57956"/>
    <w:rsid w:val="3CC379F8"/>
    <w:rsid w:val="40B94CC0"/>
    <w:rsid w:val="41705221"/>
    <w:rsid w:val="42680544"/>
    <w:rsid w:val="42AB3CB3"/>
    <w:rsid w:val="44392242"/>
    <w:rsid w:val="46DD7E59"/>
    <w:rsid w:val="495D24F0"/>
    <w:rsid w:val="4CC62D40"/>
    <w:rsid w:val="4DC13536"/>
    <w:rsid w:val="4EFA19C6"/>
    <w:rsid w:val="5066262C"/>
    <w:rsid w:val="52363268"/>
    <w:rsid w:val="54F35A17"/>
    <w:rsid w:val="55591AB9"/>
    <w:rsid w:val="5612303A"/>
    <w:rsid w:val="579A3A91"/>
    <w:rsid w:val="614E2555"/>
    <w:rsid w:val="63416674"/>
    <w:rsid w:val="64256B90"/>
    <w:rsid w:val="692E792E"/>
    <w:rsid w:val="69CE0BB4"/>
    <w:rsid w:val="69E94BDA"/>
    <w:rsid w:val="6AA56830"/>
    <w:rsid w:val="6C2B0991"/>
    <w:rsid w:val="75A53ED1"/>
    <w:rsid w:val="76694494"/>
    <w:rsid w:val="7D4A3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
    <w:autoRedefine/>
    <w:qFormat/>
    <w:uiPriority w:val="0"/>
    <w:pPr>
      <w:keepNext/>
      <w:keepLines/>
      <w:spacing w:before="340" w:after="330" w:line="576" w:lineRule="auto"/>
      <w:outlineLvl w:val="0"/>
    </w:pPr>
    <w:rPr>
      <w:b/>
      <w:kern w:val="44"/>
      <w:sz w:val="44"/>
    </w:rPr>
  </w:style>
  <w:style w:type="paragraph" w:styleId="4">
    <w:name w:val="heading 2"/>
    <w:basedOn w:val="1"/>
    <w:next w:val="1"/>
    <w:link w:val="13"/>
    <w:autoRedefine/>
    <w:semiHidden/>
    <w:unhideWhenUsed/>
    <w:qFormat/>
    <w:uiPriority w:val="0"/>
    <w:pPr>
      <w:keepNext/>
      <w:keepLines/>
      <w:spacing w:before="260" w:after="260" w:line="413" w:lineRule="auto"/>
      <w:outlineLvl w:val="1"/>
    </w:pPr>
    <w:rPr>
      <w:rFonts w:ascii="Arial" w:hAnsi="Arial" w:eastAsia="黑体"/>
      <w:b/>
      <w:sz w:val="32"/>
    </w:rPr>
  </w:style>
  <w:style w:type="paragraph" w:styleId="2">
    <w:name w:val="heading 3"/>
    <w:basedOn w:val="1"/>
    <w:next w:val="1"/>
    <w:link w:val="14"/>
    <w:qFormat/>
    <w:uiPriority w:val="9"/>
    <w:pPr>
      <w:keepNext/>
      <w:keepLines/>
      <w:spacing w:line="360" w:lineRule="auto"/>
      <w:jc w:val="left"/>
      <w:outlineLvl w:val="2"/>
    </w:pPr>
    <w:rPr>
      <w:rFonts w:ascii="宋体" w:hAnsi="宋体"/>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0"/>
    <w:pPr>
      <w:spacing w:after="120"/>
    </w:pPr>
  </w:style>
  <w:style w:type="paragraph" w:styleId="6">
    <w:name w:val="footer"/>
    <w:basedOn w:val="1"/>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link w:val="3"/>
    <w:autoRedefine/>
    <w:qFormat/>
    <w:uiPriority w:val="0"/>
    <w:rPr>
      <w:b/>
      <w:kern w:val="44"/>
      <w:sz w:val="44"/>
    </w:rPr>
  </w:style>
  <w:style w:type="character" w:customStyle="1" w:styleId="13">
    <w:name w:val="标题 2 字符"/>
    <w:link w:val="4"/>
    <w:autoRedefine/>
    <w:qFormat/>
    <w:uiPriority w:val="0"/>
    <w:rPr>
      <w:rFonts w:ascii="Arial" w:hAnsi="Arial" w:eastAsia="黑体"/>
      <w:b/>
      <w:sz w:val="32"/>
    </w:rPr>
  </w:style>
  <w:style w:type="character" w:customStyle="1" w:styleId="14">
    <w:name w:val="标题 3 字符"/>
    <w:basedOn w:val="11"/>
    <w:link w:val="2"/>
    <w:qFormat/>
    <w:uiPriority w:val="9"/>
    <w:rPr>
      <w:rFonts w:ascii="宋体" w:hAnsi="宋体" w:eastAsia="宋体"/>
      <w:b/>
      <w:bCs/>
      <w:kern w:val="2"/>
      <w:sz w:val="28"/>
      <w:szCs w:val="28"/>
    </w:rPr>
  </w:style>
  <w:style w:type="character" w:customStyle="1" w:styleId="15">
    <w:name w:val="font11"/>
    <w:basedOn w:val="11"/>
    <w:qFormat/>
    <w:uiPriority w:val="0"/>
    <w:rPr>
      <w:rFonts w:ascii="-apple-" w:hAnsi="-apple-" w:eastAsia="-apple-" w:cs="-apple-"/>
      <w:color w:val="000000"/>
      <w:sz w:val="13"/>
      <w:szCs w:val="1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577</Words>
  <Characters>704</Characters>
  <Lines>13</Lines>
  <Paragraphs>19</Paragraphs>
  <TotalTime>66</TotalTime>
  <ScaleCrop>false</ScaleCrop>
  <LinksUpToDate>false</LinksUpToDate>
  <CharactersWithSpaces>715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2024-05-07T06:44:00Z</dcterms:created>
  <dc:creator>姚连运</dc:creator>
  <cp:lastModifiedBy>小太阳</cp:lastModifiedBy>
  <cp:lastPrinted>2024-11-04T08:41:00Z</cp:lastPrinted>
  <dcterms:modified xsi:type="dcterms:W3CDTF">2026-08-04T08:57:41Z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4CDC7F09DB5F480C8C0BCDD896320556_13</vt:lpwstr>
  </property>
  <property fmtid="{D5CDD505-2E9C-101B-9397-08002B2CF9AE}" pid="4" name="KSOTemplateDocerSaveRecord">
    <vt:lpwstr>eyJoZGlkIjoiMTMyYzE0OWY0N2I0NjcxMjBlZDQ0NjZiNDJkODUwM2YiLCJ1c2VySWQiOiIyNjIxNzI0OTQifQ==</vt:lpwstr>
  </property>
</Properties>
</file>